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March 14,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40"/>
        <w:spacing w:after="0" w:line="321" w:lineRule="auto"/>
        <w:rPr>
          <w:sz w:val="20"/>
          <w:szCs w:val="20"/>
          <w:color w:val="auto"/>
        </w:rPr>
      </w:pPr>
      <w:r>
        <w:rPr>
          <w:rFonts w:ascii="Arial" w:cs="Arial" w:eastAsia="Arial" w:hAnsi="Arial"/>
          <w:sz w:val="25"/>
          <w:szCs w:val="25"/>
          <w:b w:val="1"/>
          <w:bCs w:val="1"/>
          <w:color w:val="auto"/>
        </w:rPr>
        <w:t>Cybin Announces Positive End-of-Phase 2 Meeting with FDA for CYB003 in Major Depressive Disorder and Phase 3 Program Design</w:t>
      </w:r>
    </w:p>
    <w:p>
      <w:pPr>
        <w:spacing w:after="0" w:line="138" w:lineRule="exact"/>
        <w:rPr>
          <w:sz w:val="20"/>
          <w:szCs w:val="20"/>
          <w:color w:val="auto"/>
        </w:rPr>
      </w:pPr>
    </w:p>
    <w:p>
      <w:pPr>
        <w:ind w:left="420" w:hanging="123"/>
        <w:spacing w:after="0"/>
        <w:tabs>
          <w:tab w:leader="none" w:pos="42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With U.S. Food and Drug Administration (“FDA”) alignment on multisite, multinational Phase 3 program design Company</w:t>
      </w:r>
    </w:p>
    <w:p>
      <w:pPr>
        <w:spacing w:after="0" w:line="40" w:lineRule="exact"/>
        <w:rPr>
          <w:rFonts w:ascii="Arial" w:cs="Arial" w:eastAsia="Arial" w:hAnsi="Arial"/>
          <w:sz w:val="20"/>
          <w:szCs w:val="20"/>
          <w:i w:val="1"/>
          <w:iCs w:val="1"/>
          <w:color w:val="auto"/>
        </w:rPr>
      </w:pPr>
    </w:p>
    <w:p>
      <w:pPr>
        <w:ind w:left="2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expects to commence Phase 3 program around mid-year 2024 -</w:t>
      </w:r>
    </w:p>
    <w:p>
      <w:pPr>
        <w:spacing w:after="0" w:line="269" w:lineRule="exact"/>
        <w:rPr>
          <w:rFonts w:ascii="Arial" w:cs="Arial" w:eastAsia="Arial" w:hAnsi="Arial"/>
          <w:sz w:val="20"/>
          <w:szCs w:val="20"/>
          <w:i w:val="1"/>
          <w:iCs w:val="1"/>
          <w:color w:val="auto"/>
        </w:rPr>
      </w:pPr>
    </w:p>
    <w:p>
      <w:pPr>
        <w:ind w:left="2840" w:hanging="114"/>
        <w:spacing w:after="0"/>
        <w:tabs>
          <w:tab w:leader="none" w:pos="284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15 U.S. clinical trials sites targeted; European sites to be added -</w:t>
      </w:r>
    </w:p>
    <w:p>
      <w:pPr>
        <w:spacing w:after="0" w:line="283" w:lineRule="exact"/>
        <w:rPr>
          <w:rFonts w:ascii="Arial" w:cs="Arial" w:eastAsia="Arial" w:hAnsi="Arial"/>
          <w:sz w:val="20"/>
          <w:szCs w:val="20"/>
          <w:i w:val="1"/>
          <w:iCs w:val="1"/>
          <w:color w:val="auto"/>
        </w:rPr>
      </w:pPr>
    </w:p>
    <w:p>
      <w:pPr>
        <w:ind w:left="300" w:hanging="114"/>
        <w:spacing w:after="0"/>
        <w:tabs>
          <w:tab w:leader="none" w:pos="3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Robust and sustained improvement in depression symptoms with CYB003 at four months with 75% of patients in remission</w:t>
      </w:r>
    </w:p>
    <w:p>
      <w:pPr>
        <w:spacing w:after="0" w:line="31" w:lineRule="exact"/>
        <w:rPr>
          <w:rFonts w:ascii="Arial" w:cs="Arial" w:eastAsia="Arial" w:hAnsi="Arial"/>
          <w:sz w:val="20"/>
          <w:szCs w:val="20"/>
          <w:i w:val="1"/>
          <w:iCs w:val="1"/>
          <w:color w:val="auto"/>
        </w:rPr>
      </w:pPr>
    </w:p>
    <w:p>
      <w:pPr>
        <w:ind w:left="382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from depression after two doses (16mg) -</w:t>
      </w:r>
    </w:p>
    <w:p>
      <w:pPr>
        <w:spacing w:after="0" w:line="278" w:lineRule="exact"/>
        <w:rPr>
          <w:rFonts w:ascii="Arial" w:cs="Arial" w:eastAsia="Arial" w:hAnsi="Arial"/>
          <w:sz w:val="20"/>
          <w:szCs w:val="20"/>
          <w:i w:val="1"/>
          <w:iCs w:val="1"/>
          <w:color w:val="auto"/>
        </w:rPr>
      </w:pPr>
    </w:p>
    <w:p>
      <w:pPr>
        <w:ind w:left="320" w:hanging="118"/>
        <w:spacing w:after="0"/>
        <w:tabs>
          <w:tab w:leader="none" w:pos="32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Breakthrough Therapy Designation (“BTD”) for CYB003 provides an expedited review pathway and increased engagement</w:t>
      </w:r>
    </w:p>
    <w:p>
      <w:pPr>
        <w:spacing w:after="0" w:line="31" w:lineRule="exact"/>
        <w:rPr>
          <w:rFonts w:ascii="Arial" w:cs="Arial" w:eastAsia="Arial" w:hAnsi="Arial"/>
          <w:sz w:val="20"/>
          <w:szCs w:val="20"/>
          <w:i w:val="1"/>
          <w:iCs w:val="1"/>
          <w:color w:val="auto"/>
        </w:rPr>
      </w:pPr>
    </w:p>
    <w:p>
      <w:pPr>
        <w:ind w:left="50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with the FDA -</w:t>
      </w:r>
    </w:p>
    <w:p>
      <w:pPr>
        <w:spacing w:after="0" w:line="276" w:lineRule="exact"/>
        <w:rPr>
          <w:sz w:val="20"/>
          <w:szCs w:val="20"/>
          <w:color w:val="auto"/>
        </w:rPr>
      </w:pPr>
    </w:p>
    <w:p>
      <w:pPr>
        <w:jc w:val="both"/>
        <w:ind w:left="40" w:right="40" w:firstLine="37"/>
        <w:spacing w:after="0" w:line="341" w:lineRule="auto"/>
        <w:rPr>
          <w:sz w:val="20"/>
          <w:szCs w:val="20"/>
          <w:color w:val="auto"/>
        </w:rPr>
      </w:pPr>
      <w:r>
        <w:rPr>
          <w:rFonts w:ascii="Arial" w:cs="Arial" w:eastAsia="Arial" w:hAnsi="Arial"/>
          <w:sz w:val="19"/>
          <w:szCs w:val="19"/>
          <w:b w:val="1"/>
          <w:bCs w:val="1"/>
          <w:color w:val="auto"/>
        </w:rPr>
        <w:t>This news release constitutes a “designated news release” for the purposes of Cybin’s prospectus supplements each dated August 23, 2023, to its short form base shelf prospectus dated August 17, 2023, as amended December 22, 2023.</w:t>
      </w:r>
    </w:p>
    <w:p>
      <w:pPr>
        <w:spacing w:after="0" w:line="189"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March 14,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today announced a positive End-of-Phase 2 meeting with the FDA for CYB003, its deuterated psilocybin analog for the adjunctive treatment of Major Depressive Disorder (“MDD”).</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This program will be the first ever adjunctive Phase 3 deuterated psilocybin analog depression study globally and follows the successful completion of the Company’s Phase 2 study in MDD completed at the end of 2023. The Company has received minutes from its End-of-Phase-2 meeting with the FDA and reached alignment on its Phase 3 program design. The Company intends to commence enrollment for the multinational, multisite Phase 3 program in mid-year 2024. Fifteen U.S. study sites have been targeted, all of which have experience running psychedelic clinical trials and are DEA Schedule I licensed. The preliminary targeting of specific study sites will serve to expedite site initiation. The Company intends to add approximately 8 additional sites in Europe.</w:t>
      </w:r>
    </w:p>
    <w:p>
      <w:pPr>
        <w:sectPr>
          <w:pgSz w:w="11900" w:h="16838" w:orient="portrait"/>
          <w:cols w:equalWidth="0" w:num="1">
            <w:col w:w="11240"/>
          </w:cols>
          <w:pgMar w:left="320" w:top="1440" w:right="339" w:bottom="1440" w:gutter="0" w:footer="0" w:header="0"/>
        </w:sectPr>
      </w:pPr>
    </w:p>
    <w:bookmarkStart w:id="4" w:name="page5"/>
    <w:bookmarkEnd w:id="4"/>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The Company has engaged Worldwide Clinical Trials (“Worldwide”), a global, full-service contract research organization with deep expertise managing clinical trials for mental health conditions, including major depressive disorder. Worldwide has a track record of successful patient recruitment for psychedelic trials and global relationships with best-in-class investigative sites. Worldwide has recent experience managing psychedelic studies in psychiatric populations, including clinical trials conducted in the U.S., Canada, United Kingdom, and other European countries, across a range of psychedelic compounds and treatment models.</w:t>
      </w:r>
    </w:p>
    <w:p>
      <w:pPr>
        <w:spacing w:after="0" w:line="20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very pleased with the results of our End-of-Phase 2 meeting with the FDA and appreciate the agency’s thoroughness and guidance during the process. Having aligned on key features of the pivotal program, we look forward to initiating a multisite, multinational Phase 3 program around mid-year,” said Doug Drysdale, Chief Executive Officer of Cybin. “The strength of CYB003’s clinical profile to date, which showed that at four-months after dosing, across the two doses, 60% of patients receiving 12 mg and 75% of patients receiving 16 mg of CYB003 achieved remission from depression symptoms. With positive durability data demonstrating sustained effects up to at least four months, BTD, and alignment with the FDA on our Phase 3 plan, we are positioned to move quickly to progress the program and bring relief and treatment alternatives to people who are desperately waiting,” concluded Drysdale.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Phase 3 Pivotal Program Outline</w:t>
      </w:r>
    </w:p>
    <w:p>
      <w:pPr>
        <w:spacing w:after="0" w:line="28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Phase 3 pivotal program will comprise two adequate and well controlled studies and a long-term extension, designed as follows:</w:t>
      </w:r>
    </w:p>
    <w:p>
      <w:pPr>
        <w:spacing w:after="0" w:line="1" w:lineRule="exact"/>
        <w:rPr>
          <w:sz w:val="20"/>
          <w:szCs w:val="20"/>
          <w:color w:val="auto"/>
        </w:rPr>
      </w:pPr>
    </w:p>
    <w:p>
      <w:pPr>
        <w:ind w:left="660" w:hanging="328"/>
        <w:spacing w:after="0" w:line="278"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CYB003-002 (n=220): Fixed repeat dose study of 16mg CYB003, with two doses 3- weeks apart compared to two doses of placebo. The trial is designed to replicate the treatment response seen in the Company’s Phase 2 study.</w:t>
      </w:r>
    </w:p>
    <w:p>
      <w:pPr>
        <w:spacing w:after="0" w:line="19" w:lineRule="exact"/>
        <w:rPr>
          <w:rFonts w:ascii="Times New Roman" w:cs="Times New Roman" w:eastAsia="Times New Roman" w:hAnsi="Times New Roman"/>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CYB003-003 (n=330): Three-arm fixed repeat dose study of CYB003 (16mg or 8mg), with two doses 3-weeks apart. Each active arm will be compared to two doses of placebo.</w:t>
      </w:r>
    </w:p>
    <w:p>
      <w:pPr>
        <w:spacing w:after="0" w:line="1" w:lineRule="exact"/>
        <w:rPr>
          <w:rFonts w:ascii="Times New Roman" w:cs="Times New Roman" w:eastAsia="Times New Roman" w:hAnsi="Times New Roman"/>
          <w:sz w:val="22"/>
          <w:szCs w:val="22"/>
          <w:color w:val="auto"/>
        </w:rPr>
      </w:pPr>
    </w:p>
    <w:p>
      <w:pPr>
        <w:ind w:left="660" w:hanging="328"/>
        <w:spacing w:after="0" w:line="278"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The primary endpoint of both studies is the change in MADRS total score from baseline at Week 6, with a secondary endpoint at Week 12, each compared to placebo.</w:t>
      </w:r>
    </w:p>
    <w:p>
      <w:pPr>
        <w:spacing w:after="0" w:line="19" w:lineRule="exact"/>
        <w:rPr>
          <w:rFonts w:ascii="Times New Roman" w:cs="Times New Roman" w:eastAsia="Times New Roman" w:hAnsi="Times New Roman"/>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20"/>
          <w:szCs w:val="20"/>
          <w:color w:val="auto"/>
        </w:rPr>
        <w:t>Patients from each of these Phase 3 trials will enroll in a one-year extension study, during which time non-responders and relapsing patients will receive one full cycle of CYB003 16mg (two doses, three weeks apart).</w:t>
      </w:r>
    </w:p>
    <w:p>
      <w:pPr>
        <w:spacing w:after="0" w:line="1" w:lineRule="exact"/>
        <w:rPr>
          <w:rFonts w:ascii="Times New Roman" w:cs="Times New Roman" w:eastAsia="Times New Roman" w:hAnsi="Times New Roman"/>
          <w:sz w:val="22"/>
          <w:szCs w:val="22"/>
          <w:color w:val="auto"/>
        </w:rPr>
      </w:pPr>
    </w:p>
    <w:p>
      <w:pPr>
        <w:ind w:left="660" w:hanging="328"/>
        <w:spacing w:after="0" w:line="273"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Moderate to severe MDD patients enrolled in both studies (MADRS &gt;/=24) will be on stable doses of background antidepressant medication, positioning CYB003 as a convenient, adjunctive treatment option.</w:t>
      </w:r>
    </w:p>
    <w:p>
      <w:pPr>
        <w:spacing w:after="0" w:line="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CYB003-002 is anticipated to begin around mid-year 2024, with CYB003-003 anticipated to initiate a few months later. Each study is expected to run for approximately 18-24 months.</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90" w:lineRule="auto"/>
        <w:rPr>
          <w:sz w:val="20"/>
          <w:szCs w:val="20"/>
          <w:color w:val="auto"/>
        </w:rPr>
      </w:pPr>
      <w:r>
        <w:rPr>
          <w:rFonts w:ascii="Arial" w:cs="Arial" w:eastAsia="Arial" w:hAnsi="Arial"/>
          <w:sz w:val="20"/>
          <w:szCs w:val="20"/>
          <w:color w:val="auto"/>
        </w:rPr>
        <w:t>Patient recruitment for the Phase 3 program will include a broad MDD population including only patients that are currently on antidepressants. Importantly, patients will not be required to titrate off their background antidepressants which will reduce some of the inherent recruitment challenges seen in other depression studies.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Positive Four-Month Efficacy Data for CYB003</w:t>
      </w:r>
    </w:p>
    <w:p>
      <w:pPr>
        <w:spacing w:after="0" w:line="43"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Robust and sustained improvements in symptoms of depression four months after two doses of 12mg or 16mg of</w:t>
      </w:r>
    </w:p>
    <w:p>
      <w:pPr>
        <w:spacing w:after="0" w:line="281" w:lineRule="exact"/>
        <w:rPr>
          <w:sz w:val="20"/>
          <w:szCs w:val="20"/>
          <w:color w:val="auto"/>
        </w:rPr>
      </w:pPr>
    </w:p>
    <w:p>
      <w:pPr>
        <w:ind w:left="660" w:right="620" w:hanging="328"/>
        <w:spacing w:after="0" w:line="273" w:lineRule="auto"/>
        <w:tabs>
          <w:tab w:leader="none" w:pos="660" w:val="left"/>
        </w:tabs>
        <w:numPr>
          <w:ilvl w:val="0"/>
          <w:numId w:val="4"/>
        </w:numPr>
        <w:rPr>
          <w:rFonts w:ascii="Courier New" w:cs="Courier New" w:eastAsia="Courier New" w:hAnsi="Courier New"/>
          <w:sz w:val="20"/>
          <w:szCs w:val="20"/>
          <w:color w:val="auto"/>
        </w:rPr>
      </w:pPr>
      <w:r>
        <w:rPr>
          <w:rFonts w:ascii="Arial" w:cs="Arial" w:eastAsia="Arial" w:hAnsi="Arial"/>
          <w:sz w:val="20"/>
          <w:szCs w:val="20"/>
          <w:color w:val="auto"/>
        </w:rPr>
        <w:t>Mean reduction from baseline in the MADRS total score was approximately 22 points from baseline in both dosing cohorts.</w:t>
      </w:r>
    </w:p>
    <w:p>
      <w:pPr>
        <w:spacing w:after="0" w:line="1" w:lineRule="exact"/>
        <w:rPr>
          <w:rFonts w:ascii="Courier New" w:cs="Courier New" w:eastAsia="Courier New" w:hAnsi="Courier New"/>
          <w:sz w:val="20"/>
          <w:szCs w:val="20"/>
          <w:color w:val="auto"/>
        </w:rPr>
      </w:pPr>
    </w:p>
    <w:p>
      <w:pPr>
        <w:ind w:left="1300" w:right="480" w:hanging="324"/>
        <w:spacing w:after="0" w:line="261"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Approximately 75% of the patients were responders (&gt;/= 50% improvement in MADRS scores) following two</w:t>
      </w:r>
      <w:r>
        <w:rPr>
          <w:rFonts w:ascii="Courier New" w:cs="Courier New" w:eastAsia="Courier New" w:hAnsi="Courier New"/>
          <w:sz w:val="20"/>
          <w:szCs w:val="20"/>
          <w:color w:val="auto"/>
        </w:rPr>
        <w:t xml:space="preserve"> </w:t>
      </w:r>
      <w:r>
        <w:rPr>
          <w:rFonts w:ascii="Arial" w:cs="Arial" w:eastAsia="Arial" w:hAnsi="Arial"/>
          <w:sz w:val="20"/>
          <w:szCs w:val="20"/>
          <w:color w:val="auto"/>
        </w:rPr>
        <w:t>doses of 16mg.</w:t>
      </w:r>
    </w:p>
    <w:p>
      <w:pPr>
        <w:spacing w:after="0" w:line="1" w:lineRule="exact"/>
        <w:rPr>
          <w:rFonts w:ascii="Courier New" w:cs="Courier New" w:eastAsia="Courier New" w:hAnsi="Courier New"/>
          <w:sz w:val="20"/>
          <w:szCs w:val="20"/>
          <w:color w:val="auto"/>
        </w:rPr>
      </w:pPr>
    </w:p>
    <w:p>
      <w:pPr>
        <w:ind w:left="1300" w:right="80" w:hanging="324"/>
        <w:spacing w:after="0" w:line="283"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60% of patients on 12mg and 75% on 16mg were in remission from depression following 2 doses (MADRS score</w:t>
      </w:r>
      <w:r>
        <w:rPr>
          <w:rFonts w:ascii="Courier New" w:cs="Courier New" w:eastAsia="Courier New" w:hAnsi="Courier New"/>
          <w:sz w:val="20"/>
          <w:szCs w:val="20"/>
          <w:color w:val="auto"/>
        </w:rPr>
        <w:t xml:space="preserve"> </w:t>
      </w:r>
      <w:r>
        <w:rPr>
          <w:rFonts w:ascii="Arial" w:cs="Arial" w:eastAsia="Arial" w:hAnsi="Arial"/>
          <w:sz w:val="20"/>
          <w:szCs w:val="20"/>
          <w:color w:val="auto"/>
        </w:rPr>
        <w:t>&lt;/= 10).</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Safety and tolerability:</w:t>
      </w:r>
    </w:p>
    <w:p>
      <w:pPr>
        <w:spacing w:after="0" w:line="43"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CYB003 was well tolerated with no drug-related serious adverse events.</w:t>
      </w:r>
    </w:p>
    <w:p>
      <w:pPr>
        <w:spacing w:after="0" w:line="2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All adverse events were mild or moderate in intensity.</w:t>
      </w:r>
    </w:p>
    <w:p>
      <w:pPr>
        <w:spacing w:after="0" w:line="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No incidents of suicidal ideation or behavior.</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No discontinuations due to adverse events.</w:t>
      </w:r>
    </w:p>
    <w:p>
      <w:pPr>
        <w:spacing w:after="0" w:line="278"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Earlier this week, Cybin announced the granting of BTD for CYB003 by the FDA. If approved by the FDA, CYB003 would be the first known adjunctive psychedelic-based therapeutic for the treatment of MDD.</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BTD provides an expedited review pathway, as well as increased access to FDA guidance on trial design, with the potential to reduce drug development timelines. It is reserved for drug candidates that target serious conditions and demonstrate substantial improvement on a clinically significant endpoint over available therapies. The designation includes all “fast track” program features, as well as more intensive FDA guidance and discussion of the CYB003 development program, including planned clinical trials and plans for expediting the manufacturing development strategy. CYB003 is eligible for Priority Review and Accelerated Approval.</w:t>
      </w:r>
    </w:p>
    <w:p>
      <w:pPr>
        <w:spacing w:after="0" w:line="218"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The designation of CYB003 as a breakthrough therapy acknowledges the significant unmet medical need for more effective treatments of MDD and supports CYB003’s potential for significant improvements over existing therapies.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ectPr>
          <w:pgSz w:w="11900" w:h="16838" w:orient="portrait"/>
          <w:cols w:equalWidth="0" w:num="1">
            <w:col w:w="11240"/>
          </w:cols>
          <w:pgMar w:left="320" w:top="1427" w:right="339" w:bottom="1440" w:gutter="0" w:footer="0" w:header="0"/>
        </w:sectPr>
      </w:pPr>
    </w:p>
    <w:bookmarkStart w:id="6" w:name="page7"/>
    <w:bookmarkEnd w:id="6"/>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planned clinical trials and program strategy for CYB003; plans for additional European study sites; the potential for CYB003 to provide significant improvement over existing therapies; the advancement of CYB003 towards a Phase 3 trial in mid-2024; the potential reduction in drug development timelines afforded by BTD; and the Company’s proprietary drug discovery platforms, innovative drug delivery systems, novel formulation approaches and treatment regimens for mental health disorders.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w:t>
      </w:r>
    </w:p>
    <w:p>
      <w:pPr>
        <w:sectPr>
          <w:pgSz w:w="11900" w:h="16838" w:orient="portrait"/>
          <w:cols w:equalWidth="0" w:num="1">
            <w:col w:w="11240"/>
          </w:cols>
          <w:pgMar w:left="320" w:top="1427" w:right="339" w:bottom="1440" w:gutter="0" w:footer="0" w:header="0"/>
        </w:sectPr>
      </w:pPr>
    </w:p>
    <w:bookmarkStart w:id="7" w:name="page8"/>
    <w:bookmarkEnd w:id="7"/>
    <w:p>
      <w:pPr>
        <w:jc w:val="both"/>
        <w:spacing w:after="0" w:line="280" w:lineRule="auto"/>
        <w:rPr>
          <w:sz w:val="20"/>
          <w:szCs w:val="20"/>
          <w:color w:val="auto"/>
        </w:rPr>
      </w:pPr>
      <w:r>
        <w:rPr>
          <w:rFonts w:ascii="Arial" w:cs="Arial" w:eastAsia="Arial" w:hAnsi="Arial"/>
          <w:sz w:val="20"/>
          <w:szCs w:val="20"/>
          <w:color w:val="auto"/>
        </w:rPr>
        <w:t xml:space="preserve">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08"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2024-03-14T15:10:38Z</dcterms:created>
  <dcterms:modified xsi:type="dcterms:W3CDTF">2024-03-14T15:10:38Z</dcterms:modified>
</cp:coreProperties>
</file>