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December,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18,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December 18,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0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Transfer U.S. Stock Exchange Listing to Nasdaq</w:t>
      </w:r>
    </w:p>
    <w:p>
      <w:pPr>
        <w:spacing w:after="0" w:line="280"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December 18, 2025 – Cybin Inc. (NYSE American:CYBN) (Cboe CA:CYBN) , a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breakthrough pharmaceutical company committed to revolutionizing mental healthcare by developing innovative next-generation treatment options, today announced that it will voluntarily transfer its U.S. stock exchange listing to the Nasdaq Global Market (“Nasdaq”) from the NYSE American LLC (“NYSE American”). The Company expects that its common shares will cease trading on the NYSE American at market close on January 4, 2026 and commence trading on Nasdaq at market open on January 5, 2026.</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Concurrent with the commencement of trading on Nasdaq, the Company will be doing business as Helus Pharma (pronounced "Heal Us"). It will no longer trade under the ticker symbol “CYBN” and instead will trade under the ticker symbol “HELP”. The Company will continue to be listed on the Cboe Canada and will also trade under the new “HELP” ticker symbol commencing on January 5, 2026.</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“We are pleased to join the community of global pharmaceutical companies listed on Nasdaq and thank the NYSE American for supporting the company over the last four years since our initial listing,” said Eric So, interim chief executive officer of Cybin. “The transfer to Nasdaq marks the next step in the evolution of Cybin into a global pharmaceutical company.”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clinical-stage breakthrough pharmaceutical company committed to revolutionizing mental healthcare by developing new and innovative next-generation treatment options to address the large unmet need for people who suffer from mental health conditions.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promising class leading data, Cybin is working to change the mental health treatment landscape through the introduction of novel drugs that provide effective and durable results for patients. The Company is currently developing CYB003, in Phase 3 studies for the adjunctive treatment of major depressive disorder that has received Breakthrough Therapy Designation from the U.S. Food and Drug Administration and CYB004 in Phase 2 study for generalized anxiety disorder. Cybin also has an extensive research pipeline of investigational compounds.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14" w:lineRule="auto"/>
        <w:rPr>
          <w:sz w:val="20"/>
          <w:szCs w:val="20"/>
          <w:color w:val="auto"/>
        </w:rPr>
      </w:pPr>
      <w:r>
        <w:rPr>
          <w:rFonts w:ascii="Arial" w:cs="Arial" w:eastAsia="Arial" w:hAnsi="Arial"/>
          <w:sz w:val="20"/>
          <w:szCs w:val="20"/>
          <w:color w:val="auto"/>
        </w:rPr>
        <w:t>Founded in 2019, Cybin is operational in Canada, the United States, the United Kingdom and Ireland. For updates and to learn more about the Company, visit www.cybin.com or follow the team on X, LinkedIn, YouTube and Instagram.</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expectations to commence trading on Nasdaq and to cease trading on the NYSE American; and the Company’s plans to engineer proprietary drug discovery platforms, innovative drug delivery systems, novel formulation approaches and treatment regimens for mental health conditions.</w:t>
      </w:r>
    </w:p>
    <w:p>
      <w:pPr>
        <w:spacing w:after="0" w:line="2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six month periods ended September 30, 2025, and the Company’s annual information form for the year ended March 31, 2025,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80" w:lineRule="auto"/>
        <w:rPr>
          <w:sz w:val="20"/>
          <w:szCs w:val="20"/>
          <w:color w:val="auto"/>
        </w:rPr>
      </w:pPr>
      <w:r>
        <w:rPr>
          <w:rFonts w:ascii="Arial" w:cs="Arial" w:eastAsia="Arial" w:hAnsi="Arial"/>
          <w:sz w:val="20"/>
          <w:szCs w:val="20"/>
          <w:color w:val="auto"/>
        </w:rPr>
        <w:t>The Company makes no medical, treatment or health benefit claims about the Company’s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Helis cannot obtain the approvals or research necessary to commercialize its business, it may have a material adverse effect on the Company’s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Josh Barer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astr partners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Managing Director</w:t>
      </w:r>
    </w:p>
    <w:p>
      <w:pPr>
        <w:spacing w:after="0" w:line="35" w:lineRule="exact"/>
        <w:rPr>
          <w:sz w:val="20"/>
          <w:szCs w:val="20"/>
          <w:color w:val="auto"/>
        </w:rPr>
      </w:pPr>
    </w:p>
    <w:p>
      <w:pPr>
        <w:ind w:right="8660" w:firstLine="8"/>
        <w:spacing w:after="0" w:line="328" w:lineRule="auto"/>
        <w:tabs>
          <w:tab w:leader="none" w:pos="517"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578-6478 </w:t>
      </w:r>
      <w:r>
        <w:rPr>
          <w:rFonts w:ascii="Arial" w:cs="Arial" w:eastAsia="Arial" w:hAnsi="Arial"/>
          <w:sz w:val="19"/>
          <w:szCs w:val="19"/>
          <w:color w:val="040A2C"/>
        </w:rPr>
        <w:t>josh.barer@astrpartners.com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George Tziras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Business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Johnny Tokarczyk</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RXMD</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Public Relations Director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Jtokarczyk@rxmedyn.com</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(914) 772- 7562</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2025-12-18T16:12:14Z</dcterms:created>
  <dcterms:modified xsi:type="dcterms:W3CDTF">2025-12-18T16:12:14Z</dcterms:modified>
</cp:coreProperties>
</file>