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CYBIN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23256X407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10/28/2025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3,072,250.00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3,072,250.00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3,072,250.00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3,072,250.00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3,072,250.00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3,072,250.00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6.09 %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3,072,250.00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3,072,250.00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3,072,250.00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CYBIN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King Street West, Suite 5600, Toronto, Ontario, M5X IC9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jc w:val="left"/>
              <w:rPr/>
            </w:pPr>
            <w:r>
              <w:rPr/>
              <w:t xml:space="preserve">CUSIP No.: </w:t>
            </w:r>
          </w:p>
          <w:p>
            <w:pPr>
              <w:pStyle w:val="TableContents"/>
              <w:bidi w:val="0"/>
              <w:spacing w:before="0" w:after="0"/>
              <w:jc w:val="left"/>
              <w:rPr/>
            </w:pPr>
            <w:r>
              <w:rPr/>
              <w:t>23256X407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3,072,250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6.09%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3,072,250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3,072,250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11/04/2025</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11/04/2025</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11/04/2025</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November 4, 2025, is incorporated by reference to items (5) - (9) and (11) of the cover page of the respective Reporting Person. The amount beneficially owned by each Reporting Person is determined using 50,431,381 shares, calculated using 49,894,131 Common Stock outstanding as of October 28, 2025, and 537,250 Warrants that would be converted to Common Stock by the Reporting Person up to the Maximum Percentage. The beneficially owned shares include 537,250 Warrants exercisable to common stock, subject to a 9.99% Maximum Percentage exercise limitation. The Issuer shall not effect the exercise of any portion of the Warrants, to the extent that after giving effect to such exercise, the holder collectively would beneficially own in excess of 9.99% (the "Maximum Percentage") of the number of Common Stock outstanding immediately after giving effect to such exercise.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November 4, 2025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1428</Words>
  <Characters>7450</Characters>
  <CharactersWithSpaces>8822</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