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141"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796" w:type="dxa"/>
        <w:jc w:val="left"/>
        <w:tblInd w:w="0" w:type="dxa"/>
        <w:tblLayout w:type="fixed"/>
        <w:tblCellMar>
          <w:top w:w="28" w:type="dxa"/>
          <w:left w:w="28" w:type="dxa"/>
          <w:bottom w:w="28" w:type="dxa"/>
          <w:right w:w="28" w:type="dxa"/>
        </w:tblCellMar>
      </w:tblPr>
      <w:tblGrid>
        <w:gridCol w:w="174"/>
        <w:gridCol w:w="153"/>
        <w:gridCol w:w="154"/>
        <w:gridCol w:w="969"/>
        <w:gridCol w:w="969"/>
        <w:gridCol w:w="137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31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antorfiresidecurtainraiser.htm">
              <w:r>
                <w:rPr>
                  <w:rStyle w:val="InternetLink"/>
                  <w:rFonts w:ascii="Times New Roman;serif" w:hAnsi="Times New Roman;serif"/>
                  <w:b w:val="false"/>
                  <w:color w:val="000080"/>
                  <w:sz w:val="20"/>
                  <w:u w:val="single"/>
                </w:rPr>
                <w:t xml:space="preserve">News Release dated </w:t>
              </w:r>
            </w:hyperlink>
            <w:hyperlink w:anchor="cantorfiresidecurtainraiser.htm">
              <w:r>
                <w:rPr>
                  <w:rStyle w:val="InternetLink"/>
                  <w:rFonts w:ascii="Times New Roman;serif" w:hAnsi="Times New Roman;serif"/>
                  <w:b w:val="false"/>
                  <w:color w:val="000080"/>
                  <w:sz w:val="20"/>
                  <w:u w:val="single"/>
                </w:rPr>
                <w:t>September</w:t>
              </w:r>
            </w:hyperlink>
            <w:hyperlink w:anchor="cantorfiresidecurtainraiser.htm">
              <w:r>
                <w:rPr>
                  <w:rStyle w:val="InternetLink"/>
                  <w:rFonts w:ascii="Times New Roman;serif" w:hAnsi="Times New Roman;serif"/>
                  <w:b w:val="false"/>
                  <w:color w:val="000080"/>
                  <w:sz w:val="20"/>
                  <w:u w:val="single"/>
                </w:rPr>
                <w:t xml:space="preserve"> </w:t>
              </w:r>
            </w:hyperlink>
            <w:hyperlink w:anchor="cantorfiresidecurtainraiser.htm">
              <w:r>
                <w:rPr>
                  <w:rStyle w:val="InternetLink"/>
                  <w:rFonts w:ascii="Times New Roman;serif" w:hAnsi="Times New Roman;serif"/>
                  <w:b w:val="false"/>
                  <w:color w:val="000080"/>
                  <w:sz w:val="20"/>
                  <w:u w:val="single"/>
                </w:rPr>
                <w:t>3</w:t>
              </w:r>
            </w:hyperlink>
            <w:hyperlink w:anchor="cantorfiresidecurtainraiser.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21" w:before="0" w:after="0"/>
        <w:jc w:val="center"/>
        <w:rPr>
          <w:rFonts w:ascii="Arial;sans-serif" w:hAnsi="Arial;sans-serif"/>
          <w:b/>
          <w:color w:val="000000"/>
          <w:sz w:val="28"/>
        </w:rPr>
      </w:pPr>
      <w:r>
        <w:rPr>
          <w:rFonts w:ascii="Arial;sans-serif" w:hAnsi="Arial;sans-serif"/>
          <w:b/>
          <w:color w:val="000000"/>
          <w:sz w:val="28"/>
        </w:rPr>
        <w:t>Helus Pharma to Participate at the 2026 Cantor Global Healthcare Conference in New York</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CEO Michael Halstead to participate in a fireside chat on Friday, September 11, 2026 at 8:00 a.m. EDT.</w:t>
      </w:r>
    </w:p>
    <w:p>
      <w:pPr>
        <w:pStyle w:val="TextBody"/>
        <w:bidi w:val="0"/>
        <w:spacing w:before="0" w:after="0"/>
        <w:jc w:val="left"/>
        <w:rPr/>
      </w:pPr>
      <w:r>
        <w:rPr/>
      </w:r>
    </w:p>
    <w:p>
      <w:pPr>
        <w:pStyle w:val="TextBody"/>
        <w:bidi w:val="0"/>
        <w:spacing w:lineRule="auto" w:line="321"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 xml:space="preserve">September 3, 2026 – Helus Pharma (Nasdaq: HELP) (Cboe CA: HELP) (the “Company” or “Helus Pharma”), a clinical-stage pharmaceutical company committed to helping minds heal by developing novel serotonergic agonists (“NSAs”), today announced that Michael Halstead, Helus Pharma’s Chief Executive Officer, will participate in a fireside chat at the Cantor Global Healthcare Conference in New York City taking place September 9-11, 2026. </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The fireside chat will be webcast live on Friday, September 11, 2026 at 8:00 a.m. EDT.</w:t>
      </w:r>
    </w:p>
    <w:p>
      <w:pPr>
        <w:pStyle w:val="TextBody"/>
        <w:bidi w:val="0"/>
        <w:spacing w:before="0" w:after="0"/>
        <w:jc w:val="both"/>
        <w:rPr/>
      </w:pPr>
      <w:r>
        <w:rPr/>
      </w:r>
    </w:p>
    <w:p>
      <w:pPr>
        <w:pStyle w:val="TextBody"/>
        <w:bidi w:val="0"/>
        <w:spacing w:lineRule="auto" w:line="321" w:before="0" w:after="160"/>
        <w:jc w:val="left"/>
        <w:rPr/>
      </w:pPr>
      <w:r>
        <w:rPr>
          <w:rFonts w:ascii="Arial;sans-serif" w:hAnsi="Arial;sans-serif"/>
          <w:b w:val="false"/>
          <w:color w:val="000000"/>
          <w:sz w:val="22"/>
        </w:rPr>
        <w:t xml:space="preserve">To register for the webcast, </w:t>
      </w:r>
      <w:r>
        <w:rPr>
          <w:rFonts w:ascii="Arial;sans-serif" w:hAnsi="Arial;sans-serif"/>
          <w:b w:val="false"/>
          <w:color w:val="467886"/>
          <w:sz w:val="22"/>
          <w:u w:val="single"/>
        </w:rPr>
        <w:t>click here.</w:t>
      </w:r>
      <w:r>
        <w:rPr>
          <w:color w:val="000000"/>
        </w:rPr>
        <w:t xml:space="preserve"> </w:t>
      </w:r>
      <w:r>
        <w:rPr>
          <w:rFonts w:ascii="Arial;sans-serif" w:hAnsi="Arial;sans-serif"/>
          <w:b w:val="false"/>
          <w:color w:val="000000"/>
          <w:sz w:val="22"/>
        </w:rPr>
        <w:t>A replay will be available on the Events &amp; Presentations page of Helus Pharma’s investor relations website.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6595"/>
                <wp:effectExtent l="0" t="0" r="0" b="0"/>
                <wp:wrapNone/>
                <wp:docPr id="5" name="Frame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anticipated participation in the Cantor Fitzgerald Global Healthcare Conference; and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96595"/>
                <wp:effectExtent l="0" t="0" r="0" b="0"/>
                <wp:wrapNone/>
                <wp:docPr id="6" name="Frame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u w:val="single"/>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media@helus.com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vverdeja@rxmedyn.com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6595"/>
                <wp:effectExtent l="0" t="0" r="0" b="0"/>
                <wp:wrapNone/>
                <wp:docPr id="7" name="Frame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1114</Words>
  <Characters>6580</Characters>
  <CharactersWithSpaces>7659</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