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April,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April 23,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2985770</wp:posOffset>
            </wp:positionH>
            <wp:positionV relativeFrom="page">
              <wp:posOffset>1066165</wp:posOffset>
            </wp:positionV>
            <wp:extent cx="1585595" cy="925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8559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340" w:right="240"/>
        <w:spacing w:after="0" w:line="321" w:lineRule="auto"/>
        <w:rPr>
          <w:sz w:val="20"/>
          <w:szCs w:val="20"/>
          <w:color w:val="auto"/>
        </w:rPr>
      </w:pPr>
      <w:r>
        <w:rPr>
          <w:rFonts w:ascii="Arial" w:cs="Arial" w:eastAsia="Arial" w:hAnsi="Arial"/>
          <w:sz w:val="25"/>
          <w:szCs w:val="25"/>
          <w:b w:val="1"/>
          <w:bCs w:val="1"/>
          <w:color w:val="auto"/>
        </w:rPr>
        <w:t>Cybin Announces Additional Strategic Clinical Site Partnerships to Support PARADIGM, a Multinational Phase 3 Program Evaluating CYB003</w:t>
      </w:r>
    </w:p>
    <w:p>
      <w:pPr>
        <w:spacing w:after="0" w:line="138" w:lineRule="exact"/>
        <w:rPr>
          <w:sz w:val="20"/>
          <w:szCs w:val="20"/>
          <w:color w:val="auto"/>
        </w:rPr>
      </w:pPr>
    </w:p>
    <w:p>
      <w:pPr>
        <w:ind w:left="200" w:hanging="125"/>
        <w:spacing w:after="0"/>
        <w:tabs>
          <w:tab w:leader="none" w:pos="200" w:val="left"/>
        </w:tabs>
        <w:numPr>
          <w:ilvl w:val="1"/>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Strategic Partnership Agreements promote collaboration and aligned incentives across sites, enhancing operational efficiency</w:t>
      </w:r>
    </w:p>
    <w:p>
      <w:pPr>
        <w:spacing w:after="0" w:line="51" w:lineRule="exact"/>
        <w:rPr>
          <w:rFonts w:ascii="Arial" w:cs="Arial" w:eastAsia="Arial" w:hAnsi="Arial"/>
          <w:sz w:val="19"/>
          <w:szCs w:val="19"/>
          <w:i w:val="1"/>
          <w:iCs w:val="1"/>
          <w:color w:val="auto"/>
        </w:rPr>
      </w:pPr>
    </w:p>
    <w:p>
      <w:pPr>
        <w:ind w:left="314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and improving site performance and patient recruitment -</w:t>
      </w:r>
    </w:p>
    <w:p>
      <w:pPr>
        <w:spacing w:after="0" w:line="269" w:lineRule="exact"/>
        <w:rPr>
          <w:rFonts w:ascii="Arial" w:cs="Arial" w:eastAsia="Arial" w:hAnsi="Arial"/>
          <w:sz w:val="19"/>
          <w:szCs w:val="19"/>
          <w:i w:val="1"/>
          <w:iCs w:val="1"/>
          <w:color w:val="auto"/>
        </w:rPr>
      </w:pPr>
    </w:p>
    <w:p>
      <w:pPr>
        <w:ind w:left="160" w:hanging="112"/>
        <w:spacing w:after="0"/>
        <w:tabs>
          <w:tab w:leader="none" w:pos="16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Phase 2 data confirmed that two 16 mg doses of CYB003 administered three weeks apart provides remission from depression</w:t>
      </w:r>
    </w:p>
    <w:p>
      <w:pPr>
        <w:spacing w:after="0" w:line="51" w:lineRule="exact"/>
        <w:rPr>
          <w:rFonts w:ascii="Arial" w:cs="Arial" w:eastAsia="Arial" w:hAnsi="Arial"/>
          <w:sz w:val="19"/>
          <w:szCs w:val="19"/>
          <w:i w:val="1"/>
          <w:iCs w:val="1"/>
          <w:color w:val="auto"/>
        </w:rPr>
      </w:pPr>
    </w:p>
    <w:p>
      <w:pPr>
        <w:ind w:left="342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symptoms for 12 months in 71% of MDD patients -</w:t>
      </w:r>
    </w:p>
    <w:p>
      <w:pPr>
        <w:spacing w:after="0" w:line="269" w:lineRule="exact"/>
        <w:rPr>
          <w:rFonts w:ascii="Arial" w:cs="Arial" w:eastAsia="Arial" w:hAnsi="Arial"/>
          <w:sz w:val="19"/>
          <w:szCs w:val="19"/>
          <w:i w:val="1"/>
          <w:iCs w:val="1"/>
          <w:color w:val="auto"/>
        </w:rPr>
      </w:pPr>
    </w:p>
    <w:p>
      <w:pPr>
        <w:ind w:left="240" w:hanging="124"/>
        <w:spacing w:after="0"/>
        <w:tabs>
          <w:tab w:leader="none" w:pos="240" w:val="left"/>
        </w:tabs>
        <w:numPr>
          <w:ilvl w:val="2"/>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Patient dosing continues in APPROACH, Cybin’s first pivotal Phase 3 study of CYB003 for the adjunctive treatment for Major</w:t>
      </w:r>
    </w:p>
    <w:p>
      <w:pPr>
        <w:spacing w:after="0" w:line="51" w:lineRule="exact"/>
        <w:rPr>
          <w:rFonts w:ascii="Arial" w:cs="Arial" w:eastAsia="Arial" w:hAnsi="Arial"/>
          <w:sz w:val="19"/>
          <w:szCs w:val="19"/>
          <w:i w:val="1"/>
          <w:iCs w:val="1"/>
          <w:color w:val="auto"/>
        </w:rPr>
      </w:pPr>
    </w:p>
    <w:p>
      <w:pPr>
        <w:ind w:left="428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Depressive Disorder (“MDD”) -</w:t>
      </w:r>
    </w:p>
    <w:p>
      <w:pPr>
        <w:spacing w:after="0" w:line="269" w:lineRule="exact"/>
        <w:rPr>
          <w:rFonts w:ascii="Arial" w:cs="Arial" w:eastAsia="Arial" w:hAnsi="Arial"/>
          <w:sz w:val="19"/>
          <w:szCs w:val="19"/>
          <w:i w:val="1"/>
          <w:iCs w:val="1"/>
          <w:color w:val="auto"/>
        </w:rPr>
      </w:pPr>
    </w:p>
    <w:p>
      <w:pPr>
        <w:ind w:left="2720" w:hanging="119"/>
        <w:spacing w:after="0"/>
        <w:tabs>
          <w:tab w:leader="none" w:pos="2720" w:val="left"/>
        </w:tabs>
        <w:numPr>
          <w:ilvl w:val="3"/>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Second Phase 3 study, EMBRACE, is expected to begin mid-2025 -</w:t>
      </w:r>
    </w:p>
    <w:p>
      <w:pPr>
        <w:spacing w:after="0" w:line="322"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April 23,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467886"/>
        </w:rPr>
        <w:t>Cybin</w:t>
      </w:r>
      <w:r>
        <w:rPr>
          <w:rFonts w:ascii="Arial" w:cs="Arial" w:eastAsia="Arial" w:hAnsi="Arial"/>
          <w:sz w:val="20"/>
          <w:szCs w:val="20"/>
          <w:b w:val="1"/>
          <w:bCs w:val="1"/>
          <w:color w:val="auto"/>
        </w:rPr>
        <w:t xml:space="preserve"> </w:t>
      </w:r>
      <w:r>
        <w:rPr>
          <w:rFonts w:ascii="Arial" w:cs="Arial" w:eastAsia="Arial" w:hAnsi="Arial"/>
          <w:sz w:val="20"/>
          <w:szCs w:val="20"/>
          <w:color w:val="auto"/>
        </w:rPr>
        <w:t>Inc. (NYSE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breakthrough neuropsychiatry platform company committed to revolutionizing mental healthcare by developing new and innovative next-generation treatment options, today announced additional strategic partnership agreements (“SPAs”), bringing the total to 18 clinical sites engaged to advance Cybin’s multinational Phase 3 program evaluating CYB003 for the adjunctive treatment of MDD. The APPROACH study is expected to include approximately 45 clinical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-725170</wp:posOffset>
            </wp:positionV>
            <wp:extent cx="23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490" cy="8255"/>
                    </a:xfrm>
                    <a:prstGeom prst="rect">
                      <a:avLst/>
                    </a:prstGeom>
                    <a:noFill/>
                  </pic:spPr>
                </pic:pic>
              </a:graphicData>
            </a:graphic>
          </wp:anchor>
        </w:drawing>
      </w:r>
    </w:p>
    <w:p>
      <w:pPr>
        <w:spacing w:after="0" w:line="17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“This SPA model serves to take advantage of the deep expertise of each individual site and ensure that protocols and best practices are shared consistently,” said Doug Drysdale, Chief Executive Officer of Cybin. “This level of cooperation will streamline trial operations and has the potential to reduce time to completion. We are especially pleased that Kimball A. Johnson, M.D., Medical Director of CenExel iResearch Atlanta, who served as the principal investigator for our successful Phase 1/2a CYB003 trial, and Paul Thielking, Chief Scientific Officer, Cedar Clinical Research, are participating in the SPA program. Our SPA partners are experienced in neuropsychiatric drug trials and share Cybin’s deep commitment to the highest quality standards of investigational clinical work, and to developing safe and effective next-generation treatments to improve patient outcomes.”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90" w:lineRule="auto"/>
        <w:rPr>
          <w:sz w:val="20"/>
          <w:szCs w:val="20"/>
          <w:color w:val="auto"/>
        </w:rPr>
      </w:pPr>
      <w:r>
        <w:rPr>
          <w:rFonts w:ascii="Arial" w:cs="Arial" w:eastAsia="Arial" w:hAnsi="Arial"/>
          <w:sz w:val="20"/>
          <w:szCs w:val="20"/>
          <w:color w:val="auto"/>
        </w:rPr>
        <w:t>“I am delighted that iResearch Atlanta is participating in this next exciting stage of development for CYB003, and that we will be part of a consortium of sites working to advance its Phase 3 program,” said Kimball A. Johnson, M.D., Medical Director of CenExel iResearch Atlanta.</w:t>
      </w:r>
    </w:p>
    <w:p>
      <w:pPr>
        <w:spacing w:after="0" w:line="206"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“Cedar Clinical Research has extensive experience in this space, and we are eager to join the other sites supporting Cybin’s PARADIGM program and address the global crisis in mental health,” said Paul Thielking, Chief Scientific Officer, Cedar Clinical Research, a Numinus Wellness Inc. company.</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initiated the SPA program earlier this year with Segal Trials, a leading clinical research network located in South Florida. Each of the 18 U.S.-based SPA sites bring decades of clinical experience and a commitment to excellence to support and expedite the Company’s Phase 3 PARADIGM program.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21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program, in Phase 3 development for the adjunctive treatment of major depressive disorder and CYB004, a proprietary deuterated N, N-dimethyltryptamine program in a Phase 2 study for generalized anxiety disorder. The company also has a research pipeline of investigational, 5-HT-receptor focused compounds.</w:t>
      </w:r>
    </w:p>
    <w:p>
      <w:pPr>
        <w:spacing w:after="0" w:line="22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ectPr>
          <w:pgSz w:w="11900" w:h="16838" w:orient="portrait"/>
          <w:cols w:equalWidth="0" w:num="1">
            <w:col w:w="11240"/>
          </w:cols>
          <w:pgMar w:left="320" w:top="1427"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99"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 xml:space="preserve">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enroll patients across clinical sites in the United States and Europe; </w:t>
      </w:r>
      <w:r>
        <w:rPr>
          <w:rFonts w:ascii="Arial" w:cs="Arial" w:eastAsia="Arial" w:hAnsi="Arial"/>
          <w:sz w:val="20"/>
          <w:szCs w:val="20"/>
          <w:color w:val="auto"/>
        </w:rPr>
        <w:t>the</w:t>
      </w:r>
      <w:r>
        <w:rPr>
          <w:rFonts w:ascii="Arial" w:cs="Arial" w:eastAsia="Arial" w:hAnsi="Arial"/>
          <w:sz w:val="19"/>
          <w:szCs w:val="19"/>
          <w:color w:val="auto"/>
        </w:rPr>
        <w:t xml:space="preserve"> potential reduction in drug</w:t>
      </w:r>
    </w:p>
    <w:p>
      <w:pPr>
        <w:spacing w:after="0" w:line="4" w:lineRule="exact"/>
        <w:rPr>
          <w:sz w:val="20"/>
          <w:szCs w:val="20"/>
          <w:color w:val="auto"/>
        </w:rPr>
      </w:pPr>
    </w:p>
    <w:p>
      <w:pPr>
        <w:jc w:val="both"/>
        <w:spacing w:after="0" w:line="293" w:lineRule="auto"/>
        <w:rPr>
          <w:sz w:val="20"/>
          <w:szCs w:val="20"/>
          <w:color w:val="auto"/>
        </w:rPr>
      </w:pPr>
      <w:r>
        <w:rPr>
          <w:rFonts w:ascii="Arial" w:cs="Arial" w:eastAsia="Arial" w:hAnsi="Arial"/>
          <w:sz w:val="20"/>
          <w:szCs w:val="20"/>
          <w:color w:val="auto"/>
        </w:rPr>
        <w:t xml:space="preserve">development timeline afforded by its SPA </w:t>
      </w:r>
      <w:r>
        <w:rPr>
          <w:rFonts w:ascii="Arial" w:cs="Arial" w:eastAsia="Arial" w:hAnsi="Arial"/>
          <w:sz w:val="21"/>
          <w:szCs w:val="21"/>
          <w:color w:val="auto"/>
        </w:rPr>
        <w:t>program; t</w:t>
      </w:r>
      <w:r>
        <w:rPr>
          <w:rFonts w:ascii="Arial" w:cs="Arial" w:eastAsia="Arial" w:hAnsi="Arial"/>
          <w:sz w:val="20"/>
          <w:szCs w:val="20"/>
          <w:color w:val="auto"/>
        </w:rPr>
        <w:t>he eventual inclusion of approximately 45 clinical sites; and the Company’s plans to engineer proprietary drug discovery platforms, innovative drug delivery systems, novel formulation approaches and treatment regimens for mental health disorders.</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a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nine month periods ended December 31, 2024 and the Company’s annual information form for the year ended March 31, 2024, which are available under the Company's profile on SEDAR+ </w:t>
      </w:r>
      <w:r>
        <w:rPr>
          <w:rFonts w:ascii="Arial" w:cs="Arial" w:eastAsia="Arial" w:hAnsi="Arial"/>
          <w:sz w:val="20"/>
          <w:szCs w:val="20"/>
          <w:u w:val="single" w:color="auto"/>
          <w:color w:val="467886"/>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467886"/>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240"/>
          </w:cols>
          <w:pgMar w:left="320" w:top="1425" w:right="339" w:bottom="1440" w:gutter="0" w:footer="0" w:header="0"/>
        </w:sectPr>
      </w:pPr>
    </w:p>
    <w:bookmarkStart w:id="6" w:name="page7"/>
    <w:bookmarkEnd w:id="6"/>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14"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 </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467886"/>
        </w:rPr>
        <w:t>irteam@cybin.com</w:t>
      </w:r>
      <w:r>
        <w:rPr>
          <w:rFonts w:ascii="Arial" w:cs="Arial" w:eastAsia="Arial" w:hAnsi="Arial"/>
          <w:sz w:val="20"/>
          <w:szCs w:val="20"/>
          <w:color w:val="467886"/>
        </w:rPr>
        <w:t xml:space="preserve"> </w:t>
      </w:r>
      <w:r>
        <w:rPr>
          <w:rFonts w:ascii="Arial" w:cs="Arial" w:eastAsia="Arial" w:hAnsi="Arial"/>
          <w:sz w:val="20"/>
          <w:szCs w:val="20"/>
          <w:color w:val="000000"/>
        </w:rPr>
        <w:t>– or –</w:t>
      </w:r>
      <w:r>
        <w:rPr>
          <w:rFonts w:ascii="Arial" w:cs="Arial" w:eastAsia="Arial" w:hAnsi="Arial"/>
          <w:sz w:val="20"/>
          <w:szCs w:val="20"/>
          <w:color w:val="467886"/>
        </w:rPr>
        <w:t xml:space="preserve"> </w:t>
      </w:r>
      <w:r>
        <w:rPr>
          <w:rFonts w:ascii="Arial" w:cs="Arial" w:eastAsia="Arial" w:hAnsi="Arial"/>
          <w:sz w:val="20"/>
          <w:szCs w:val="20"/>
          <w:u w:val="single" w:color="auto"/>
          <w:color w:val="467886"/>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2025-04-23T16:32:42Z</dcterms:created>
  <dcterms:modified xsi:type="dcterms:W3CDTF">2025-04-23T16:32:42Z</dcterms:modified>
</cp:coreProperties>
</file>