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80"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UNITED STATES</w:t>
      </w:r>
    </w:p>
    <w:p>
      <w:pPr>
        <w:spacing w:after="0" w:line="11"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SECURITIES AND EXCHANGE COMMISSION</w:t>
      </w:r>
    </w:p>
    <w:p>
      <w:pPr>
        <w:jc w:val="center"/>
        <w:ind w:right="-1100"/>
        <w:spacing w:after="0"/>
        <w:rPr>
          <w:sz w:val="20"/>
          <w:szCs w:val="20"/>
          <w:color w:val="auto"/>
        </w:rPr>
      </w:pPr>
      <w:r>
        <w:rPr>
          <w:rFonts w:ascii="Arial" w:cs="Arial" w:eastAsia="Arial" w:hAnsi="Arial"/>
          <w:sz w:val="18"/>
          <w:szCs w:val="18"/>
          <w:b w:val="1"/>
          <w:bCs w:val="1"/>
          <w:color w:val="auto"/>
        </w:rPr>
        <w:t>Washington, D.C. 20549</w:t>
      </w:r>
    </w:p>
    <w:p>
      <w:pPr>
        <w:spacing w:after="0" w:line="192"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Form 6-K</w:t>
      </w:r>
    </w:p>
    <w:p>
      <w:pPr>
        <w:spacing w:after="0" w:line="212" w:lineRule="exact"/>
        <w:rPr>
          <w:sz w:val="24"/>
          <w:szCs w:val="24"/>
          <w:color w:val="auto"/>
        </w:rPr>
      </w:pPr>
    </w:p>
    <w:p>
      <w:pPr>
        <w:jc w:val="center"/>
        <w:ind w:right="-1100"/>
        <w:spacing w:after="0"/>
        <w:rPr>
          <w:sz w:val="20"/>
          <w:szCs w:val="20"/>
          <w:color w:val="auto"/>
        </w:rPr>
      </w:pPr>
      <w:r>
        <w:rPr>
          <w:rFonts w:ascii="Arial" w:cs="Arial" w:eastAsia="Arial" w:hAnsi="Arial"/>
          <w:sz w:val="17"/>
          <w:szCs w:val="17"/>
          <w:b w:val="1"/>
          <w:bCs w:val="1"/>
          <w:color w:val="auto"/>
        </w:rPr>
        <w:t>REPORT OF FOREIGN PRIVATE ISSUER PURSUANT TO RULE 13a-16 OR 15d-16</w:t>
      </w:r>
    </w:p>
    <w:p>
      <w:pPr>
        <w:spacing w:after="0" w:line="27"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74" w:lineRule="exact"/>
        <w:rPr>
          <w:sz w:val="24"/>
          <w:szCs w:val="24"/>
          <w:color w:val="auto"/>
        </w:rPr>
      </w:pPr>
    </w:p>
    <w:p>
      <w:pPr>
        <w:spacing w:after="0"/>
        <w:rPr>
          <w:sz w:val="20"/>
          <w:szCs w:val="20"/>
          <w:color w:val="auto"/>
        </w:rPr>
      </w:pPr>
      <w:r>
        <w:rPr>
          <w:rFonts w:ascii="Arial" w:cs="Arial" w:eastAsia="Arial" w:hAnsi="Arial"/>
          <w:sz w:val="18"/>
          <w:szCs w:val="18"/>
          <w:color w:val="auto"/>
        </w:rPr>
        <w:t>For the month of June, 2023.</w:t>
      </w:r>
    </w:p>
    <w:p>
      <w:pPr>
        <w:spacing w:after="0" w:line="86"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Commission File Number: </w:t>
      </w:r>
      <w:r>
        <w:rPr>
          <w:rFonts w:ascii="Arial" w:cs="Arial" w:eastAsia="Arial" w:hAnsi="Arial"/>
          <w:sz w:val="18"/>
          <w:szCs w:val="18"/>
          <w:b w:val="1"/>
          <w:bCs w:val="1"/>
          <w:color w:val="auto"/>
        </w:rPr>
        <w:t>001-40673</w:t>
      </w:r>
    </w:p>
    <w:p>
      <w:pPr>
        <w:spacing w:after="0" w:line="200" w:lineRule="exact"/>
        <w:rPr>
          <w:sz w:val="24"/>
          <w:szCs w:val="24"/>
          <w:color w:val="auto"/>
        </w:rPr>
      </w:pPr>
    </w:p>
    <w:p>
      <w:pPr>
        <w:spacing w:after="0" w:line="205" w:lineRule="exact"/>
        <w:rPr>
          <w:sz w:val="24"/>
          <w:szCs w:val="24"/>
          <w:color w:val="auto"/>
        </w:rPr>
      </w:pPr>
    </w:p>
    <w:p>
      <w:pPr>
        <w:jc w:val="center"/>
        <w:ind w:right="-1100"/>
        <w:spacing w:after="0"/>
        <w:rPr>
          <w:sz w:val="20"/>
          <w:szCs w:val="20"/>
          <w:color w:val="auto"/>
        </w:rPr>
      </w:pPr>
      <w:r>
        <w:rPr>
          <w:rFonts w:ascii="Arial" w:cs="Arial" w:eastAsia="Arial" w:hAnsi="Arial"/>
          <w:sz w:val="22"/>
          <w:szCs w:val="22"/>
          <w:b w:val="1"/>
          <w:bCs w:val="1"/>
          <w:u w:val="single" w:color="auto"/>
          <w:color w:val="auto"/>
        </w:rPr>
        <w:t>Cybin Inc.</w:t>
      </w:r>
    </w:p>
    <w:p>
      <w:pPr>
        <w:spacing w:after="0" w:line="19"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(Exact Name of Registrant as Specified in Charter)</w:t>
      </w:r>
    </w:p>
    <w:p>
      <w:pPr>
        <w:spacing w:after="0" w:line="192"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100 King Street West, Suite 5600, Toronto, Ontario, M5X 1C9</w:t>
      </w:r>
    </w:p>
    <w:p>
      <w:pPr>
        <w:spacing w:after="0" w:line="16"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(Address of principal executive offices)</w:t>
      </w:r>
    </w:p>
    <w:p>
      <w:pPr>
        <w:spacing w:after="0" w:line="236" w:lineRule="exact"/>
        <w:rPr>
          <w:sz w:val="24"/>
          <w:szCs w:val="24"/>
          <w:color w:val="auto"/>
        </w:rPr>
      </w:pPr>
    </w:p>
    <w:p>
      <w:pPr>
        <w:ind w:right="1839"/>
        <w:spacing w:after="0" w:line="264" w:lineRule="exact"/>
        <w:rPr>
          <w:sz w:val="20"/>
          <w:szCs w:val="20"/>
          <w:color w:val="auto"/>
        </w:rPr>
      </w:pPr>
      <w:r>
        <w:rPr>
          <w:rFonts w:ascii="Arial" w:cs="Arial" w:eastAsia="Arial" w:hAnsi="Arial"/>
          <w:sz w:val="18"/>
          <w:szCs w:val="18"/>
          <w:color w:val="auto"/>
        </w:rPr>
        <w:t xml:space="preserve">Indicate by check mark whether the registrant files or will file annual reports under cover Form 20-F or Form 40-F. Form 20-F </w:t>
      </w:r>
      <w:r>
        <w:rPr>
          <w:rFonts w:ascii="Arial" w:cs="Arial" w:eastAsia="Arial" w:hAnsi="Arial"/>
          <w:sz w:val="25"/>
          <w:szCs w:val="25"/>
          <w:color w:val="auto"/>
        </w:rPr>
        <w:t>□</w:t>
      </w:r>
      <w:r>
        <w:rPr>
          <w:rFonts w:ascii="Arial" w:cs="Arial" w:eastAsia="Arial" w:hAnsi="Arial"/>
          <w:sz w:val="18"/>
          <w:szCs w:val="18"/>
          <w:color w:val="auto"/>
        </w:rPr>
        <w:t xml:space="preserve"> Form 40-F </w:t>
      </w:r>
      <w:r>
        <w:rPr>
          <w:rFonts w:ascii="MS PGothic" w:cs="MS PGothic" w:eastAsia="MS PGothic" w:hAnsi="MS PGothic"/>
          <w:sz w:val="18"/>
          <w:szCs w:val="18"/>
          <w:color w:val="auto"/>
        </w:rPr>
        <w:t>⊠</w:t>
      </w:r>
    </w:p>
    <w:p>
      <w:pPr>
        <w:sectPr>
          <w:pgSz w:w="11900" w:h="16838" w:orient="portrait"/>
          <w:cols w:equalWidth="0" w:num="1">
            <w:col w:w="10139"/>
          </w:cols>
          <w:pgMar w:left="320" w:top="1440" w:right="1440" w:bottom="1440" w:gutter="0" w:footer="0" w:header="0"/>
        </w:sectPr>
      </w:pPr>
    </w:p>
    <w:bookmarkStart w:id="1" w:name="page2"/>
    <w:bookmarkEnd w:id="1"/>
    <w:p>
      <w:pPr>
        <w:jc w:val="center"/>
        <w:ind w:right="-319"/>
        <w:spacing w:after="0"/>
        <w:rPr>
          <w:sz w:val="20"/>
          <w:szCs w:val="20"/>
          <w:color w:val="auto"/>
        </w:rPr>
      </w:pPr>
      <w:r>
        <w:rPr>
          <w:rFonts w:ascii="Arial" w:cs="Arial" w:eastAsia="Arial" w:hAnsi="Arial"/>
          <w:sz w:val="18"/>
          <w:szCs w:val="18"/>
          <w:b w:val="1"/>
          <w:bCs w:val="1"/>
          <w:color w:val="auto"/>
        </w:rPr>
        <w:t>SIGNATURE</w:t>
      </w:r>
    </w:p>
    <w:p>
      <w:pPr>
        <w:spacing w:after="0" w:line="94" w:lineRule="exact"/>
        <w:rPr>
          <w:sz w:val="20"/>
          <w:szCs w:val="20"/>
          <w:color w:val="auto"/>
        </w:rPr>
      </w:pPr>
    </w:p>
    <w:p>
      <w:pPr>
        <w:ind w:firstLine="648"/>
        <w:spacing w:after="0" w:line="26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99"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p>
        </w:tc>
        <w:tc>
          <w:tcPr>
            <w:tcW w:w="5040" w:type="dxa"/>
            <w:vAlign w:val="bottom"/>
          </w:tcPr>
          <w:p>
            <w:pPr>
              <w:spacing w:after="0"/>
              <w:rPr>
                <w:sz w:val="20"/>
                <w:szCs w:val="20"/>
                <w:color w:val="auto"/>
              </w:rPr>
            </w:pPr>
          </w:p>
        </w:tc>
        <w:tc>
          <w:tcPr>
            <w:tcW w:w="4660" w:type="dxa"/>
            <w:vAlign w:val="bottom"/>
            <w:gridSpan w:val="2"/>
          </w:tcPr>
          <w:p>
            <w:pPr>
              <w:ind w:left="20"/>
              <w:spacing w:after="0"/>
              <w:rPr>
                <w:sz w:val="20"/>
                <w:szCs w:val="20"/>
                <w:color w:val="auto"/>
              </w:rPr>
            </w:pPr>
            <w:r>
              <w:rPr>
                <w:rFonts w:ascii="Arial" w:cs="Arial" w:eastAsia="Arial" w:hAnsi="Arial"/>
                <w:sz w:val="18"/>
                <w:szCs w:val="18"/>
                <w:b w:val="1"/>
                <w:bCs w:val="1"/>
                <w:color w:val="auto"/>
              </w:rPr>
              <w:t>CYBIN INC.</w:t>
            </w:r>
          </w:p>
        </w:tc>
      </w:tr>
      <w:tr>
        <w:trPr>
          <w:trHeight w:val="270"/>
        </w:trPr>
        <w:tc>
          <w:tcPr>
            <w:tcW w:w="560" w:type="dxa"/>
            <w:vAlign w:val="bottom"/>
          </w:tcPr>
          <w:p>
            <w:pPr>
              <w:spacing w:after="0"/>
              <w:rPr>
                <w:sz w:val="23"/>
                <w:szCs w:val="23"/>
                <w:color w:val="auto"/>
              </w:rPr>
            </w:pPr>
          </w:p>
        </w:tc>
        <w:tc>
          <w:tcPr>
            <w:tcW w:w="5040" w:type="dxa"/>
            <w:vAlign w:val="bottom"/>
          </w:tcPr>
          <w:p>
            <w:pPr>
              <w:spacing w:after="0"/>
              <w:rPr>
                <w:sz w:val="23"/>
                <w:szCs w:val="23"/>
                <w:color w:val="auto"/>
              </w:rPr>
            </w:pPr>
          </w:p>
        </w:tc>
        <w:tc>
          <w:tcPr>
            <w:tcW w:w="4660" w:type="dxa"/>
            <w:vAlign w:val="bottom"/>
            <w:gridSpan w:val="2"/>
          </w:tcPr>
          <w:p>
            <w:pPr>
              <w:ind w:left="20"/>
              <w:spacing w:after="0"/>
              <w:rPr>
                <w:sz w:val="20"/>
                <w:szCs w:val="20"/>
                <w:color w:val="auto"/>
              </w:rPr>
            </w:pPr>
            <w:r>
              <w:rPr>
                <w:rFonts w:ascii="Arial" w:cs="Arial" w:eastAsia="Arial" w:hAnsi="Arial"/>
                <w:sz w:val="18"/>
                <w:szCs w:val="18"/>
                <w:color w:val="auto"/>
              </w:rPr>
              <w:t>(Registrant)</w:t>
            </w:r>
          </w:p>
        </w:tc>
      </w:tr>
      <w:tr>
        <w:trPr>
          <w:trHeight w:val="513"/>
        </w:trPr>
        <w:tc>
          <w:tcPr>
            <w:tcW w:w="560" w:type="dxa"/>
            <w:vAlign w:val="bottom"/>
          </w:tcPr>
          <w:p>
            <w:pPr>
              <w:spacing w:after="0"/>
              <w:rPr>
                <w:sz w:val="20"/>
                <w:szCs w:val="20"/>
                <w:color w:val="auto"/>
              </w:rPr>
            </w:pPr>
            <w:r>
              <w:rPr>
                <w:rFonts w:ascii="Arial" w:cs="Arial" w:eastAsia="Arial" w:hAnsi="Arial"/>
                <w:sz w:val="18"/>
                <w:szCs w:val="18"/>
                <w:color w:val="auto"/>
              </w:rPr>
              <w:t>Date:</w:t>
            </w:r>
          </w:p>
        </w:tc>
        <w:tc>
          <w:tcPr>
            <w:tcW w:w="5040" w:type="dxa"/>
            <w:vAlign w:val="bottom"/>
          </w:tcPr>
          <w:p>
            <w:pPr>
              <w:ind w:left="140"/>
              <w:spacing w:after="0"/>
              <w:rPr>
                <w:sz w:val="20"/>
                <w:szCs w:val="20"/>
                <w:color w:val="auto"/>
              </w:rPr>
            </w:pPr>
            <w:r>
              <w:rPr>
                <w:rFonts w:ascii="Arial" w:cs="Arial" w:eastAsia="Arial" w:hAnsi="Arial"/>
                <w:sz w:val="18"/>
                <w:szCs w:val="18"/>
                <w:color w:val="auto"/>
              </w:rPr>
              <w:t>June 21, 2023</w:t>
            </w:r>
          </w:p>
        </w:tc>
        <w:tc>
          <w:tcPr>
            <w:tcW w:w="660" w:type="dxa"/>
            <w:vAlign w:val="bottom"/>
          </w:tcPr>
          <w:p>
            <w:pPr>
              <w:ind w:left="20"/>
              <w:spacing w:after="0"/>
              <w:rPr>
                <w:sz w:val="20"/>
                <w:szCs w:val="20"/>
                <w:color w:val="auto"/>
              </w:rPr>
            </w:pPr>
            <w:r>
              <w:rPr>
                <w:rFonts w:ascii="Arial" w:cs="Arial" w:eastAsia="Arial" w:hAnsi="Arial"/>
                <w:sz w:val="18"/>
                <w:szCs w:val="18"/>
                <w:color w:val="auto"/>
              </w:rPr>
              <w:t>By:</w:t>
            </w:r>
          </w:p>
        </w:tc>
        <w:tc>
          <w:tcPr>
            <w:tcW w:w="4000" w:type="dxa"/>
            <w:vAlign w:val="bottom"/>
          </w:tcPr>
          <w:p>
            <w:pPr>
              <w:ind w:left="140"/>
              <w:spacing w:after="0"/>
              <w:rPr>
                <w:sz w:val="20"/>
                <w:szCs w:val="20"/>
                <w:color w:val="auto"/>
              </w:rPr>
            </w:pPr>
            <w:r>
              <w:rPr>
                <w:rFonts w:ascii="Arial" w:cs="Arial" w:eastAsia="Arial" w:hAnsi="Arial"/>
                <w:sz w:val="18"/>
                <w:szCs w:val="18"/>
                <w:i w:val="1"/>
                <w:iCs w:val="1"/>
                <w:color w:val="auto"/>
              </w:rPr>
              <w:t>/s/ Doug Drysdale</w:t>
            </w:r>
          </w:p>
        </w:tc>
      </w:tr>
      <w:tr>
        <w:trPr>
          <w:trHeight w:val="27"/>
        </w:trPr>
        <w:tc>
          <w:tcPr>
            <w:tcW w:w="560" w:type="dxa"/>
            <w:vAlign w:val="bottom"/>
          </w:tcPr>
          <w:p>
            <w:pPr>
              <w:spacing w:after="0"/>
              <w:rPr>
                <w:sz w:val="2"/>
                <w:szCs w:val="2"/>
                <w:color w:val="auto"/>
              </w:rPr>
            </w:pPr>
          </w:p>
        </w:tc>
        <w:tc>
          <w:tcPr>
            <w:tcW w:w="504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000" w:type="dxa"/>
            <w:vAlign w:val="bottom"/>
            <w:tcBorders>
              <w:bottom w:val="single" w:sz="8" w:color="auto"/>
            </w:tcBorders>
          </w:tcPr>
          <w:p>
            <w:pPr>
              <w:spacing w:after="0"/>
              <w:rPr>
                <w:sz w:val="2"/>
                <w:szCs w:val="2"/>
                <w:color w:val="auto"/>
              </w:rPr>
            </w:pPr>
          </w:p>
        </w:tc>
      </w:tr>
      <w:tr>
        <w:trPr>
          <w:trHeight w:val="237"/>
        </w:trPr>
        <w:tc>
          <w:tcPr>
            <w:tcW w:w="560" w:type="dxa"/>
            <w:vAlign w:val="bottom"/>
          </w:tcPr>
          <w:p>
            <w:pPr>
              <w:spacing w:after="0"/>
              <w:rPr>
                <w:sz w:val="20"/>
                <w:szCs w:val="20"/>
                <w:color w:val="auto"/>
              </w:rPr>
            </w:pPr>
          </w:p>
        </w:tc>
        <w:tc>
          <w:tcPr>
            <w:tcW w:w="5040" w:type="dxa"/>
            <w:vAlign w:val="bottom"/>
          </w:tcPr>
          <w:p>
            <w:pPr>
              <w:spacing w:after="0"/>
              <w:rPr>
                <w:sz w:val="20"/>
                <w:szCs w:val="20"/>
                <w:color w:val="auto"/>
              </w:rPr>
            </w:pPr>
          </w:p>
        </w:tc>
        <w:tc>
          <w:tcPr>
            <w:tcW w:w="660" w:type="dxa"/>
            <w:vAlign w:val="bottom"/>
          </w:tcPr>
          <w:p>
            <w:pPr>
              <w:ind w:left="20"/>
              <w:spacing w:after="0"/>
              <w:rPr>
                <w:sz w:val="20"/>
                <w:szCs w:val="20"/>
                <w:color w:val="auto"/>
              </w:rPr>
            </w:pPr>
            <w:r>
              <w:rPr>
                <w:rFonts w:ascii="Arial" w:cs="Arial" w:eastAsia="Arial" w:hAnsi="Arial"/>
                <w:sz w:val="18"/>
                <w:szCs w:val="18"/>
                <w:color w:val="auto"/>
              </w:rPr>
              <w:t>Name:</w:t>
            </w:r>
          </w:p>
        </w:tc>
        <w:tc>
          <w:tcPr>
            <w:tcW w:w="4000" w:type="dxa"/>
            <w:vAlign w:val="bottom"/>
          </w:tcPr>
          <w:p>
            <w:pPr>
              <w:ind w:left="140"/>
              <w:spacing w:after="0"/>
              <w:rPr>
                <w:sz w:val="20"/>
                <w:szCs w:val="20"/>
                <w:color w:val="auto"/>
              </w:rPr>
            </w:pPr>
            <w:r>
              <w:rPr>
                <w:rFonts w:ascii="Arial" w:cs="Arial" w:eastAsia="Arial" w:hAnsi="Arial"/>
                <w:sz w:val="18"/>
                <w:szCs w:val="18"/>
                <w:color w:val="auto"/>
              </w:rPr>
              <w:t>Doug Drysdale</w:t>
            </w:r>
          </w:p>
        </w:tc>
      </w:tr>
      <w:tr>
        <w:trPr>
          <w:trHeight w:val="257"/>
        </w:trPr>
        <w:tc>
          <w:tcPr>
            <w:tcW w:w="560" w:type="dxa"/>
            <w:vAlign w:val="bottom"/>
          </w:tcPr>
          <w:p>
            <w:pPr>
              <w:spacing w:after="0"/>
              <w:rPr>
                <w:sz w:val="22"/>
                <w:szCs w:val="22"/>
                <w:color w:val="auto"/>
              </w:rPr>
            </w:pPr>
          </w:p>
        </w:tc>
        <w:tc>
          <w:tcPr>
            <w:tcW w:w="5040" w:type="dxa"/>
            <w:vAlign w:val="bottom"/>
          </w:tcPr>
          <w:p>
            <w:pPr>
              <w:spacing w:after="0"/>
              <w:rPr>
                <w:sz w:val="22"/>
                <w:szCs w:val="22"/>
                <w:color w:val="auto"/>
              </w:rPr>
            </w:pPr>
          </w:p>
        </w:tc>
        <w:tc>
          <w:tcPr>
            <w:tcW w:w="660" w:type="dxa"/>
            <w:vAlign w:val="bottom"/>
          </w:tcPr>
          <w:p>
            <w:pPr>
              <w:ind w:left="20"/>
              <w:spacing w:after="0"/>
              <w:rPr>
                <w:sz w:val="20"/>
                <w:szCs w:val="20"/>
                <w:color w:val="auto"/>
              </w:rPr>
            </w:pPr>
            <w:r>
              <w:rPr>
                <w:rFonts w:ascii="Arial" w:cs="Arial" w:eastAsia="Arial" w:hAnsi="Arial"/>
                <w:sz w:val="18"/>
                <w:szCs w:val="18"/>
                <w:color w:val="auto"/>
              </w:rPr>
              <w:t>Title:</w:t>
            </w:r>
          </w:p>
        </w:tc>
        <w:tc>
          <w:tcPr>
            <w:tcW w:w="4000" w:type="dxa"/>
            <w:vAlign w:val="bottom"/>
          </w:tcPr>
          <w:p>
            <w:pPr>
              <w:ind w:left="140"/>
              <w:spacing w:after="0"/>
              <w:rPr>
                <w:sz w:val="20"/>
                <w:szCs w:val="20"/>
                <w:color w:val="auto"/>
              </w:rPr>
            </w:pPr>
            <w:r>
              <w:rPr>
                <w:rFonts w:ascii="Arial" w:cs="Arial" w:eastAsia="Arial" w:hAnsi="Arial"/>
                <w:sz w:val="18"/>
                <w:szCs w:val="18"/>
                <w:color w:val="auto"/>
              </w:rPr>
              <w:t>Chief Executive Officer</w:t>
            </w:r>
          </w:p>
        </w:tc>
      </w:tr>
    </w:tbl>
    <w:p>
      <w:pPr>
        <w:sectPr>
          <w:pgSz w:w="11900" w:h="16838" w:orient="portrait"/>
          <w:cols w:equalWidth="0" w:num="1">
            <w:col w:w="10920"/>
          </w:cols>
          <w:pgMar w:left="320" w:top="1417" w:right="659" w:bottom="1440" w:gutter="0" w:footer="0" w:header="0"/>
        </w:sectPr>
      </w:pPr>
    </w:p>
    <w:bookmarkStart w:id="2" w:name="page3"/>
    <w:bookmarkEnd w:id="2"/>
    <w:p>
      <w:pPr>
        <w:jc w:val="right"/>
        <w:ind w:right="3819"/>
        <w:spacing w:after="0"/>
        <w:rPr>
          <w:sz w:val="20"/>
          <w:szCs w:val="20"/>
          <w:color w:val="auto"/>
        </w:rPr>
      </w:pPr>
      <w:r>
        <w:rPr>
          <w:rFonts w:ascii="Arial" w:cs="Arial" w:eastAsia="Arial" w:hAnsi="Arial"/>
          <w:sz w:val="18"/>
          <w:szCs w:val="18"/>
          <w:b w:val="1"/>
          <w:bCs w:val="1"/>
          <w:u w:val="single" w:color="auto"/>
          <w:color w:val="auto"/>
        </w:rPr>
        <w:t>EXHIBIT INDEX</w:t>
      </w:r>
    </w:p>
    <w:p>
      <w:pPr>
        <w:spacing w:after="0" w:line="391"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u w:val="single" w:color="auto"/>
          <w:color w:val="0000FF"/>
        </w:rPr>
        <w:t>News Release dated June 21, 2023</w:t>
      </w:r>
    </w:p>
    <w:p>
      <w:pPr>
        <w:sectPr>
          <w:pgSz w:w="11900" w:h="16838" w:orient="portrait"/>
          <w:cols w:equalWidth="0" w:num="1">
            <w:col w:w="10119"/>
          </w:cols>
          <w:pgMar w:left="340" w:top="1417" w:right="1440"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2891155</wp:posOffset>
            </wp:positionH>
            <wp:positionV relativeFrom="page">
              <wp:posOffset>1075055</wp:posOffset>
            </wp:positionV>
            <wp:extent cx="1765935" cy="10287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1765935" cy="1028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Cybin to Participate in the 2023 MAPS Psychedelic Science Conference</w:t>
      </w:r>
    </w:p>
    <w:p>
      <w:pPr>
        <w:spacing w:after="0" w:line="296" w:lineRule="exact"/>
        <w:rPr>
          <w:sz w:val="20"/>
          <w:szCs w:val="20"/>
          <w:color w:val="auto"/>
        </w:rPr>
      </w:pPr>
    </w:p>
    <w:p>
      <w:pPr>
        <w:jc w:val="both"/>
        <w:spacing w:after="0" w:line="279" w:lineRule="auto"/>
        <w:rPr>
          <w:sz w:val="20"/>
          <w:szCs w:val="20"/>
          <w:color w:val="auto"/>
        </w:rPr>
      </w:pPr>
      <w:r>
        <w:rPr>
          <w:rFonts w:ascii="Arial" w:cs="Arial" w:eastAsia="Arial" w:hAnsi="Arial"/>
          <w:sz w:val="20"/>
          <w:szCs w:val="20"/>
          <w:b w:val="1"/>
          <w:bCs w:val="1"/>
          <w:color w:val="auto"/>
        </w:rPr>
        <w:t xml:space="preserve">TORONTO, CANADA </w:t>
      </w:r>
      <w:r>
        <w:rPr>
          <w:rFonts w:ascii="Arial" w:cs="Arial" w:eastAsia="Arial" w:hAnsi="Arial"/>
          <w:sz w:val="20"/>
          <w:szCs w:val="20"/>
          <w:color w:val="auto"/>
        </w:rPr>
        <w:t>– June 21, 2023 –</w:t>
      </w:r>
      <w:r>
        <w:rPr>
          <w:rFonts w:ascii="Arial" w:cs="Arial" w:eastAsia="Arial" w:hAnsi="Arial"/>
          <w:sz w:val="20"/>
          <w:szCs w:val="20"/>
          <w:b w:val="1"/>
          <w:bCs w:val="1"/>
          <w:color w:val="auto"/>
        </w:rPr>
        <w:t xml:space="preserve"> </w:t>
      </w:r>
      <w:r>
        <w:rPr>
          <w:rFonts w:ascii="Arial" w:cs="Arial" w:eastAsia="Arial" w:hAnsi="Arial"/>
          <w:sz w:val="20"/>
          <w:szCs w:val="20"/>
          <w:u w:val="single" w:color="auto"/>
          <w:color w:val="0563C1"/>
        </w:rPr>
        <w:t>Cybin Inc.</w:t>
      </w:r>
      <w:r>
        <w:rPr>
          <w:rFonts w:ascii="Arial" w:cs="Arial" w:eastAsia="Arial" w:hAnsi="Arial"/>
          <w:sz w:val="20"/>
          <w:szCs w:val="20"/>
          <w:b w:val="1"/>
          <w:bCs w:val="1"/>
          <w:color w:val="auto"/>
        </w:rPr>
        <w:t xml:space="preserve"> </w:t>
      </w:r>
      <w:r>
        <w:rPr>
          <w:rFonts w:ascii="Arial" w:cs="Arial" w:eastAsia="Arial" w:hAnsi="Arial"/>
          <w:sz w:val="20"/>
          <w:szCs w:val="20"/>
          <w:color w:val="auto"/>
        </w:rPr>
        <w:t>(NEO:CYBN) (NYSE American:CYBN) (“</w:t>
      </w:r>
      <w:r>
        <w:rPr>
          <w:rFonts w:ascii="Arial" w:cs="Arial" w:eastAsia="Arial" w:hAnsi="Arial"/>
          <w:sz w:val="20"/>
          <w:szCs w:val="20"/>
          <w:b w:val="1"/>
          <w:bCs w:val="1"/>
          <w:color w:val="auto"/>
        </w:rPr>
        <w:t>Cybin</w:t>
      </w:r>
      <w:r>
        <w:rPr>
          <w:rFonts w:ascii="Arial" w:cs="Arial" w:eastAsia="Arial" w:hAnsi="Arial"/>
          <w:sz w:val="20"/>
          <w:szCs w:val="20"/>
          <w:color w:val="auto"/>
        </w:rPr>
        <w:t>” or the “</w:t>
      </w:r>
      <w:r>
        <w:rPr>
          <w:rFonts w:ascii="Arial" w:cs="Arial" w:eastAsia="Arial" w:hAnsi="Arial"/>
          <w:sz w:val="20"/>
          <w:szCs w:val="20"/>
          <w:b w:val="1"/>
          <w:bCs w:val="1"/>
          <w:color w:val="auto"/>
        </w:rPr>
        <w:t>Company</w:t>
      </w:r>
      <w:r>
        <w:rPr>
          <w:rFonts w:ascii="Arial" w:cs="Arial" w:eastAsia="Arial" w:hAnsi="Arial"/>
          <w:sz w:val="20"/>
          <w:szCs w:val="20"/>
          <w:color w:val="auto"/>
        </w:rPr>
        <w:t>”), a</w:t>
      </w:r>
      <w:r>
        <w:rPr>
          <w:rFonts w:ascii="Arial" w:cs="Arial" w:eastAsia="Arial" w:hAnsi="Arial"/>
          <w:sz w:val="20"/>
          <w:szCs w:val="20"/>
          <w:b w:val="1"/>
          <w:bCs w:val="1"/>
          <w:color w:val="auto"/>
        </w:rPr>
        <w:t xml:space="preserve"> </w:t>
      </w:r>
      <w:r>
        <w:rPr>
          <w:rFonts w:ascii="Arial" w:cs="Arial" w:eastAsia="Arial" w:hAnsi="Arial"/>
          <w:sz w:val="20"/>
          <w:szCs w:val="20"/>
          <w:color w:val="auto"/>
        </w:rPr>
        <w:t>clinical-stage biopharmaceutical company committed to revolutionizing mental healthcare by developing new and innovative psychedelic-based treatment options, is pleased to announce that Doug Drysdale, Cybin’s Chief Executive Officer, and Allison House-Gecewicz, Cybin’s SVP of Clinical Operations, will be speaking at the Psychedelic Science 2023 Conference hosted the by Multidisciplinary Association for Psychedelic Studies (MAPS), taking place June 19-23, 2023 in Denver, Colorado. The details are as follows:</w:t>
      </w:r>
    </w:p>
    <w:p>
      <w:pPr>
        <w:spacing w:after="0" w:line="228" w:lineRule="exact"/>
        <w:rPr>
          <w:sz w:val="20"/>
          <w:szCs w:val="20"/>
          <w:color w:val="auto"/>
        </w:rPr>
      </w:pPr>
    </w:p>
    <w:p>
      <w:pPr>
        <w:ind w:left="660" w:hanging="328"/>
        <w:spacing w:after="0" w:line="289" w:lineRule="auto"/>
        <w:tabs>
          <w:tab w:leader="none" w:pos="660" w:val="left"/>
        </w:tabs>
        <w:numPr>
          <w:ilvl w:val="0"/>
          <w:numId w:val="1"/>
        </w:numPr>
        <w:rPr>
          <w:rFonts w:ascii="Arial" w:cs="Arial" w:eastAsia="Arial" w:hAnsi="Arial"/>
          <w:sz w:val="20"/>
          <w:szCs w:val="20"/>
          <w:color w:val="auto"/>
        </w:rPr>
      </w:pPr>
      <w:r>
        <w:rPr>
          <w:rFonts w:ascii="Arial" w:cs="Arial" w:eastAsia="Arial" w:hAnsi="Arial"/>
          <w:sz w:val="20"/>
          <w:szCs w:val="20"/>
          <w:color w:val="auto"/>
        </w:rPr>
        <w:t>Mr. Drysdale will speak in a panel discussion titled “Laying the foundation for a new ecosystem” on Wednesday, June 21, 2023, at 12:00 p.m. MT.</w:t>
      </w:r>
    </w:p>
    <w:p>
      <w:pPr>
        <w:spacing w:after="0" w:line="215" w:lineRule="exact"/>
        <w:rPr>
          <w:rFonts w:ascii="Arial" w:cs="Arial" w:eastAsia="Arial" w:hAnsi="Arial"/>
          <w:sz w:val="20"/>
          <w:szCs w:val="20"/>
          <w:color w:val="auto"/>
        </w:rPr>
      </w:pPr>
    </w:p>
    <w:p>
      <w:pPr>
        <w:ind w:left="660" w:hanging="328"/>
        <w:spacing w:after="0" w:line="289" w:lineRule="auto"/>
        <w:tabs>
          <w:tab w:leader="none" w:pos="660" w:val="left"/>
        </w:tabs>
        <w:numPr>
          <w:ilvl w:val="0"/>
          <w:numId w:val="1"/>
        </w:numPr>
        <w:rPr>
          <w:rFonts w:ascii="Arial" w:cs="Arial" w:eastAsia="Arial" w:hAnsi="Arial"/>
          <w:sz w:val="20"/>
          <w:szCs w:val="20"/>
          <w:color w:val="auto"/>
        </w:rPr>
      </w:pPr>
      <w:r>
        <w:rPr>
          <w:rFonts w:ascii="Arial" w:cs="Arial" w:eastAsia="Arial" w:hAnsi="Arial"/>
          <w:sz w:val="20"/>
          <w:szCs w:val="20"/>
          <w:color w:val="auto"/>
        </w:rPr>
        <w:t>Ms. House-Gecewicz will speak at the Psychedelic Drug Pipeline Briefing Breakfast taking place on Thursday, June 22, 2023, at 8:00 a.m. MT.</w:t>
      </w:r>
    </w:p>
    <w:p>
      <w:pPr>
        <w:spacing w:after="0" w:line="216" w:lineRule="exact"/>
        <w:rPr>
          <w:sz w:val="20"/>
          <w:szCs w:val="20"/>
          <w:color w:val="auto"/>
        </w:rPr>
      </w:pPr>
    </w:p>
    <w:p>
      <w:pPr>
        <w:jc w:val="both"/>
        <w:spacing w:after="0" w:line="279" w:lineRule="auto"/>
        <w:rPr>
          <w:sz w:val="20"/>
          <w:szCs w:val="20"/>
          <w:color w:val="auto"/>
        </w:rPr>
      </w:pPr>
      <w:r>
        <w:rPr>
          <w:rFonts w:ascii="Arial" w:cs="Arial" w:eastAsia="Arial" w:hAnsi="Arial"/>
          <w:sz w:val="20"/>
          <w:szCs w:val="20"/>
          <w:color w:val="auto"/>
        </w:rPr>
        <w:t>“We are honored and excited to be speaking at one of the world’s largest conferences on psychedelic healthcare,” said Doug Drysdale, Chief Executive Officer of Cybin. “We look forward to engaging with healthcare professionals, scientists, policy makers, advocates, and other stakeholders within the psychedelics community, in conversations surrounding the latest developments in psychedelic healthcare.”</w:t>
      </w:r>
    </w:p>
    <w:p>
      <w:pPr>
        <w:spacing w:after="0" w:line="227" w:lineRule="exact"/>
        <w:rPr>
          <w:sz w:val="20"/>
          <w:szCs w:val="20"/>
          <w:color w:val="auto"/>
        </w:rPr>
      </w:pPr>
    </w:p>
    <w:p>
      <w:pPr>
        <w:jc w:val="both"/>
        <w:spacing w:after="0" w:line="285" w:lineRule="auto"/>
        <w:rPr>
          <w:sz w:val="20"/>
          <w:szCs w:val="20"/>
          <w:color w:val="auto"/>
        </w:rPr>
      </w:pPr>
      <w:r>
        <w:rPr>
          <w:rFonts w:ascii="Arial" w:cs="Arial" w:eastAsia="Arial" w:hAnsi="Arial"/>
          <w:sz w:val="20"/>
          <w:szCs w:val="20"/>
          <w:color w:val="auto"/>
        </w:rPr>
        <w:t>“The MAPS Psychedelic Science Conference is an opportunity to share the innovative clinical work that Cybin is carrying out to improve treatment options for mental health conditions, and to connect with individuals who share our goal of bringing psychedelic-based treatments to patients in need,” said Allison House-Gecewicz, Cybin’s SVP of Clinical Operations.</w:t>
      </w:r>
    </w:p>
    <w:p>
      <w:pPr>
        <w:spacing w:after="0" w:line="19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Cybin</w:t>
      </w:r>
    </w:p>
    <w:p>
      <w:pPr>
        <w:spacing w:after="0" w:line="293" w:lineRule="exact"/>
        <w:rPr>
          <w:sz w:val="20"/>
          <w:szCs w:val="20"/>
          <w:color w:val="auto"/>
        </w:rPr>
      </w:pPr>
    </w:p>
    <w:p>
      <w:pPr>
        <w:jc w:val="both"/>
        <w:spacing w:after="0" w:line="289" w:lineRule="auto"/>
        <w:rPr>
          <w:sz w:val="20"/>
          <w:szCs w:val="20"/>
          <w:color w:val="auto"/>
        </w:rPr>
      </w:pPr>
      <w:r>
        <w:rPr>
          <w:rFonts w:ascii="Arial" w:cs="Arial" w:eastAsia="Arial" w:hAnsi="Arial"/>
          <w:sz w:val="20"/>
          <w:szCs w:val="20"/>
          <w:color w:val="auto"/>
        </w:rPr>
        <w:t>Cybin is a clinical-stage biopharmaceutical company on a mission to create safe and effective psychedelic-based therapeutics to address the large unmet need for new and innovative treatment options for people who suffer from mental health conditions.</w:t>
      </w:r>
    </w:p>
    <w:p>
      <w:pPr>
        <w:sectPr>
          <w:pgSz w:w="11900" w:h="16838" w:orient="portrait"/>
          <w:cols w:equalWidth="0" w:num="1">
            <w:col w:w="11240"/>
          </w:cols>
          <w:pgMar w:left="320" w:top="1440" w:right="339" w:bottom="1440" w:gutter="0" w:footer="0" w:header="0"/>
        </w:sectPr>
      </w:pPr>
    </w:p>
    <w:bookmarkStart w:id="4" w:name="page5"/>
    <w:bookmarkEnd w:id="4"/>
    <w:p>
      <w:pPr>
        <w:jc w:val="both"/>
        <w:spacing w:after="0" w:line="280" w:lineRule="auto"/>
        <w:rPr>
          <w:sz w:val="20"/>
          <w:szCs w:val="20"/>
          <w:color w:val="auto"/>
        </w:rPr>
      </w:pPr>
      <w:r>
        <w:rPr>
          <w:rFonts w:ascii="Arial" w:cs="Arial" w:eastAsia="Arial" w:hAnsi="Arial"/>
          <w:sz w:val="20"/>
          <w:szCs w:val="20"/>
          <w:color w:val="auto"/>
        </w:rPr>
        <w:t>Cybin’s goal of revolutionizing mental healthcare is supported by a network of world-class partners and internationally recognized scientists aimed at progressing proprietary drug discovery platforms, innovative drug delivery systems, and novel formulation approaches and treatment regimens. The Company is currently developing CYB003, a proprietary deuterated psilocybin analog for the treatment of major depressive disorder and CYB004, a proprietary deuterated DMT molecule for generalized anxiety disorder and has a research pipeline of investigational psychedelic-based compounds.</w:t>
      </w:r>
    </w:p>
    <w:p>
      <w:pPr>
        <w:spacing w:after="0" w:line="224" w:lineRule="exact"/>
        <w:rPr>
          <w:sz w:val="20"/>
          <w:szCs w:val="20"/>
          <w:color w:val="auto"/>
        </w:rPr>
      </w:pPr>
    </w:p>
    <w:p>
      <w:pPr>
        <w:jc w:val="both"/>
        <w:spacing w:after="0" w:line="285" w:lineRule="auto"/>
        <w:rPr>
          <w:sz w:val="20"/>
          <w:szCs w:val="20"/>
          <w:color w:val="auto"/>
        </w:rPr>
      </w:pPr>
      <w:r>
        <w:rPr>
          <w:rFonts w:ascii="Arial" w:cs="Arial" w:eastAsia="Arial" w:hAnsi="Arial"/>
          <w:sz w:val="20"/>
          <w:szCs w:val="20"/>
          <w:color w:val="auto"/>
        </w:rPr>
        <w:t>Headquartered in Canada and founded in 2019, Cybin is operational in Canada, the United States, the United Kingdom, the Netherlands and Ireland. For company updates and to learn more about Cybin, visit www.cybin.com or follow the team on Twitter, LinkedIn, YouTube and Instagram.</w:t>
      </w:r>
    </w:p>
    <w:p>
      <w:pPr>
        <w:spacing w:after="0" w:line="19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Investor &amp; Media Contact:</w:t>
      </w:r>
    </w:p>
    <w:p>
      <w:pPr>
        <w:spacing w:after="0" w:line="50" w:lineRule="exact"/>
        <w:rPr>
          <w:sz w:val="20"/>
          <w:szCs w:val="20"/>
          <w:color w:val="auto"/>
        </w:rPr>
      </w:pPr>
    </w:p>
    <w:p>
      <w:pPr>
        <w:spacing w:after="0"/>
        <w:rPr>
          <w:sz w:val="20"/>
          <w:szCs w:val="20"/>
          <w:color w:val="auto"/>
        </w:rPr>
      </w:pPr>
      <w:r>
        <w:rPr>
          <w:rFonts w:ascii="Arial" w:cs="Arial" w:eastAsia="Arial" w:hAnsi="Arial"/>
          <w:sz w:val="20"/>
          <w:szCs w:val="20"/>
          <w:color w:val="auto"/>
        </w:rPr>
        <w:t>Gabriel Fahel</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Chief Legal Officer</w:t>
      </w:r>
    </w:p>
    <w:p>
      <w:pPr>
        <w:spacing w:after="0" w:line="40" w:lineRule="exact"/>
        <w:rPr>
          <w:sz w:val="20"/>
          <w:szCs w:val="20"/>
          <w:color w:val="auto"/>
        </w:rPr>
      </w:pPr>
    </w:p>
    <w:p>
      <w:pPr>
        <w:spacing w:after="0"/>
        <w:rPr>
          <w:sz w:val="20"/>
          <w:szCs w:val="20"/>
          <w:color w:val="auto"/>
        </w:rPr>
      </w:pPr>
      <w:r>
        <w:rPr>
          <w:rFonts w:ascii="Arial" w:cs="Arial" w:eastAsia="Arial" w:hAnsi="Arial"/>
          <w:sz w:val="20"/>
          <w:szCs w:val="20"/>
          <w:color w:val="auto"/>
        </w:rPr>
        <w:t>Cybin Inc.</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1-866-292-4601</w:t>
      </w:r>
    </w:p>
    <w:p>
      <w:pPr>
        <w:spacing w:after="0" w:line="40" w:lineRule="exact"/>
        <w:rPr>
          <w:sz w:val="20"/>
          <w:szCs w:val="20"/>
          <w:color w:val="auto"/>
        </w:rPr>
      </w:pPr>
    </w:p>
    <w:p>
      <w:pPr>
        <w:spacing w:after="0"/>
        <w:rPr>
          <w:sz w:val="20"/>
          <w:szCs w:val="20"/>
          <w:color w:val="auto"/>
        </w:rPr>
      </w:pPr>
      <w:r>
        <w:rPr>
          <w:rFonts w:ascii="Arial" w:cs="Arial" w:eastAsia="Arial" w:hAnsi="Arial"/>
          <w:sz w:val="20"/>
          <w:szCs w:val="20"/>
          <w:u w:val="single" w:color="auto"/>
          <w:color w:val="0000FF"/>
        </w:rPr>
        <w:t>irteam@cybin.com</w:t>
      </w:r>
      <w:r>
        <w:rPr>
          <w:rFonts w:ascii="Arial" w:cs="Arial" w:eastAsia="Arial" w:hAnsi="Arial"/>
          <w:sz w:val="20"/>
          <w:szCs w:val="20"/>
          <w:color w:val="0000FF"/>
        </w:rPr>
        <w:t xml:space="preserve"> </w:t>
      </w:r>
      <w:r>
        <w:rPr>
          <w:rFonts w:ascii="Arial" w:cs="Arial" w:eastAsia="Arial" w:hAnsi="Arial"/>
          <w:sz w:val="20"/>
          <w:szCs w:val="20"/>
          <w:color w:val="000000"/>
        </w:rPr>
        <w:t>– or –</w:t>
      </w:r>
      <w:r>
        <w:rPr>
          <w:rFonts w:ascii="Arial" w:cs="Arial" w:eastAsia="Arial" w:hAnsi="Arial"/>
          <w:sz w:val="20"/>
          <w:szCs w:val="20"/>
          <w:color w:val="0000FF"/>
        </w:rPr>
        <w:t xml:space="preserve"> </w:t>
      </w:r>
      <w:r>
        <w:rPr>
          <w:rFonts w:ascii="Arial" w:cs="Arial" w:eastAsia="Arial" w:hAnsi="Arial"/>
          <w:sz w:val="20"/>
          <w:szCs w:val="20"/>
          <w:u w:val="single" w:color="auto"/>
          <w:color w:val="0000FF"/>
        </w:rPr>
        <w:t>media@cybin.com</w:t>
      </w:r>
    </w:p>
    <w:sectPr>
      <w:pgSz w:w="11900" w:h="16838" w:orient="portrait"/>
      <w:cols w:equalWidth="0" w:num="1">
        <w:col w:w="11240"/>
      </w:cols>
      <w:pgMar w:left="320" w:top="143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2023-06-21T16:31:29Z</dcterms:created>
  <dcterms:modified xsi:type="dcterms:W3CDTF">2023-06-21T16:31:29Z</dcterms:modified>
</cp:coreProperties>
</file>