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0"/>
        </w:rPr>
        <w:t>UNITED STATES</w:t>
        <w:br/>
        <w:t>SECURITIES AND EXCHANGE COMMISSION</w:t>
      </w:r>
      <w:r>
        <w:rPr>
          <w:rFonts w:ascii="Times New Roman;serif" w:hAnsi="Times New Roman;serif"/>
          <w:b w:val="false"/>
          <w:color w:val="000000"/>
          <w:sz w:val="20"/>
        </w:rPr>
        <w:br/>
      </w:r>
      <w:r>
        <w:rPr>
          <w:rFonts w:ascii="Times New Roman;serif" w:hAnsi="Times New Roman;serif"/>
          <w:b/>
          <w:color w:val="000000"/>
          <w:sz w:val="20"/>
        </w:rPr>
        <w:t>Washington, D.C. 20549</w:t>
      </w:r>
      <w:r>
        <w:rPr>
          <w:rFonts w:ascii="Times New Roman;serif" w:hAnsi="Times New Roman;serif"/>
          <w:b w:val="false"/>
          <w:color w:val="000000"/>
          <w:sz w:val="20"/>
        </w:rPr>
        <w:br/>
        <w:br/>
      </w:r>
      <w:r>
        <w:rPr>
          <w:rFonts w:ascii="Times New Roman;serif" w:hAnsi="Times New Roman;serif"/>
          <w:b/>
          <w:color w:val="000000"/>
          <w:sz w:val="20"/>
        </w:rPr>
        <w:t>Form 6-K</w:t>
      </w:r>
      <w:r>
        <w:rPr>
          <w:rFonts w:ascii="Times New Roman;serif" w:hAnsi="Times New Roman;serif"/>
          <w:b w:val="false"/>
          <w:color w:val="000000"/>
          <w:sz w:val="20"/>
        </w:rPr>
        <w:br/>
        <w:br/>
      </w:r>
      <w:r>
        <w:rPr>
          <w:rFonts w:ascii="Times New Roman;serif" w:hAnsi="Times New Roman;serif"/>
          <w:b/>
          <w:color w:val="000000"/>
          <w:sz w:val="20"/>
        </w:rPr>
        <w:t>REPORT OF FOREIGN PRIVATE ISSUER PURSUANT TO RULE 13a-16 OR 15d-16</w:t>
        <w:br/>
        <w:t>UNDER THE SECURITIES EXCHANGE ACT OF 1934</w:t>
      </w:r>
    </w:p>
    <w:p>
      <w:pPr>
        <w:pStyle w:val="TextBody"/>
        <w:bidi w:val="0"/>
        <w:spacing w:lineRule="auto" w:line="276" w:before="100" w:after="100"/>
        <w:jc w:val="left"/>
        <w:rPr>
          <w:rFonts w:ascii="Times New Roman;serif" w:hAnsi="Times New Roman;serif"/>
          <w:b w:val="false"/>
          <w:color w:val="000000"/>
          <w:sz w:val="20"/>
        </w:rPr>
      </w:pPr>
      <w:r>
        <w:rPr>
          <w:rFonts w:ascii="Times New Roman;serif" w:hAnsi="Times New Roman;serif"/>
          <w:b w:val="false"/>
          <w:color w:val="000000"/>
          <w:sz w:val="20"/>
        </w:rPr>
        <w:t>For the month of October, 2026.</w:t>
      </w:r>
    </w:p>
    <w:p>
      <w:pPr>
        <w:pStyle w:val="TextBody"/>
        <w:bidi w:val="0"/>
        <w:spacing w:lineRule="auto" w:line="276" w:before="0" w:after="0"/>
        <w:jc w:val="left"/>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001-40673</w:t>
      </w:r>
    </w:p>
    <w:p>
      <w:pPr>
        <w:pStyle w:val="TextBody"/>
        <w:bidi w:val="0"/>
        <w:spacing w:lineRule="auto" w:line="276" w:before="0" w:after="0"/>
        <w:jc w:val="center"/>
        <w:rPr/>
      </w:pPr>
      <w:r>
        <w:rPr>
          <w:rFonts w:ascii="Times New Roman;serif" w:hAnsi="Times New Roman;serif"/>
          <w:b/>
          <w:color w:val="000000"/>
          <w:sz w:val="20"/>
        </w:rPr>
        <w:br/>
      </w:r>
      <w:r>
        <w:rPr>
          <w:rFonts w:ascii="Times New Roman;serif" w:hAnsi="Times New Roman;serif"/>
          <w:b w:val="false"/>
          <w:color w:val="000000"/>
          <w:sz w:val="20"/>
        </w:rPr>
        <w:br/>
      </w:r>
      <w:r>
        <w:rPr>
          <w:rFonts w:ascii="Times New Roman;serif" w:hAnsi="Times New Roman;serif"/>
          <w:b/>
          <w:color w:val="000000"/>
          <w:sz w:val="24"/>
          <w:u w:val="single"/>
        </w:rPr>
        <w:t>Helus Pharma Inc.</w:t>
      </w:r>
      <w:r>
        <w:rPr>
          <w:rFonts w:ascii="Times New Roman;serif" w:hAnsi="Times New Roman;serif"/>
          <w:b w:val="false"/>
          <w:color w:val="000000"/>
          <w:sz w:val="24"/>
        </w:rPr>
        <w:br/>
      </w:r>
      <w:r>
        <w:rPr>
          <w:rFonts w:ascii="Times New Roman;serif" w:hAnsi="Times New Roman;serif"/>
          <w:b w:val="false"/>
          <w:color w:val="000000"/>
          <w:sz w:val="20"/>
        </w:rPr>
        <w:t>(Exact Name of Registrant as Specified in Charter)</w:t>
        <w:br/>
        <w:br/>
      </w:r>
      <w:r>
        <w:rPr>
          <w:rFonts w:ascii="Times New Roman;serif" w:hAnsi="Times New Roman;serif"/>
          <w:b/>
          <w:color w:val="000000"/>
          <w:sz w:val="20"/>
        </w:rPr>
        <w:t xml:space="preserve">100 King Street West, Suite 5600, Toronto, Ontario, M5X 1C9 </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w: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76" w:before="0" w:after="0"/>
        <w:jc w:val="left"/>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Form 40-F ⊠</w:t>
      </w:r>
    </w:p>
    <w:p>
      <w:pPr>
        <w:pStyle w:val="TextBody"/>
        <w:bidi w:val="0"/>
        <w:spacing w:before="0" w:after="0"/>
        <w:jc w:val="left"/>
        <w:rPr/>
      </w:pPr>
      <w:r>
        <w:rPr/>
      </w:r>
    </w:p>
    <w:p>
      <w:pPr>
        <w:pStyle w:val="TextBody"/>
        <w:bidi w:val="0"/>
        <w:spacing w:before="100" w:after="10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76" w:before="100" w:after="1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348" w:type="dxa"/>
        <w:jc w:val="left"/>
        <w:tblInd w:w="0" w:type="dxa"/>
        <w:tblLayout w:type="fixed"/>
        <w:tblCellMar>
          <w:top w:w="28" w:type="dxa"/>
          <w:left w:w="28" w:type="dxa"/>
          <w:bottom w:w="28" w:type="dxa"/>
          <w:right w:w="28" w:type="dxa"/>
        </w:tblCellMar>
      </w:tblPr>
      <w:tblGrid>
        <w:gridCol w:w="200"/>
        <w:gridCol w:w="177"/>
        <w:gridCol w:w="178"/>
        <w:gridCol w:w="469"/>
        <w:gridCol w:w="469"/>
        <w:gridCol w:w="471"/>
        <w:gridCol w:w="349"/>
        <w:gridCol w:w="349"/>
        <w:gridCol w:w="349"/>
        <w:gridCol w:w="654"/>
        <w:gridCol w:w="654"/>
        <w:gridCol w:w="657"/>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HELUS PHARMA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October 8, 2026</w:t>
            </w:r>
          </w:p>
        </w:tc>
        <w:tc>
          <w:tcPr>
            <w:tcW w:w="104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76" w:before="1" w:after="1"/>
              <w:jc w:val="left"/>
              <w:rPr>
                <w:rFonts w:ascii="Times New Roman;serif" w:hAnsi="Times New Roman;serif"/>
                <w:b w:val="false"/>
                <w:color w:val="000000"/>
                <w:sz w:val="20"/>
              </w:rPr>
            </w:pPr>
            <w:r>
              <w:rPr>
                <w:rFonts w:ascii="Times New Roman;serif" w:hAnsi="Times New Roman;serif"/>
                <w:b w:val="false"/>
                <w:color w:val="000000"/>
                <w:sz w:val="20"/>
              </w:rPr>
              <w:t xml:space="preserve">/s/ Greg Cavers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Greg Cavers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100" w:after="1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100"/>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p>
      <w:pPr>
        <w:pStyle w:val="TextBody"/>
        <w:bidi w:val="0"/>
        <w:spacing w:before="0" w:after="0"/>
        <w:jc w:val="left"/>
        <w:rPr/>
      </w:pPr>
      <w:r>
        <w:rPr/>
      </w:r>
    </w:p>
    <w:tbl>
      <w:tblPr>
        <w:tblW w:w="3586" w:type="dxa"/>
        <w:jc w:val="left"/>
        <w:tblInd w:w="0" w:type="dxa"/>
        <w:tblLayout w:type="fixed"/>
        <w:tblCellMar>
          <w:top w:w="28" w:type="dxa"/>
          <w:left w:w="28" w:type="dxa"/>
          <w:bottom w:w="28" w:type="dxa"/>
          <w:right w:w="28" w:type="dxa"/>
        </w:tblCellMar>
      </w:tblPr>
      <w:tblGrid>
        <w:gridCol w:w="174"/>
        <w:gridCol w:w="153"/>
        <w:gridCol w:w="154"/>
        <w:gridCol w:w="909"/>
        <w:gridCol w:w="909"/>
        <w:gridCol w:w="1287"/>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10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pressrelease-investorprese.htm">
              <w:r>
                <w:rPr>
                  <w:rStyle w:val="InternetLink"/>
                  <w:rFonts w:ascii="Times New Roman;serif" w:hAnsi="Times New Roman;serif"/>
                  <w:b w:val="false"/>
                  <w:color w:val="000080"/>
                  <w:sz w:val="20"/>
                  <w:u w:val="single"/>
                </w:rPr>
                <w:t xml:space="preserve">News Release dated October </w:t>
              </w:r>
            </w:hyperlink>
            <w:hyperlink w:anchor="pressrelease-investorprese.htm">
              <w:r>
                <w:rPr>
                  <w:rStyle w:val="InternetLink"/>
                  <w:rFonts w:ascii="Times New Roman;serif" w:hAnsi="Times New Roman;serif"/>
                  <w:b w:val="false"/>
                  <w:color w:val="000080"/>
                  <w:sz w:val="20"/>
                  <w:u w:val="single"/>
                </w:rPr>
                <w:t>8</w:t>
              </w:r>
            </w:hyperlink>
            <w:hyperlink w:anchor="pressrelease-investorprese.htm">
              <w:r>
                <w:rPr>
                  <w:rStyle w:val="InternetLink"/>
                  <w:rFonts w:ascii="Times New Roman;serif" w:hAnsi="Times New Roman;serif"/>
                  <w:b w:val="false"/>
                  <w:color w:val="000080"/>
                  <w:sz w:val="20"/>
                  <w:u w:val="single"/>
                </w:rPr>
                <w:t>, 2026</w:t>
              </w:r>
            </w:hyperlink>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962150" cy="9620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62150" cy="9620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Helus Pharma to Host Investor Presentation on October 21, 2026</w:t>
      </w:r>
    </w:p>
    <w:p>
      <w:pPr>
        <w:pStyle w:val="TextBody"/>
        <w:bidi w:val="0"/>
        <w:spacing w:lineRule="auto" w:line="295" w:before="252" w:after="240"/>
        <w:jc w:val="both"/>
        <w:rPr/>
      </w:pPr>
      <w:r>
        <w:rPr>
          <w:rFonts w:ascii="Times New Roman;serif" w:hAnsi="Times New Roman;serif"/>
          <w:b/>
          <w:color w:val="000000"/>
          <w:sz w:val="22"/>
        </w:rPr>
        <w:t xml:space="preserve">NEW YORK and TORONTO </w:t>
      </w:r>
      <w:r>
        <w:rPr>
          <w:color w:val="000000"/>
        </w:rPr>
        <w:t xml:space="preserve">– </w:t>
      </w:r>
      <w:r>
        <w:rPr>
          <w:rFonts w:ascii="Times New Roman;serif" w:hAnsi="Times New Roman;serif"/>
          <w:b w:val="false"/>
          <w:color w:val="000000"/>
          <w:sz w:val="22"/>
        </w:rPr>
        <w:t xml:space="preserve">October 8, 2026 – Helus Pharma Inc. (Nasdaq: HELP) (Cboe CA: HELP) (“Helus” or the “Company”), a clinical-stage pharmaceutical company committed to helping minds heal by developing novel serotonergic agonists (“NSAs”), is pleased to announce that the Company will host an investor presentation on October 21, 2026. </w:t>
      </w:r>
    </w:p>
    <w:p>
      <w:pPr>
        <w:pStyle w:val="TextBody"/>
        <w:bidi w:val="0"/>
        <w:spacing w:lineRule="auto" w:line="288" w:before="0" w:after="300"/>
        <w:jc w:val="both"/>
        <w:rPr>
          <w:rFonts w:ascii="Times New Roman;serif" w:hAnsi="Times New Roman;serif"/>
          <w:b w:val="false"/>
          <w:color w:val="46423A"/>
          <w:sz w:val="22"/>
          <w:shd w:fill="FFFFFF" w:val="clear"/>
        </w:rPr>
      </w:pPr>
      <w:r>
        <w:rPr>
          <w:rFonts w:ascii="Times New Roman;serif" w:hAnsi="Times New Roman;serif"/>
          <w:b w:val="false"/>
          <w:color w:val="46423A"/>
          <w:sz w:val="22"/>
          <w:shd w:fill="FFFFFF" w:val="clear"/>
        </w:rPr>
        <w:t>Discussion topics will include HLP003, the Company’s proprietary NSA in Phase 3 development for the adjunctive treatment of major depressive disorder (“MDD”), and HLP004, its proprietary NSA in Phase 2 development for generalized anxiety disorder (“GAD”). The presentation will also include key opinion leaders’ perspectives on the current and evolving depression and anxiety treatment landscape, and a question-and-answer session with members of Helus Pharma’s executive leadership team.</w:t>
      </w:r>
    </w:p>
    <w:p>
      <w:pPr>
        <w:pStyle w:val="TextBody"/>
        <w:bidi w:val="0"/>
        <w:spacing w:lineRule="auto" w:line="288" w:before="105" w:after="105"/>
        <w:jc w:val="both"/>
        <w:rPr/>
      </w:pPr>
      <w:r>
        <w:rPr>
          <w:rFonts w:ascii="Times New Roman;serif" w:hAnsi="Times New Roman;serif"/>
          <w:b w:val="false"/>
          <w:color w:val="46423A"/>
          <w:sz w:val="22"/>
          <w:shd w:fill="FFFFFF" w:val="clear"/>
        </w:rPr>
        <w:t xml:space="preserve">The live webcast will take place on Wednesday, October 21, 2026 at 9:00 a.m. EDT. To access the webcast, please </w:t>
      </w:r>
      <w:r>
        <w:rPr>
          <w:rFonts w:ascii="Times New Roman;serif" w:hAnsi="Times New Roman;serif"/>
          <w:b w:val="false"/>
          <w:color w:val="0563C1"/>
          <w:sz w:val="22"/>
          <w:u w:val="single"/>
          <w:shd w:fill="FFFFFF" w:val="clear"/>
        </w:rPr>
        <w:t>click here</w:t>
      </w:r>
      <w:r>
        <w:rPr>
          <w:color w:val="46423A"/>
          <w:shd w:fill="FFFFFF" w:val="clear"/>
        </w:rPr>
        <w:t xml:space="preserve"> </w:t>
      </w:r>
      <w:r>
        <w:rPr>
          <w:rFonts w:ascii="Times New Roman;serif" w:hAnsi="Times New Roman;serif"/>
          <w:b w:val="false"/>
          <w:color w:val="46423A"/>
          <w:sz w:val="22"/>
          <w:shd w:fill="FFFFFF" w:val="clear"/>
        </w:rPr>
        <w:t xml:space="preserve">or visit the Events &amp; Presentation page of Helus Pharma’s website. The archived webcast will be available on the Company’s website on the </w:t>
      </w:r>
      <w:r>
        <w:rPr>
          <w:rFonts w:ascii="Times New Roman;serif" w:hAnsi="Times New Roman;serif"/>
          <w:b w:val="false"/>
          <w:color w:val="0563C1"/>
          <w:sz w:val="22"/>
          <w:u w:val="single"/>
          <w:shd w:fill="FFFFFF" w:val="clear"/>
        </w:rPr>
        <w:t>Events &amp; Presentations</w:t>
      </w:r>
      <w:r>
        <w:rPr>
          <w:color w:val="46423A"/>
          <w:shd w:fill="FFFFFF" w:val="clear"/>
        </w:rPr>
        <w:t xml:space="preserve"> </w:t>
      </w:r>
      <w:r>
        <w:rPr>
          <w:rFonts w:ascii="Times New Roman;serif" w:hAnsi="Times New Roman;serif"/>
          <w:b w:val="false"/>
          <w:color w:val="46423A"/>
          <w:sz w:val="22"/>
          <w:shd w:fill="FFFFFF" w:val="clear"/>
        </w:rPr>
        <w:t>page following the presentation.</w:t>
      </w:r>
    </w:p>
    <w:p>
      <w:pPr>
        <w:pStyle w:val="TextBody"/>
        <w:bidi w:val="0"/>
        <w:spacing w:lineRule="auto" w:line="319" w:before="0" w:after="0"/>
        <w:jc w:val="both"/>
        <w:rPr/>
      </w:pPr>
      <w:r>
        <w:rPr>
          <w:rFonts w:ascii="Times New Roman;serif" w:hAnsi="Times New Roman;serif"/>
          <w:b w:val="false"/>
          <w:color w:val="46423A"/>
          <w:sz w:val="22"/>
        </w:rPr>
        <w:br/>
      </w:r>
      <w:r>
        <w:rPr>
          <w:rFonts w:ascii="Times New Roman;serif" w:hAnsi="Times New Roman;serif"/>
          <w:b/>
          <w:color w:val="000000"/>
          <w:sz w:val="22"/>
        </w:rPr>
        <w:t>About Helus Pharma</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Helus Pharma Inc. is a clinical stage pharmaceutical company committed to helping minds heal by developing proprietary NSAs, synthetic molecules designed to activate serotonin pathways that are believed to promote neuroplasticity. The Company’s proprietary NSAs are intended to address the large unmet need for people who suffer from depression, anxiety, and other mental health conditions.</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Helus Pharma is working to improve the treatment landscape through the introduction of NSAs that aim to provide durable improvements in mental health. Helus Pharma is currently developing HLP003, a proprietary NSA, in Phase 3 clinical development for the adjunctive treatment of MDD that has received Breakthrough Therapy Designation from the U.S. Food and Drug Administration and HLP004, also a proprietary NSA in Phase 2 for GAD. Additionally, Helus Pharma has an extensive research portfolio of investigational NSAs.</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operates in Canada, the United States, the United Kingdom, and Ireland. For Company updates and to learn more about Helus Pharma, visit www.helus.com or follow the team on X, LinkedIn, YouTube and Instagram. Helus Pharma™ is a trademark of Helus Pharma Corp.</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color w:val="000000"/>
          <w:sz w:val="22"/>
        </w:rPr>
      </w:pPr>
      <w:r>
        <w:rPr>
          <w:rFonts w:ascii="Times New Roman;serif" w:hAnsi="Times New Roman;serif"/>
          <w:b/>
          <w:color w:val="000000"/>
          <w:sz w:val="22"/>
        </w:rPr>
        <w:t>Cautionary Notes and Forward-Looking Statements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plans to host an investor presentation; and the Company’s plans to engineer proprietary drug discovery platforms, innovative drug delivery systems, novel formulation approaches and treatment regimens for mental health conditions.</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Any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months ended June 30, 2026 and the Company’s annual information form for the year ended March 31, 2026, which are available under the Company’s profile on SEDAR+ at www.sedarplus.ca and with the U.S. Securities and Exchange Commission on EDGAR at www.sec.gov.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The Company makes no medical, treatment or health benefit claims about the Company’s proposed products. The U.S. Food and Drug Administration, Health Canada or other similar regulatory authorities have not evaluated claims regarding NSAs or HLP003, HLP004 and other programs of the Company. The efficacy of such products has not been confirmed by approved research. There is no assurance that the use of NSAs, HLP003, HLP004 or other programs of the Company can diagnose, treat, cure or prevent any disease or condition. Rigorous scientific research and clinical trials are needed. If Helus Pharma cannot obtain the approvals or research necessary to commercialize its business, it may have a material adverse effect on the Company’s performance and operations.</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Times New Roman;serif" w:hAnsi="Times New Roman;serif"/>
          <w:b w:val="false"/>
          <w:i/>
          <w:color w:val="000000"/>
          <w:sz w:val="22"/>
        </w:rPr>
      </w:pPr>
      <w:r>
        <w:rPr>
          <w:rFonts w:ascii="Times New Roman;serif" w:hAnsi="Times New Roman;serif"/>
          <w:b w:val="false"/>
          <w:i/>
          <w:color w:val="000000"/>
          <w:sz w:val="22"/>
        </w:rPr>
        <w:t>Neither Cboe Canada nor the Nasdaq Global Market stock exchange have approved or disapproved the contents of this news release and are not responsible for the adequacy and accuracy of the contents herein.</w:t>
      </w:r>
    </w:p>
    <w:p>
      <w:pPr>
        <w:pStyle w:val="TextBody"/>
        <w:bidi w:val="0"/>
        <w:spacing w:lineRule="auto" w:line="319" w:before="0" w:after="0"/>
        <w:jc w:val="both"/>
        <w:rPr>
          <w:rFonts w:ascii="Times New Roman;serif" w:hAnsi="Times New Roman;serif"/>
          <w:b/>
          <w:color w:val="000000"/>
          <w:sz w:val="22"/>
        </w:rPr>
      </w:pPr>
      <w:r>
        <w:rPr>
          <w:rFonts w:ascii="Times New Roman;serif" w:hAnsi="Times New Roman;serif"/>
          <w:b/>
          <w:color w:val="000000"/>
          <w:sz w:val="22"/>
        </w:rPr>
        <w:t>Investor Contact:</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Matthew Beck</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astr partners</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Managing Partner</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(917) 415-1750</w:t>
      </w:r>
    </w:p>
    <w:p>
      <w:pPr>
        <w:pStyle w:val="TextBody"/>
        <w:bidi w:val="0"/>
        <w:spacing w:lineRule="auto" w:line="319" w:before="0" w:after="0"/>
        <w:jc w:val="both"/>
        <w:rPr/>
      </w:pPr>
      <w:r>
        <w:rPr>
          <w:rFonts w:ascii="Times New Roman;serif" w:hAnsi="Times New Roman;serif"/>
          <w:b w:val="false"/>
          <w:color w:val="0563C1"/>
          <w:sz w:val="22"/>
          <w:u w:val="single"/>
        </w:rPr>
        <w:t>Matthew.beck@astrpartners.com</w:t>
      </w:r>
      <w:r>
        <w:rPr>
          <w:color w:val="000000"/>
        </w:rPr>
        <w:t xml:space="preserve"> </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Gabriel Fahel</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Chief Legal Officer</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Helus Pharma</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1-866-292-4601</w:t>
      </w:r>
    </w:p>
    <w:p>
      <w:pPr>
        <w:pStyle w:val="TextBody"/>
        <w:bidi w:val="0"/>
        <w:spacing w:lineRule="auto" w:line="319" w:before="0" w:after="0"/>
        <w:jc w:val="both"/>
        <w:rPr/>
      </w:pPr>
      <w:r>
        <w:rPr>
          <w:rFonts w:ascii="Times New Roman;serif" w:hAnsi="Times New Roman;serif"/>
          <w:b w:val="false"/>
          <w:color w:val="0563C1"/>
          <w:sz w:val="22"/>
          <w:u w:val="single"/>
        </w:rPr>
        <w:t>irteam@helus.com</w:t>
      </w:r>
      <w:r>
        <w:rPr>
          <w:color w:val="000000"/>
        </w:rPr>
        <w:t xml:space="preserve"> – </w:t>
      </w:r>
      <w:r>
        <w:rPr>
          <w:rFonts w:ascii="Times New Roman;serif" w:hAnsi="Times New Roman;serif"/>
          <w:b w:val="false"/>
          <w:color w:val="000000"/>
          <w:sz w:val="22"/>
        </w:rPr>
        <w:t xml:space="preserve">or – </w:t>
      </w:r>
      <w:r>
        <w:rPr>
          <w:rFonts w:ascii="Times New Roman;serif" w:hAnsi="Times New Roman;serif"/>
          <w:b w:val="false"/>
          <w:color w:val="0563C1"/>
          <w:sz w:val="22"/>
          <w:u w:val="single"/>
        </w:rPr>
        <w:t>media@helus.com</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color w:val="000000"/>
          <w:sz w:val="22"/>
        </w:rPr>
      </w:pPr>
      <w:r>
        <w:rPr>
          <w:rFonts w:ascii="Times New Roman;serif" w:hAnsi="Times New Roman;serif"/>
          <w:b/>
          <w:color w:val="000000"/>
          <w:sz w:val="22"/>
        </w:rPr>
        <w:t>Media Contact:</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Victoria Verdeja</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RXMD</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Public Relations Director</w:t>
      </w:r>
    </w:p>
    <w:p>
      <w:pPr>
        <w:pStyle w:val="TextBody"/>
        <w:bidi w:val="0"/>
        <w:spacing w:lineRule="auto" w:line="319" w:before="0" w:after="0"/>
        <w:jc w:val="both"/>
        <w:rPr>
          <w:rFonts w:ascii="Times New Roman;serif" w:hAnsi="Times New Roman;serif"/>
          <w:b w:val="false"/>
          <w:color w:val="000000"/>
          <w:sz w:val="22"/>
        </w:rPr>
      </w:pPr>
      <w:r>
        <w:rPr>
          <w:rFonts w:ascii="Times New Roman;serif" w:hAnsi="Times New Roman;serif"/>
          <w:b w:val="false"/>
          <w:color w:val="000000"/>
          <w:sz w:val="22"/>
        </w:rPr>
        <w:t>(212) 537-9495</w:t>
      </w:r>
    </w:p>
    <w:p>
      <w:pPr>
        <w:pStyle w:val="TextBody"/>
        <w:bidi w:val="0"/>
        <w:spacing w:lineRule="auto" w:line="319" w:before="0" w:after="0"/>
        <w:jc w:val="both"/>
        <w:rPr/>
      </w:pPr>
      <w:r>
        <w:rPr>
          <w:rFonts w:ascii="Times New Roman;serif" w:hAnsi="Times New Roman;serif"/>
          <w:b w:val="false"/>
          <w:color w:val="0563C1"/>
          <w:sz w:val="22"/>
          <w:u w:val="single"/>
        </w:rPr>
        <w:t>vverdeja@rxmedyn.com</w:t>
      </w:r>
      <w:r>
        <w:rPr>
          <w:color w:val="000000"/>
        </w:rPr>
        <w:t xml:space="preserve">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1131</Words>
  <Characters>6627</Characters>
  <CharactersWithSpaces>7726</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