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22,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KCSA Psychedelics Virtual Investor Conference on April 28, 2022</w:t>
      </w:r>
    </w:p>
    <w:p>
      <w:pPr>
        <w:spacing w:after="0" w:line="200" w:lineRule="exact"/>
        <w:rPr>
          <w:sz w:val="20"/>
          <w:szCs w:val="20"/>
          <w:color w:val="auto"/>
        </w:rPr>
      </w:pPr>
    </w:p>
    <w:p>
      <w:pPr>
        <w:spacing w:after="0" w:line="35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22,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present at the KCSA Psychedelics Virtual Investor Conference at 11:00 a.m. ET on Thursday, April 28, 2022.</w:t>
      </w:r>
    </w:p>
    <w:p>
      <w:pPr>
        <w:spacing w:after="0" w:line="205"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 xml:space="preserve">This will be a live, interactive online event where investors are invited to ask the Company questions in real-time. To participate,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register for the conference and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p>
      <w:pPr>
        <w:sectPr>
          <w:pgSz w:w="11900" w:h="16838" w:orient="portrait"/>
          <w:cols w:equalWidth="0" w:num="1">
            <w:col w:w="11240"/>
          </w:cols>
          <w:pgMar w:left="320" w:top="144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2022-04-22T13:15:47Z</dcterms:created>
  <dcterms:modified xsi:type="dcterms:W3CDTF">2022-04-22T13:15:47Z</dcterms:modified>
</cp:coreProperties>
</file>