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April,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lineRule="auto" w:line="276" w:before="100" w:after="10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76" w:before="100" w:after="100"/>
        <w:ind w:left="0" w:right="0" w:firstLine="720"/>
        <w:jc w:val="both"/>
        <w:rPr/>
      </w:pPr>
      <w:r>
        <w:rPr>
          <w:rFonts w:ascii="Times New Roman;serif" w:hAnsi="Times New Roman;serif"/>
          <w:b w:val="false"/>
          <w:color w:val="000000"/>
          <w:sz w:val="20"/>
        </w:rPr>
        <w:t>Exhibit 99.1 of this Form 6-K of Cybin Inc. (the "Company") is hereby incorporated by reference into the Registration Statement on Form F-10 (</w:t>
      </w:r>
      <w:hyperlink r:id="rId2">
        <w:r>
          <w:rPr>
            <w:rStyle w:val="InternetLink"/>
            <w:rFonts w:ascii="Times New Roman;serif" w:hAnsi="Times New Roman;serif"/>
            <w:b w:val="false"/>
            <w:color w:val="0000FF"/>
            <w:sz w:val="20"/>
            <w:u w:val="single"/>
          </w:rPr>
          <w:t>File No. 333-292294</w:t>
        </w:r>
      </w:hyperlink>
      <w:r>
        <w:rPr>
          <w:rFonts w:ascii="Times New Roman;serif" w:hAnsi="Times New Roman;serif"/>
          <w:b w:val="false"/>
          <w:color w:val="000000"/>
          <w:sz w:val="20"/>
        </w:rPr>
        <w:t>) of the Company, as amended or supplemented.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1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April 20,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465" w:type="dxa"/>
        <w:jc w:val="left"/>
        <w:tblInd w:w="0" w:type="dxa"/>
        <w:tblLayout w:type="fixed"/>
        <w:tblCellMar>
          <w:top w:w="28" w:type="dxa"/>
          <w:left w:w="28" w:type="dxa"/>
          <w:bottom w:w="28" w:type="dxa"/>
          <w:right w:w="28" w:type="dxa"/>
        </w:tblCellMar>
      </w:tblPr>
      <w:tblGrid>
        <w:gridCol w:w="174"/>
        <w:gridCol w:w="153"/>
        <w:gridCol w:w="154"/>
        <w:gridCol w:w="871"/>
        <w:gridCol w:w="871"/>
        <w:gridCol w:w="124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298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essrelease04-20x2026ceot.htm">
              <w:r>
                <w:rPr>
                  <w:rStyle w:val="InternetLink"/>
                  <w:rFonts w:ascii="Times New Roman;serif" w:hAnsi="Times New Roman;serif"/>
                  <w:b w:val="false"/>
                  <w:color w:val="0000FF"/>
                  <w:sz w:val="20"/>
                  <w:u w:val="single"/>
                </w:rPr>
                <w:t>News Release dated April 20,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Helus Pharma Announces Chief Executive Officer Transition; Eric So to Resume Role as Interim Chief Executive Officer</w:t>
      </w:r>
    </w:p>
    <w:p>
      <w:pPr>
        <w:pStyle w:val="TextBody"/>
        <w:bidi w:val="0"/>
        <w:spacing w:before="0" w:after="0"/>
        <w:jc w:val="left"/>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This news release constitutes a “designated news release” for the purpose of the Company’s prospectus supplement dated December 30, 2025, to its short form base shelf prospectus dated September 17, 2025, as amended on December 19, 2025.</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April 20, 2026 Helus Pharma</w:t>
      </w:r>
      <w:r>
        <w:rPr>
          <w:rFonts w:ascii="Arial;sans-serif" w:hAnsi="Arial;sans-serif"/>
          <w:b w:val="false"/>
          <w:color w:val="000000"/>
          <w:sz w:val="14"/>
        </w:rPr>
        <w:t xml:space="preserve">TM </w:t>
      </w:r>
      <w:r>
        <w:rPr>
          <w:rFonts w:ascii="Arial;sans-serif" w:hAnsi="Arial;sans-serif"/>
          <w:b w:val="false"/>
          <w:color w:val="000000"/>
          <w:sz w:val="22"/>
        </w:rPr>
        <w:t xml:space="preserve">(Nasdaq: HELP) (Cboe CA: HELP), a clinical stage pharmaceutical company committed to helping minds heal by developing novel serotonergic agonists (“NSAs”), today announced that Michael Cola is stepping down as Chief Executive Officer, effective immediately, at the request of the Board of Directors.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Board has appointed co-founder and Executive Chairman Eric So to resume his role as Interim Chief Executive Officer, effective immediately, while a search for a successor is conducted. Mr. So previously served as Interim Chief Executive Officer and brings continuity of leadership during this transition.</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Helus Pharma was founded with a clear mission: to advance innovative therapies that address serious unmet needs in mental health,” said Eric So, Interim Chief Executive Officer. “With a strong foundation of clinical progress, regulatory recognition, and dedicated teams, we remain well-positioned to continue advancing our programs. I am committed to ensuring continuity during this transition and maintaining our focus on creating long-term value for both patients and shareholders.”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Mr. So continued, “Our priorities remain clear as we execute on our strategy, advance our clinical pipeline, and work closely with our partners to deliver meaningful therapeutic options for patients. In particular, our focus remains on the upcoming topline data readout from the APPROACH trial of HLP003 expected in the fourth quarter, and we remain committed to disciplined execution and supporting our teams as we move forward.”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Mr. So is a Co-founder and Executive Chairman of Helus Pharma. He is a veteran owner and operator over the last 20 years and has led corporate strategy, development, and finance at all stages of the business life cycle from start-up to growth stage and multinational.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Board of Directors has initiated a search process to identify a permanent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The Company operates in Canada, the United States, the United Kingdom, and Ireland.</w:t>
      </w:r>
      <w:r>
        <w:rPr>
          <w:color w:val="000000"/>
        </w:rPr>
        <w:t xml:space="preserve"> </w:t>
      </w:r>
      <w:r>
        <w:rPr>
          <w:rFonts w:ascii="Arial;sans-serif" w:hAnsi="Arial;sans-serif"/>
          <w:b w:val="false"/>
          <w:color w:val="000000"/>
          <w:sz w:val="22"/>
        </w:rPr>
        <w:t xml:space="preserve">For Company updates and to learn more about Helus Pharma, visit </w:t>
      </w:r>
      <w:r>
        <w:rPr>
          <w:rFonts w:ascii="Arial;sans-serif" w:hAnsi="Arial;sans-serif"/>
          <w:b w:val="false"/>
          <w:color w:val="467886"/>
          <w:sz w:val="22"/>
        </w:rPr>
        <w:t>www.helus.com</w:t>
      </w:r>
      <w:r>
        <w:rPr>
          <w:color w:val="000000"/>
        </w:rPr>
        <w:t xml:space="preserve"> </w:t>
      </w:r>
      <w:r>
        <w:rPr>
          <w:rFonts w:ascii="Arial;sans-serif" w:hAnsi="Arial;sans-serif"/>
          <w:b w:val="false"/>
          <w:color w:val="000000"/>
          <w:sz w:val="22"/>
        </w:rPr>
        <w:t>or follow the team on X, LinkedIn, YouTube and Instagram. Helus Pharma</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is a trademark of Cybin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Interim Chief Executive Officer’s ability to ensure continuity during the transaction and to create long-term value for patients and shareholders, the Company’s timeline to release topline data from the APPROACH trial of HLP003 in the fourth quarter, the Company’s ability to identify a permanent Chief Executive Officer, and the Company’s plans to engineer proprietary drug discovery platforms, innovative drug delivery systems, novel formulation approaches and treatment regimens for mental health conditions.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 xml:space="preserve">Neither Cboe Canada, nor the Nasdaq Global Market stock exchange, have approved or disapproved the contents of this news release and are not responsible for the adequacy and accuracy of the contents herein.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rPr>
        <w:t>media@helus.com</w:t>
      </w:r>
      <w:r>
        <w:rPr>
          <w:color w:val="000000"/>
        </w:rPr>
        <w:t xml:space="preser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pPr>
      <w:r>
        <w:rPr>
          <w:rFonts w:ascii="Arial;sans-serif" w:hAnsi="Arial;sans-serif"/>
          <w:b w:val="false"/>
          <w:color w:val="467886"/>
          <w:sz w:val="22"/>
        </w:rPr>
        <w:t>Matthew.beck@astrpartners.com</w:t>
      </w:r>
      <w:r>
        <w:rPr>
          <w:color w:val="000000"/>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Johnny Tokarczyk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pPr>
      <w:r>
        <w:rPr>
          <w:rFonts w:ascii="Arial;sans-serif" w:hAnsi="Arial;sans-serif"/>
          <w:b w:val="false"/>
          <w:color w:val="467886"/>
          <w:sz w:val="22"/>
        </w:rPr>
        <w:t>jtokarczyk@rxmedyn.com</w:t>
      </w:r>
      <w:r>
        <w:rPr>
          <w:color w:val="000000"/>
        </w:rPr>
        <w:t xml:space="preserve">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(914) 772-7562</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7416/formf10.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1413</Words>
  <Characters>8252</Characters>
  <CharactersWithSpaces>9630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