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September,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before="100" w:after="10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246"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210"/>
        <w:gridCol w:w="210"/>
        <w:gridCol w:w="210"/>
        <w:gridCol w:w="863"/>
        <w:gridCol w:w="546"/>
        <w:gridCol w:w="5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21,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900" w:type="dxa"/>
        <w:jc w:val="left"/>
        <w:tblInd w:w="0" w:type="dxa"/>
        <w:tblLayout w:type="fixed"/>
        <w:tblCellMar>
          <w:top w:w="28" w:type="dxa"/>
          <w:left w:w="28" w:type="dxa"/>
          <w:bottom w:w="28" w:type="dxa"/>
          <w:right w:w="28" w:type="dxa"/>
        </w:tblCellMar>
      </w:tblPr>
      <w:tblGrid>
        <w:gridCol w:w="174"/>
        <w:gridCol w:w="153"/>
        <w:gridCol w:w="154"/>
        <w:gridCol w:w="999"/>
        <w:gridCol w:w="999"/>
        <w:gridCol w:w="142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4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heluspsychcongress2026pres.htm">
              <w:r>
                <w:rPr>
                  <w:rStyle w:val="InternetLink"/>
                  <w:rFonts w:ascii="Times New Roman;serif" w:hAnsi="Times New Roman;serif"/>
                  <w:b w:val="false"/>
                  <w:color w:val="000080"/>
                  <w:sz w:val="20"/>
                  <w:u w:val="single"/>
                </w:rPr>
                <w:t xml:space="preserve">News Release dated September </w:t>
              </w:r>
            </w:hyperlink>
            <w:hyperlink w:anchor="heluspsychcongress2026pres.htm">
              <w:r>
                <w:rPr>
                  <w:rStyle w:val="InternetLink"/>
                  <w:rFonts w:ascii="Times New Roman;serif" w:hAnsi="Times New Roman;serif"/>
                  <w:b w:val="false"/>
                  <w:color w:val="000080"/>
                  <w:sz w:val="20"/>
                  <w:u w:val="single"/>
                </w:rPr>
                <w:t>21</w:t>
              </w:r>
            </w:hyperlink>
            <w:hyperlink w:anchor="heluspsychcongress2026pres.htm">
              <w:r>
                <w:rPr>
                  <w:rStyle w:val="InternetLink"/>
                  <w:rFonts w:ascii="Times New Roman;serif" w:hAnsi="Times New Roman;serif"/>
                  <w:b w:val="false"/>
                  <w:color w:val="000080"/>
                  <w:sz w:val="20"/>
                  <w:u w:val="single"/>
                </w:rPr>
                <w:t>,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8"/>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962025"/>
                    </a:xfrm>
                    <a:prstGeom prst="rect">
                      <a:avLst/>
                    </a:prstGeom>
                  </pic:spPr>
                </pic:pic>
              </a:graphicData>
            </a:graphic>
          </wp:inline>
        </w:drawing>
      </w:r>
    </w:p>
    <w:p>
      <w:pPr>
        <w:pStyle w:val="TextBody"/>
        <w:bidi w:val="0"/>
        <w:spacing w:lineRule="auto" w:line="288" w:before="0" w:after="120"/>
        <w:jc w:val="center"/>
        <w:rPr>
          <w:rFonts w:ascii="Arial;sans-serif" w:hAnsi="Arial;sans-serif"/>
          <w:b/>
          <w:color w:val="000000"/>
          <w:sz w:val="28"/>
        </w:rPr>
      </w:pPr>
      <w:r>
        <w:rPr>
          <w:rFonts w:ascii="Arial;sans-serif" w:hAnsi="Arial;sans-serif"/>
          <w:b/>
          <w:color w:val="000000"/>
          <w:sz w:val="28"/>
        </w:rPr>
        <w:t>Helus Pharma Presents New Analyses on HLP003 in Major Depressive Disorder at Psych Congress 2026</w:t>
      </w:r>
    </w:p>
    <w:p>
      <w:pPr>
        <w:pStyle w:val="TextBody"/>
        <w:bidi w:val="0"/>
        <w:spacing w:lineRule="auto" w:line="307" w:before="0" w:after="0"/>
        <w:jc w:val="center"/>
        <w:rPr>
          <w:rFonts w:ascii="Arial;sans-serif" w:hAnsi="Arial;sans-serif"/>
          <w:b w:val="false"/>
          <w:i/>
          <w:color w:val="000000"/>
          <w:sz w:val="24"/>
        </w:rPr>
      </w:pPr>
      <w:r>
        <w:rPr>
          <w:rFonts w:ascii="Arial;sans-serif" w:hAnsi="Arial;sans-serif"/>
          <w:b w:val="false"/>
          <w:i/>
          <w:color w:val="000000"/>
          <w:sz w:val="24"/>
        </w:rPr>
        <w:t xml:space="preserve">Poster presentations further characterize clinical profile of HLP003 and </w:t>
      </w:r>
    </w:p>
    <w:p>
      <w:pPr>
        <w:pStyle w:val="TextBody"/>
        <w:bidi w:val="0"/>
        <w:spacing w:lineRule="auto" w:line="307" w:before="0" w:after="0"/>
        <w:jc w:val="center"/>
        <w:rPr>
          <w:rFonts w:ascii="Arial;sans-serif" w:hAnsi="Arial;sans-serif"/>
          <w:b w:val="false"/>
          <w:i/>
          <w:color w:val="000000"/>
          <w:sz w:val="24"/>
        </w:rPr>
      </w:pPr>
      <w:r>
        <w:rPr>
          <w:rFonts w:ascii="Arial;sans-serif" w:hAnsi="Arial;sans-serif"/>
          <w:b w:val="false"/>
          <w:i/>
          <w:color w:val="000000"/>
          <w:sz w:val="24"/>
        </w:rPr>
        <w:t>Phase 3 PARADIGM program evaluating HLP003 as a potential adjunctive treatment</w:t>
      </w:r>
    </w:p>
    <w:p>
      <w:pPr>
        <w:pStyle w:val="TextBody"/>
        <w:bidi w:val="0"/>
        <w:spacing w:lineRule="auto" w:line="307" w:before="0" w:after="0"/>
        <w:jc w:val="center"/>
        <w:rPr>
          <w:rFonts w:ascii="Arial;sans-serif" w:hAnsi="Arial;sans-serif"/>
          <w:b w:val="false"/>
          <w:i/>
          <w:color w:val="000000"/>
          <w:sz w:val="24"/>
        </w:rPr>
      </w:pPr>
      <w:r>
        <w:rPr>
          <w:rFonts w:ascii="Arial;sans-serif" w:hAnsi="Arial;sans-serif"/>
          <w:b w:val="false"/>
          <w:i/>
          <w:color w:val="000000"/>
          <w:sz w:val="24"/>
        </w:rPr>
        <w:t>for major depressive disorder (“MDD”)</w:t>
      </w:r>
    </w:p>
    <w:p>
      <w:pPr>
        <w:pStyle w:val="TextBody"/>
        <w:bidi w:val="0"/>
        <w:spacing w:before="0" w:after="0"/>
        <w:jc w:val="center"/>
        <w:rPr/>
      </w:pPr>
      <w:r>
        <w:rPr/>
      </w:r>
    </w:p>
    <w:p>
      <w:pPr>
        <w:pStyle w:val="TextBody"/>
        <w:bidi w:val="0"/>
        <w:spacing w:lineRule="auto" w:line="307" w:before="0" w:after="288"/>
        <w:jc w:val="both"/>
        <w:rPr/>
      </w:pPr>
      <w:r>
        <w:rPr>
          <w:rFonts w:ascii="Arial;sans-serif" w:hAnsi="Arial;sans-serif"/>
          <w:b/>
          <w:color w:val="000000"/>
          <w:sz w:val="22"/>
        </w:rPr>
        <w:t>NEW YORK &amp; TORONTO — September 21, 2026 —</w:t>
      </w:r>
      <w:r>
        <w:rPr>
          <w:color w:val="000000"/>
        </w:rPr>
        <w:t xml:space="preserve"> </w:t>
      </w:r>
      <w:r>
        <w:rPr>
          <w:rFonts w:ascii="Arial;sans-serif" w:hAnsi="Arial;sans-serif"/>
          <w:b w:val="false"/>
          <w:color w:val="000000"/>
          <w:sz w:val="22"/>
        </w:rPr>
        <w:t>Helus Pharma (Nasdaq: HELP) (Cboe CA: HELP) (the “Company” or “Helus Pharma”), a clinical-stage pharmaceutical company committed to helping minds heal by developing novel serotonergic agonists (“NSAs”), today announced the presentation of four posters evaluating HLP003, an investigational oral deuterated psilocin analog being developed as an adjunctive treatment for MDD, at Psych Congress 2026, September 15–19, 2026, at the Ernest N. Morial Convention Center in New Orleans, Louisiana.</w:t>
      </w:r>
    </w:p>
    <w:p>
      <w:pPr>
        <w:pStyle w:val="TextBody"/>
        <w:bidi w:val="0"/>
        <w:spacing w:lineRule="auto" w:line="307" w:before="0" w:after="288"/>
        <w:jc w:val="both"/>
        <w:rPr>
          <w:rFonts w:ascii="Arial;sans-serif" w:hAnsi="Arial;sans-serif"/>
          <w:b w:val="false"/>
          <w:color w:val="000000"/>
          <w:sz w:val="22"/>
        </w:rPr>
      </w:pPr>
      <w:r>
        <w:rPr>
          <w:rFonts w:ascii="Arial;sans-serif" w:hAnsi="Arial;sans-serif"/>
          <w:b w:val="false"/>
          <w:color w:val="000000"/>
          <w:sz w:val="22"/>
        </w:rPr>
        <w:t xml:space="preserve">Three of the poster presentations build on findings from Helus Pharma’s completed Phase 1/2a randomized, double-blind study of HPL003 as a potential adjunctive therapy in participants with MDD. Data presented includes 12-month efficacy results. A trial-in-progress overview of PARADIGM, the ongoing Phase 3 clinical program of HLP003 was also presented. </w:t>
      </w:r>
    </w:p>
    <w:p>
      <w:pPr>
        <w:pStyle w:val="TextBody"/>
        <w:bidi w:val="0"/>
        <w:spacing w:lineRule="auto" w:line="307" w:before="0" w:after="288"/>
        <w:jc w:val="both"/>
        <w:rPr>
          <w:rFonts w:ascii="Arial;sans-serif" w:hAnsi="Arial;sans-serif"/>
          <w:b/>
          <w:color w:val="000000"/>
          <w:sz w:val="22"/>
        </w:rPr>
      </w:pPr>
      <w:r>
        <w:rPr>
          <w:rFonts w:ascii="Arial;sans-serif" w:hAnsi="Arial;sans-serif"/>
          <w:b/>
          <w:color w:val="000000"/>
          <w:sz w:val="22"/>
        </w:rPr>
        <w:t>Poster #1</w:t>
      </w:r>
    </w:p>
    <w:p>
      <w:pPr>
        <w:pStyle w:val="TextBody"/>
        <w:bidi w:val="0"/>
        <w:spacing w:lineRule="auto" w:line="307" w:before="0" w:after="0"/>
        <w:ind w:left="0" w:right="0" w:hanging="360"/>
        <w:jc w:val="both"/>
        <w:rPr/>
      </w:pPr>
      <w:r>
        <w:rPr>
          <w:color w:val="000000"/>
        </w:rPr>
        <w:t>•</w:t>
      </w:r>
      <w:r>
        <w:rPr>
          <w:rFonts w:ascii="Arial;sans-serif" w:hAnsi="Arial;sans-serif"/>
          <w:b/>
          <w:color w:val="000000"/>
          <w:sz w:val="22"/>
        </w:rPr>
        <w:t xml:space="preserve">Title: </w:t>
      </w:r>
      <w:r>
        <w:rPr>
          <w:rFonts w:ascii="Arial;sans-serif" w:hAnsi="Arial;sans-serif"/>
          <w:b w:val="false"/>
          <w:color w:val="000000"/>
          <w:sz w:val="22"/>
        </w:rPr>
        <w:t>Effects of HLP003 on MADRS Individual Items and Anhedonia Subscale in Adults With Major Depressive Disorder: Post Hoc Analysis of a Phase 1/2a Study </w:t>
      </w:r>
    </w:p>
    <w:p>
      <w:pPr>
        <w:pStyle w:val="TextBody"/>
        <w:bidi w:val="0"/>
        <w:spacing w:lineRule="auto" w:line="307" w:before="0" w:after="0"/>
        <w:ind w:left="0" w:right="0" w:hanging="360"/>
        <w:jc w:val="both"/>
        <w:rPr/>
      </w:pPr>
      <w:r>
        <w:rPr>
          <w:color w:val="000000"/>
        </w:rPr>
        <w:t>•</w:t>
      </w:r>
      <w:r>
        <w:rPr>
          <w:rFonts w:ascii="Arial;sans-serif" w:hAnsi="Arial;sans-serif"/>
          <w:b/>
          <w:color w:val="000000"/>
          <w:sz w:val="22"/>
        </w:rPr>
        <w:t>Authors</w:t>
      </w:r>
      <w:r>
        <w:rPr>
          <w:rFonts w:ascii="Arial;sans-serif" w:hAnsi="Arial;sans-serif"/>
          <w:b w:val="false"/>
          <w:color w:val="000000"/>
          <w:sz w:val="22"/>
        </w:rPr>
        <w:t xml:space="preserve">: Atul R. Mahableshwarkar, MD; Ken Kramer, PhD; Alexandra Kulikova, PhD; Amir Inamdar, MBBS, DNB (Psych), MFPM </w:t>
      </w:r>
    </w:p>
    <w:p>
      <w:pPr>
        <w:pStyle w:val="TextBody"/>
        <w:bidi w:val="0"/>
        <w:spacing w:lineRule="auto" w:line="307" w:before="0" w:after="0"/>
        <w:ind w:left="0" w:right="0" w:hanging="360"/>
        <w:jc w:val="both"/>
        <w:rPr/>
      </w:pPr>
      <w:r>
        <w:rPr>
          <w:color w:val="000000"/>
        </w:rPr>
        <w:t>•</w:t>
      </w:r>
      <w:r>
        <w:rPr>
          <w:rFonts w:ascii="Arial;sans-serif" w:hAnsi="Arial;sans-serif"/>
          <w:b/>
          <w:color w:val="000000"/>
          <w:sz w:val="22"/>
        </w:rPr>
        <w:t>Poster Number:</w:t>
      </w:r>
      <w:r>
        <w:rPr>
          <w:rFonts w:ascii="Arial;sans-serif" w:hAnsi="Arial;sans-serif"/>
          <w:b w:val="false"/>
          <w:color w:val="000000"/>
          <w:sz w:val="22"/>
        </w:rPr>
        <w:t>124</w:t>
      </w:r>
    </w:p>
    <w:p>
      <w:pPr>
        <w:pStyle w:val="TextBody"/>
        <w:bidi w:val="0"/>
        <w:spacing w:before="0" w:after="0"/>
        <w:jc w:val="both"/>
        <w:rPr/>
      </w:pPr>
      <w:r>
        <w:rPr/>
      </w:r>
    </w:p>
    <w:p>
      <w:pPr>
        <w:pStyle w:val="TextBody"/>
        <w:bidi w:val="0"/>
        <w:spacing w:lineRule="auto" w:line="307" w:before="0" w:after="288"/>
        <w:jc w:val="both"/>
        <w:rPr>
          <w:rFonts w:ascii="Arial;sans-serif" w:hAnsi="Arial;sans-serif"/>
          <w:b/>
          <w:color w:val="000000"/>
          <w:sz w:val="22"/>
        </w:rPr>
      </w:pPr>
      <w:r>
        <w:rPr>
          <w:rFonts w:ascii="Arial;sans-serif" w:hAnsi="Arial;sans-serif"/>
          <w:b/>
          <w:color w:val="000000"/>
          <w:sz w:val="22"/>
        </w:rPr>
        <w:t>Poster #2</w:t>
      </w:r>
    </w:p>
    <w:p>
      <w:pPr>
        <w:pStyle w:val="TextBody"/>
        <w:bidi w:val="0"/>
        <w:spacing w:lineRule="auto" w:line="307" w:before="0" w:after="0"/>
        <w:ind w:left="0" w:right="0" w:hanging="357"/>
        <w:jc w:val="both"/>
        <w:rPr/>
      </w:pPr>
      <w:r>
        <w:rPr>
          <w:color w:val="000000"/>
        </w:rPr>
        <w:t>•</w:t>
      </w:r>
      <w:r>
        <w:rPr>
          <w:rFonts w:ascii="Arial;sans-serif" w:hAnsi="Arial;sans-serif"/>
          <w:b/>
          <w:color w:val="000000"/>
          <w:sz w:val="23"/>
        </w:rPr>
        <w:t xml:space="preserve">Title: </w:t>
      </w:r>
      <w:r>
        <w:rPr>
          <w:rFonts w:ascii="Arial;sans-serif" w:hAnsi="Arial;sans-serif"/>
          <w:b w:val="false"/>
          <w:color w:val="000000"/>
          <w:sz w:val="22"/>
        </w:rPr>
        <w:t>Understanding and Assessing the Psychedelic Experience From a Phase 1/2a Study of the Deuterated Psilocin Analog HLP003 in Adults With Major Depressive Disorder</w:t>
      </w:r>
    </w:p>
    <w:p>
      <w:pPr>
        <w:pStyle w:val="TextBody"/>
        <w:bidi w:val="0"/>
        <w:spacing w:lineRule="auto" w:line="307" w:before="0" w:after="0"/>
        <w:ind w:left="0" w:right="0" w:hanging="357"/>
        <w:jc w:val="both"/>
        <w:rPr/>
      </w:pPr>
      <w:r>
        <w:rPr>
          <w:color w:val="000000"/>
        </w:rPr>
        <w:t>•</w:t>
      </w:r>
      <w:r>
        <w:rPr>
          <w:rFonts w:ascii="Arial;sans-serif" w:hAnsi="Arial;sans-serif"/>
          <w:b/>
          <w:color w:val="000000"/>
          <w:sz w:val="22"/>
        </w:rPr>
        <w:t xml:space="preserve">Authors: </w:t>
      </w:r>
      <w:r>
        <w:rPr>
          <w:rFonts w:ascii="Arial;sans-serif" w:hAnsi="Arial;sans-serif"/>
          <w:b w:val="false"/>
          <w:color w:val="000000"/>
          <w:sz w:val="22"/>
        </w:rPr>
        <w:t>Atul R. Mahableshwarkar, MD; Sunita Shinde, MD; Ken Kramer, PhD; Alexandra Kulikova, PhD; Amir Inamdar, MBBS, DNB (Psych), MFPM</w:t>
      </w:r>
    </w:p>
    <w:p>
      <w:pPr>
        <w:pStyle w:val="TextBody"/>
        <w:bidi w:val="0"/>
        <w:spacing w:lineRule="auto" w:line="307" w:before="0" w:after="288"/>
        <w:ind w:left="0" w:right="0" w:hanging="357"/>
        <w:jc w:val="both"/>
        <w:rPr/>
      </w:pPr>
      <w:r>
        <w:rPr>
          <w:color w:val="000000"/>
        </w:rPr>
        <w:t>•</w:t>
      </w:r>
      <w:r>
        <w:rPr>
          <w:rFonts w:ascii="Arial;sans-serif" w:hAnsi="Arial;sans-serif"/>
          <w:b/>
          <w:color w:val="000000"/>
          <w:sz w:val="22"/>
        </w:rPr>
        <w:t xml:space="preserve">Poster Number: </w:t>
      </w:r>
      <w:r>
        <w:rPr>
          <w:rFonts w:ascii="Arial;sans-serif" w:hAnsi="Arial;sans-serif"/>
          <w:b w:val="false"/>
          <w:color w:val="000000"/>
          <w:sz w:val="22"/>
        </w:rPr>
        <w:t>123</w:t>
      </w:r>
    </w:p>
    <w:p>
      <w:pPr>
        <w:pStyle w:val="TextBody"/>
        <w:bidi w:val="0"/>
        <w:spacing w:lineRule="auto" w:line="307" w:before="0" w:after="288"/>
        <w:jc w:val="both"/>
        <w:rPr>
          <w:rFonts w:ascii="Arial;sans-serif" w:hAnsi="Arial;sans-serif"/>
          <w:b/>
          <w:color w:val="000000"/>
          <w:sz w:val="22"/>
        </w:rPr>
      </w:pPr>
      <w:r>
        <w:rPr>
          <w:rFonts w:ascii="Arial;sans-serif" w:hAnsi="Arial;sans-serif"/>
          <w:b/>
          <w:color w:val="000000"/>
          <w:sz w:val="22"/>
        </w:rPr>
        <w:t>Poster #3</w:t>
      </w:r>
    </w:p>
    <w:p>
      <w:pPr>
        <w:pStyle w:val="TextBody"/>
        <w:bidi w:val="0"/>
        <w:spacing w:lineRule="auto" w:line="307"/>
        <w:ind w:left="0" w:right="0" w:hanging="357"/>
        <w:jc w:val="both"/>
        <w:rPr/>
      </w:pPr>
      <w:r>
        <w:rPr>
          <w:color w:val="000000"/>
        </w:rPr>
        <w:t>•</w:t>
      </w:r>
      <w:r>
        <w:rPr>
          <w:rFonts w:ascii="Arial;sans-serif" w:hAnsi="Arial;sans-serif"/>
          <w:b/>
          <w:color w:val="000000"/>
          <w:sz w:val="23"/>
        </w:rPr>
        <w:t xml:space="preserve">Title: </w:t>
      </w:r>
      <w:r>
        <w:rPr>
          <w:rFonts w:ascii="Arial;sans-serif" w:hAnsi="Arial;sans-serif"/>
          <w:b w:val="false"/>
          <w:color w:val="000000"/>
          <w:sz w:val="22"/>
        </w:rPr>
        <w:t>Expanded Safety Analysis of the Deuterated Psilocin Analog HLP003 From a Phase 1/2a Study of Adult Participants With Major Depressive Disorder</w:t>
      </w:r>
    </w:p>
    <w:p>
      <w:pPr>
        <w:pStyle w:val="TextBody"/>
        <w:bidi w:val="0"/>
        <w:spacing w:before="0" w:after="12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307" w:before="0" w:after="0"/>
        <w:ind w:left="0" w:right="0" w:hanging="357"/>
        <w:jc w:val="both"/>
        <w:rPr/>
      </w:pPr>
      <w:r>
        <w:rPr>
          <w:color w:val="000000"/>
        </w:rPr>
        <w:t>•</w:t>
      </w:r>
      <w:r>
        <w:rPr>
          <w:rFonts w:ascii="Arial;sans-serif" w:hAnsi="Arial;sans-serif"/>
          <w:b/>
          <w:color w:val="000000"/>
          <w:sz w:val="22"/>
        </w:rPr>
        <w:t xml:space="preserve">Authors: </w:t>
      </w:r>
      <w:r>
        <w:rPr>
          <w:rFonts w:ascii="Arial;sans-serif" w:hAnsi="Arial;sans-serif"/>
          <w:b w:val="false"/>
          <w:color w:val="000000"/>
          <w:sz w:val="22"/>
        </w:rPr>
        <w:t>Sunita Shinde, MD; Alexandra Kulikova, PhD; Atul Mahableshwarkar, MD; Ken Kramer, PhD; Amir Inamdar, MBBS, DNB (Psych), MFPM</w:t>
      </w:r>
    </w:p>
    <w:p>
      <w:pPr>
        <w:pStyle w:val="TextBody"/>
        <w:bidi w:val="0"/>
        <w:spacing w:lineRule="auto" w:line="307" w:before="0" w:after="0"/>
        <w:ind w:left="0" w:right="0" w:hanging="357"/>
        <w:jc w:val="both"/>
        <w:rPr/>
      </w:pPr>
      <w:r>
        <w:rPr>
          <w:color w:val="000000"/>
        </w:rPr>
        <w:t>•</w:t>
      </w:r>
      <w:r>
        <w:rPr>
          <w:rFonts w:ascii="Arial;sans-serif" w:hAnsi="Arial;sans-serif"/>
          <w:b/>
          <w:color w:val="000000"/>
          <w:sz w:val="22"/>
        </w:rPr>
        <w:t xml:space="preserve">Poster Number: </w:t>
      </w:r>
      <w:r>
        <w:rPr>
          <w:rFonts w:ascii="Arial;sans-serif" w:hAnsi="Arial;sans-serif"/>
          <w:b w:val="false"/>
          <w:color w:val="000000"/>
          <w:sz w:val="22"/>
        </w:rPr>
        <w:t>122</w:t>
      </w:r>
    </w:p>
    <w:p>
      <w:pPr>
        <w:pStyle w:val="TextBody"/>
        <w:bidi w:val="0"/>
        <w:spacing w:before="0" w:after="0"/>
        <w:jc w:val="both"/>
        <w:rPr/>
      </w:pPr>
      <w:r>
        <w:rPr/>
      </w:r>
    </w:p>
    <w:p>
      <w:pPr>
        <w:pStyle w:val="TextBody"/>
        <w:bidi w:val="0"/>
        <w:spacing w:lineRule="auto" w:line="307" w:before="0" w:after="288"/>
        <w:jc w:val="both"/>
        <w:rPr>
          <w:rFonts w:ascii="Arial;sans-serif" w:hAnsi="Arial;sans-serif"/>
          <w:b/>
          <w:color w:val="000000"/>
          <w:sz w:val="22"/>
        </w:rPr>
      </w:pPr>
      <w:r>
        <w:rPr>
          <w:rFonts w:ascii="Arial;sans-serif" w:hAnsi="Arial;sans-serif"/>
          <w:b/>
          <w:color w:val="000000"/>
          <w:sz w:val="22"/>
        </w:rPr>
        <w:t>Poster #4</w:t>
      </w:r>
    </w:p>
    <w:p>
      <w:pPr>
        <w:pStyle w:val="TextBody"/>
        <w:bidi w:val="0"/>
        <w:spacing w:lineRule="auto" w:line="307" w:before="0" w:after="0"/>
        <w:ind w:left="0" w:right="0" w:hanging="357"/>
        <w:jc w:val="both"/>
        <w:rPr/>
      </w:pPr>
      <w:r>
        <w:rPr>
          <w:color w:val="000000"/>
        </w:rPr>
        <w:t>•</w:t>
      </w:r>
      <w:r>
        <w:rPr>
          <w:rFonts w:ascii="Arial;sans-serif" w:hAnsi="Arial;sans-serif"/>
          <w:b/>
          <w:color w:val="000000"/>
          <w:sz w:val="23"/>
        </w:rPr>
        <w:t xml:space="preserve">Title: </w:t>
      </w:r>
      <w:r>
        <w:rPr>
          <w:rFonts w:ascii="Arial;sans-serif" w:hAnsi="Arial;sans-serif"/>
          <w:b w:val="false"/>
          <w:color w:val="000000"/>
          <w:sz w:val="22"/>
        </w:rPr>
        <w:t>A Phase 3 Clinical Program Evaluating the Efficacy and Safety of the Deuterated Psilocin Analog HLP003 as an Adjunctive Treatment for Major Depressive Disorder (PARADIGM)</w:t>
      </w:r>
    </w:p>
    <w:p>
      <w:pPr>
        <w:pStyle w:val="TextBody"/>
        <w:bidi w:val="0"/>
        <w:spacing w:lineRule="auto" w:line="307" w:before="0" w:after="0"/>
        <w:ind w:left="0" w:right="0" w:hanging="357"/>
        <w:jc w:val="both"/>
        <w:rPr/>
      </w:pPr>
      <w:r>
        <w:rPr>
          <w:color w:val="000000"/>
        </w:rPr>
        <w:t>•</w:t>
      </w:r>
      <w:r>
        <w:rPr>
          <w:rFonts w:ascii="Arial;sans-serif" w:hAnsi="Arial;sans-serif"/>
          <w:b/>
          <w:color w:val="000000"/>
          <w:sz w:val="22"/>
        </w:rPr>
        <w:t xml:space="preserve">Authors: </w:t>
      </w:r>
      <w:r>
        <w:rPr>
          <w:rFonts w:ascii="Arial;sans-serif" w:hAnsi="Arial;sans-serif"/>
          <w:b w:val="false"/>
          <w:color w:val="000000"/>
          <w:sz w:val="22"/>
        </w:rPr>
        <w:t>Amir Inamdar, MBBS, DNB (Psych), MFPM; Annette Massa, PharmD; Ken Kramer, PhD; Heather Prichard, PhD; Sunita Shinde, MD; Atul Mahableshwarkar, MD</w:t>
      </w:r>
    </w:p>
    <w:p>
      <w:pPr>
        <w:pStyle w:val="TextBody"/>
        <w:bidi w:val="0"/>
        <w:spacing w:lineRule="auto" w:line="307" w:before="0" w:after="0"/>
        <w:ind w:left="0" w:right="0" w:hanging="357"/>
        <w:jc w:val="both"/>
        <w:rPr/>
      </w:pPr>
      <w:r>
        <w:rPr>
          <w:color w:val="000000"/>
        </w:rPr>
        <w:t>•</w:t>
      </w:r>
      <w:r>
        <w:rPr>
          <w:rFonts w:ascii="Arial;sans-serif" w:hAnsi="Arial;sans-serif"/>
          <w:b/>
          <w:color w:val="000000"/>
          <w:sz w:val="22"/>
        </w:rPr>
        <w:t xml:space="preserve">Poster Number: </w:t>
      </w:r>
      <w:r>
        <w:rPr>
          <w:rFonts w:ascii="Arial;sans-serif" w:hAnsi="Arial;sans-serif"/>
          <w:b w:val="false"/>
          <w:color w:val="000000"/>
          <w:sz w:val="22"/>
        </w:rPr>
        <w:t>121</w:t>
      </w:r>
    </w:p>
    <w:p>
      <w:pPr>
        <w:pStyle w:val="TextBody"/>
        <w:bidi w:val="0"/>
        <w:spacing w:before="0" w:after="288"/>
        <w:jc w:val="both"/>
        <w:rPr/>
      </w:pPr>
      <w:r>
        <w:rPr/>
      </w:r>
    </w:p>
    <w:p>
      <w:pPr>
        <w:pStyle w:val="TextBody"/>
        <w:bidi w:val="0"/>
        <w:spacing w:lineRule="auto" w:line="417" w:before="0" w:after="288"/>
        <w:jc w:val="both"/>
        <w:rPr>
          <w:rFonts w:ascii="Arial;sans-serif" w:hAnsi="Arial;sans-serif"/>
          <w:b/>
          <w:color w:val="000000"/>
          <w:sz w:val="22"/>
          <w:shd w:fill="FFFFFF" w:val="clear"/>
        </w:rPr>
      </w:pPr>
      <w:r>
        <w:rPr>
          <w:rFonts w:ascii="Arial;sans-serif" w:hAnsi="Arial;sans-serif"/>
          <w:b/>
          <w:color w:val="000000"/>
          <w:sz w:val="22"/>
          <w:shd w:fill="FFFFFF" w:val="clear"/>
        </w:rPr>
        <w:t>About Helus Pharma</w:t>
      </w:r>
    </w:p>
    <w:p>
      <w:pPr>
        <w:pStyle w:val="TextBody"/>
        <w:bidi w:val="0"/>
        <w:spacing w:lineRule="auto" w:line="307" w:before="0" w:after="288"/>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Helus Pharma, the commercial operating name of Cybin Inc., is a clinical-stage pharmaceutical company committed to helping minds heal by developing proprietary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lineRule="auto" w:line="307" w:before="0" w:after="288"/>
        <w:jc w:val="both"/>
        <w:rPr>
          <w:rFonts w:ascii="Arial;sans-serif" w:hAnsi="Arial;sans-serif"/>
          <w:b w:val="false"/>
          <w:color w:val="000000"/>
          <w:sz w:val="22"/>
        </w:rPr>
      </w:pPr>
      <w:r>
        <w:rPr>
          <w:rFonts w:ascii="Arial;sans-serif" w:hAnsi="Arial;sans-serif"/>
          <w:b w:val="false"/>
          <w:color w:val="000000"/>
          <w:sz w:val="22"/>
        </w:rPr>
        <w:t>With class-leading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MDD that has received Breakthrough Therapy Designation from the U.S. Food and Drug Administration and HLP004, also a proprietary NSA in Phase 2 for generalized anxiety disorder. Additionally, Helus Pharma has an extensive research portfolio of investigational NSAs.</w:t>
      </w:r>
    </w:p>
    <w:p>
      <w:pPr>
        <w:pStyle w:val="TextBody"/>
        <w:bidi w:val="0"/>
        <w:spacing w:lineRule="auto" w:line="307" w:before="0" w:after="288"/>
        <w:jc w:val="both"/>
        <w:rPr>
          <w:rFonts w:ascii="Arial;sans-serif" w:hAnsi="Arial;sans-serif"/>
          <w:b w:val="false"/>
          <w:color w:val="000000"/>
          <w:sz w:val="22"/>
        </w:rPr>
      </w:pPr>
      <w:r>
        <w:rPr>
          <w:rFonts w:ascii="Arial;sans-serif" w:hAnsi="Arial;sans-serif"/>
          <w:b w:val="false"/>
          <w:color w:val="000000"/>
          <w:sz w:val="22"/>
        </w:rPr>
        <w:t>The Company operates in Canada, the United States, the United Kingdom, and Ireland. For Company updates and to learn more about Helus Pharma, visit www.helus.com or follow the team on X, LinkedIn, YouTube and Instagram. Helus Pharma™ is a trademark of Helus Pharma Corp.</w:t>
      </w:r>
    </w:p>
    <w:p>
      <w:pPr>
        <w:pStyle w:val="TextBody"/>
        <w:bidi w:val="0"/>
        <w:spacing w:lineRule="auto" w:line="417" w:before="0" w:after="288"/>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lineRule="auto" w:line="307" w:before="0" w:after="288"/>
        <w:jc w:val="both"/>
        <w:rPr>
          <w:rFonts w:ascii="Arial;sans-serif" w:hAnsi="Arial;sans-serif"/>
          <w:b w:val="false"/>
          <w:color w:val="000000"/>
          <w:sz w:val="22"/>
        </w:rPr>
      </w:pPr>
      <w:r>
        <w:rPr>
          <w:rFonts w:ascii="Arial;sans-serif" w:hAnsi="Arial;sans-serif"/>
          <w:b w:val="false"/>
          <w:color w:val="000000"/>
          <w:sz w:val="22"/>
        </w:rPr>
        <w:t xml:space="preserve">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w:t>
      </w:r>
    </w:p>
    <w:p>
      <w:pPr>
        <w:pStyle w:val="TextBody"/>
        <w:bidi w:val="0"/>
        <w:spacing w:before="0" w:after="12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307" w:before="0" w:after="288"/>
        <w:jc w:val="both"/>
        <w:rPr>
          <w:rFonts w:ascii="Arial;sans-serif" w:hAnsi="Arial;sans-serif"/>
          <w:b w:val="false"/>
          <w:color w:val="000000"/>
          <w:sz w:val="22"/>
        </w:rPr>
      </w:pPr>
      <w:r>
        <w:rPr>
          <w:rFonts w:ascii="Arial;sans-serif" w:hAnsi="Arial;sans-serif"/>
          <w:b w:val="false"/>
          <w:color w:val="000000"/>
          <w:sz w:val="22"/>
        </w:rPr>
        <w:t>or “continue”, or the negative thereof or similar variations. Forward-looking statements in this news release include statements regarding HLP003 as a potential adjunctive treatment for MDD; and the Company’s plans to engineer proprietary drug discovery platforms, innovative drug delivery systems, novel formulation approaches and treatment regimens for mental health conditions.</w:t>
      </w:r>
    </w:p>
    <w:p>
      <w:pPr>
        <w:pStyle w:val="TextBody"/>
        <w:bidi w:val="0"/>
        <w:spacing w:lineRule="auto" w:line="307" w:before="0" w:after="288"/>
        <w:jc w:val="both"/>
        <w:rPr>
          <w:rFonts w:ascii="Arial;sans-serif" w:hAnsi="Arial;sans-serif"/>
          <w:b w:val="false"/>
          <w:color w:val="000000"/>
          <w:sz w:val="22"/>
        </w:rPr>
      </w:pPr>
      <w:r>
        <w:rPr>
          <w:rFonts w:ascii="Arial;sans-serif" w:hAnsi="Arial;sans-serif"/>
          <w:b w:val="false"/>
          <w:color w:val="000000"/>
          <w:sz w:val="22"/>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2026, and the Company’s annual information form for the year ended March 31, 2026,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TextBody"/>
        <w:bidi w:val="0"/>
        <w:spacing w:lineRule="auto" w:line="307" w:before="0" w:after="288"/>
        <w:jc w:val="both"/>
        <w:rPr>
          <w:rFonts w:ascii="Arial;sans-serif" w:hAnsi="Arial;sans-serif"/>
          <w:b w:val="false"/>
          <w:color w:val="000000"/>
          <w:sz w:val="22"/>
        </w:rPr>
      </w:pPr>
      <w:r>
        <w:rPr>
          <w:rFonts w:ascii="Arial;sans-serif" w:hAnsi="Arial;sans-serif"/>
          <w:b w:val="false"/>
          <w:color w:val="000000"/>
          <w:sz w:val="22"/>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lineRule="auto" w:line="307" w:before="0" w:after="288"/>
        <w:jc w:val="both"/>
        <w:rPr>
          <w:rFonts w:ascii="Arial;sans-serif" w:hAnsi="Arial;sans-serif"/>
          <w:b w:val="false"/>
          <w:color w:val="000000"/>
          <w:sz w:val="22"/>
        </w:rPr>
      </w:pPr>
      <w:r>
        <w:rPr>
          <w:rFonts w:ascii="Arial;sans-serif" w:hAnsi="Arial;sans-serif"/>
          <w:b w:val="false"/>
          <w:color w:val="000000"/>
          <w:sz w:val="22"/>
        </w:rPr>
        <w:t>Neither Cboe Canada, nor the Nasdaq Global Market stock exchange, have approved or disapproved the contents of this news release and are not responsible for the adequacy and accuracy of the contents herein.</w:t>
      </w:r>
    </w:p>
    <w:p>
      <w:pPr>
        <w:pStyle w:val="TextBody"/>
        <w:bidi w:val="0"/>
        <w:spacing w:lineRule="auto" w:line="417"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417"/>
        <w:jc w:val="both"/>
        <w:rPr>
          <w:rFonts w:ascii="Arial;sans-serif" w:hAnsi="Arial;sans-serif"/>
          <w:b w:val="false"/>
          <w:color w:val="000000"/>
          <w:sz w:val="22"/>
        </w:rPr>
      </w:pPr>
      <w:r>
        <w:rPr>
          <w:rFonts w:ascii="Arial;sans-serif" w:hAnsi="Arial;sans-serif"/>
          <w:b w:val="false"/>
          <w:color w:val="000000"/>
          <w:sz w:val="22"/>
        </w:rPr>
        <w:t>Matthew Beck</w:t>
      </w:r>
    </w:p>
    <w:p>
      <w:pPr>
        <w:pStyle w:val="TextBody"/>
        <w:bidi w:val="0"/>
        <w:spacing w:before="0" w:after="12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Managing Partner</w:t>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(917) 415-1750</w:t>
      </w:r>
    </w:p>
    <w:p>
      <w:pPr>
        <w:pStyle w:val="TextBody"/>
        <w:bidi w:val="0"/>
        <w:spacing w:lineRule="auto" w:line="417" w:before="0" w:after="0"/>
        <w:jc w:val="both"/>
        <w:rPr>
          <w:rFonts w:ascii="Arial;sans-serif" w:hAnsi="Arial;sans-serif"/>
          <w:b w:val="false"/>
          <w:color w:val="467886"/>
          <w:sz w:val="22"/>
          <w:u w:val="single"/>
        </w:rPr>
      </w:pPr>
      <w:r>
        <w:rPr>
          <w:rFonts w:ascii="Arial;sans-serif" w:hAnsi="Arial;sans-serif"/>
          <w:b w:val="false"/>
          <w:color w:val="467886"/>
          <w:sz w:val="22"/>
          <w:u w:val="single"/>
        </w:rPr>
        <w:t>Matthew.beck@astrpartners.com</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Gabriel Fahel</w:t>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Chief Legal Officer</w:t>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Helus Pharma</w:t>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417" w:before="0" w:after="0"/>
        <w:jc w:val="both"/>
        <w:rPr/>
      </w:pPr>
      <w:r>
        <w:rPr>
          <w:rFonts w:ascii="Arial;sans-serif" w:hAnsi="Arial;sans-serif"/>
          <w:b w:val="false"/>
          <w:color w:val="467886"/>
          <w:sz w:val="22"/>
          <w:u w:val="single"/>
        </w:rPr>
        <w:t>irteam@helus.com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467886"/>
          <w:sz w:val="22"/>
          <w:u w:val="single"/>
        </w:rPr>
        <w:t>media@helus.com</w:t>
      </w:r>
      <w:r>
        <w:rPr>
          <w:color w:val="000000"/>
        </w:rPr>
        <w:t xml:space="preserve"> </w:t>
      </w:r>
    </w:p>
    <w:p>
      <w:pPr>
        <w:pStyle w:val="TextBody"/>
        <w:bidi w:val="0"/>
        <w:spacing w:before="0" w:after="0"/>
        <w:jc w:val="both"/>
        <w:rPr/>
      </w:pPr>
      <w:r>
        <w:rPr/>
      </w:r>
    </w:p>
    <w:p>
      <w:pPr>
        <w:pStyle w:val="TextBody"/>
        <w:bidi w:val="0"/>
        <w:spacing w:lineRule="auto" w:line="417"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Victoria Verdeja</w:t>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RXMD</w:t>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Public Relations Director</w:t>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(212) 537-9495</w:t>
      </w:r>
    </w:p>
    <w:p>
      <w:pPr>
        <w:pStyle w:val="TextBody"/>
        <w:bidi w:val="0"/>
        <w:spacing w:lineRule="auto" w:line="417" w:before="0" w:after="0"/>
        <w:jc w:val="both"/>
        <w:rPr/>
      </w:pPr>
      <w:r>
        <w:rPr>
          <w:rFonts w:ascii="Arial;sans-serif" w:hAnsi="Arial;sans-serif"/>
          <w:b w:val="false"/>
          <w:color w:val="467886"/>
          <w:sz w:val="22"/>
          <w:u w:val="single"/>
        </w:rPr>
        <w:t>vverdeja@rxmedyn.com</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8"/>
        <w:jc w:val="left"/>
        <w:rPr/>
      </w:pPr>
      <w:r>
        <w:rPr/>
        <w:drawing>
          <wp:inline distT="0" distB="0" distL="0" distR="0">
            <wp:extent cx="6038850" cy="1460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6038850" cy="1460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1332</Words>
  <Characters>7930</Characters>
  <CharactersWithSpaces>9213</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