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206375</wp:posOffset>
            </wp:positionH>
            <wp:positionV relativeFrom="page">
              <wp:posOffset>155575</wp:posOffset>
            </wp:positionV>
            <wp:extent cx="71532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3275" cy="29845"/>
                    </a:xfrm>
                    <a:prstGeom prst="rect">
                      <a:avLst/>
                    </a:prstGeom>
                    <a:noFill/>
                  </pic:spPr>
                </pic:pic>
              </a:graphicData>
            </a:graphic>
          </wp:anchor>
        </w:drawing>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102870</wp:posOffset>
            </wp:positionV>
            <wp:extent cx="7157720" cy="33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33655"/>
                    </a:xfrm>
                    <a:prstGeom prst="rect">
                      <a:avLst/>
                    </a:prstGeom>
                    <a:noFill/>
                  </pic:spPr>
                </pic:pic>
              </a:graphicData>
            </a:graphic>
          </wp:anchor>
        </w:drawing>
      </w:r>
    </w:p>
    <w:p>
      <w:pPr>
        <w:spacing w:after="0" w:line="30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126365</wp:posOffset>
            </wp:positionV>
            <wp:extent cx="7157720" cy="33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33655"/>
                    </a:xfrm>
                    <a:prstGeom prst="rect">
                      <a:avLst/>
                    </a:prstGeom>
                    <a:noFill/>
                  </pic:spPr>
                </pic:pic>
              </a:graphicData>
            </a:graphic>
          </wp:anchor>
        </w:drawing>
      </w:r>
    </w:p>
    <w:p>
      <w:pPr>
        <w:spacing w:after="0" w:line="370" w:lineRule="exact"/>
        <w:rPr>
          <w:sz w:val="24"/>
          <w:szCs w:val="24"/>
          <w:color w:val="auto"/>
        </w:rPr>
      </w:pPr>
    </w:p>
    <w:p>
      <w:pPr>
        <w:jc w:val="center"/>
        <w:spacing w:after="0" w:line="246" w:lineRule="auto"/>
        <w:rPr>
          <w:sz w:val="20"/>
          <w:szCs w:val="20"/>
          <w:color w:val="auto"/>
        </w:rPr>
      </w:pPr>
      <w:r>
        <w:rPr>
          <w:rFonts w:ascii="Times New Roman" w:cs="Times New Roman" w:eastAsia="Times New Roman" w:hAnsi="Times New Roman"/>
          <w:sz w:val="22"/>
          <w:szCs w:val="22"/>
          <w:b w:val="1"/>
          <w:bCs w:val="1"/>
          <w:color w:val="auto"/>
        </w:rPr>
        <w:t>FOR REGISTRATION OF CERTAIN CLASSES OF SECURITIES PURSUANT TO SECTION 12(b) OR (g)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336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33655"/>
                    </a:xfrm>
                    <a:prstGeom prst="rect">
                      <a:avLst/>
                    </a:prstGeom>
                    <a:noFill/>
                  </pic:spPr>
                </pic:pic>
              </a:graphicData>
            </a:graphic>
          </wp:anchor>
        </w:drawing>
      </w:r>
    </w:p>
    <w:p>
      <w:pPr>
        <w:spacing w:after="0" w:line="28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CYBIN INC.</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102870</wp:posOffset>
            </wp:positionV>
            <wp:extent cx="71577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34290"/>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tbl>
      <w:tblPr>
        <w:tblLayout w:type="fixed"/>
        <w:tblInd w:w="1200" w:type="dxa"/>
        <w:tblCellMar>
          <w:top w:w="0" w:type="dxa"/>
          <w:left w:w="0" w:type="dxa"/>
          <w:bottom w:w="0" w:type="dxa"/>
          <w:right w:w="0" w:type="dxa"/>
        </w:tblCellMar>
      </w:tblPr>
      <w:tr>
        <w:trPr>
          <w:trHeight w:val="216"/>
        </w:trPr>
        <w:tc>
          <w:tcPr>
            <w:tcW w:w="4540" w:type="dxa"/>
            <w:vAlign w:val="bottom"/>
          </w:tcPr>
          <w:p>
            <w:pPr>
              <w:jc w:val="center"/>
              <w:ind w:right="1210"/>
              <w:spacing w:after="0"/>
              <w:rPr>
                <w:sz w:val="20"/>
                <w:szCs w:val="20"/>
                <w:color w:val="auto"/>
              </w:rPr>
            </w:pPr>
            <w:r>
              <w:rPr>
                <w:rFonts w:ascii="Times New Roman" w:cs="Times New Roman" w:eastAsia="Times New Roman" w:hAnsi="Times New Roman"/>
                <w:sz w:val="18"/>
                <w:szCs w:val="18"/>
                <w:b w:val="1"/>
                <w:bCs w:val="1"/>
                <w:color w:val="auto"/>
                <w:w w:val="98"/>
              </w:rPr>
              <w:t>Ontario</w:t>
            </w:r>
          </w:p>
        </w:tc>
        <w:tc>
          <w:tcPr>
            <w:tcW w:w="4060" w:type="dxa"/>
            <w:vAlign w:val="bottom"/>
          </w:tcPr>
          <w:p>
            <w:pPr>
              <w:jc w:val="center"/>
              <w:ind w:left="1230"/>
              <w:spacing w:after="0"/>
              <w:rPr>
                <w:sz w:val="20"/>
                <w:szCs w:val="20"/>
                <w:color w:val="auto"/>
              </w:rPr>
            </w:pPr>
            <w:r>
              <w:rPr>
                <w:rFonts w:ascii="Times New Roman" w:cs="Times New Roman" w:eastAsia="Times New Roman" w:hAnsi="Times New Roman"/>
                <w:sz w:val="18"/>
                <w:szCs w:val="18"/>
                <w:b w:val="1"/>
                <w:bCs w:val="1"/>
                <w:color w:val="auto"/>
                <w:w w:val="96"/>
              </w:rPr>
              <w:t>N/A</w:t>
            </w:r>
          </w:p>
        </w:tc>
      </w:tr>
      <w:tr>
        <w:trPr>
          <w:trHeight w:val="238"/>
        </w:trPr>
        <w:tc>
          <w:tcPr>
            <w:tcW w:w="4540" w:type="dxa"/>
            <w:vAlign w:val="bottom"/>
          </w:tcPr>
          <w:p>
            <w:pPr>
              <w:jc w:val="center"/>
              <w:ind w:right="1210"/>
              <w:spacing w:after="0"/>
              <w:rPr>
                <w:sz w:val="20"/>
                <w:szCs w:val="20"/>
                <w:color w:val="auto"/>
              </w:rPr>
            </w:pPr>
            <w:r>
              <w:rPr>
                <w:rFonts w:ascii="Times New Roman" w:cs="Times New Roman" w:eastAsia="Times New Roman" w:hAnsi="Times New Roman"/>
                <w:sz w:val="18"/>
                <w:szCs w:val="18"/>
                <w:b w:val="1"/>
                <w:bCs w:val="1"/>
                <w:color w:val="auto"/>
                <w:w w:val="99"/>
              </w:rPr>
              <w:t>(State of incorporation or organization)</w:t>
            </w:r>
          </w:p>
        </w:tc>
        <w:tc>
          <w:tcPr>
            <w:tcW w:w="4060" w:type="dxa"/>
            <w:vAlign w:val="bottom"/>
          </w:tcPr>
          <w:p>
            <w:pPr>
              <w:jc w:val="center"/>
              <w:ind w:left="1230"/>
              <w:spacing w:after="0"/>
              <w:rPr>
                <w:sz w:val="20"/>
                <w:szCs w:val="20"/>
                <w:color w:val="auto"/>
              </w:rPr>
            </w:pPr>
            <w:r>
              <w:rPr>
                <w:rFonts w:ascii="Times New Roman" w:cs="Times New Roman" w:eastAsia="Times New Roman" w:hAnsi="Times New Roman"/>
                <w:sz w:val="18"/>
                <w:szCs w:val="18"/>
                <w:b w:val="1"/>
                <w:bCs w:val="1"/>
                <w:color w:val="auto"/>
                <w:w w:val="99"/>
              </w:rPr>
              <w:t>(I.R.S. Employer Identification No.)</w:t>
            </w:r>
          </w:p>
        </w:tc>
      </w:tr>
      <w:tr>
        <w:trPr>
          <w:trHeight w:val="437"/>
        </w:trPr>
        <w:tc>
          <w:tcPr>
            <w:tcW w:w="4540" w:type="dxa"/>
            <w:vAlign w:val="bottom"/>
          </w:tcPr>
          <w:p>
            <w:pPr>
              <w:jc w:val="center"/>
              <w:ind w:right="1210"/>
              <w:spacing w:after="0"/>
              <w:rPr>
                <w:sz w:val="20"/>
                <w:szCs w:val="20"/>
                <w:color w:val="auto"/>
              </w:rPr>
            </w:pPr>
            <w:r>
              <w:rPr>
                <w:rFonts w:ascii="Times New Roman" w:cs="Times New Roman" w:eastAsia="Times New Roman" w:hAnsi="Times New Roman"/>
                <w:sz w:val="18"/>
                <w:szCs w:val="18"/>
                <w:b w:val="1"/>
                <w:bCs w:val="1"/>
                <w:color w:val="auto"/>
                <w:w w:val="98"/>
              </w:rPr>
              <w:t>100 King Street West, Suite 5600, Toronto,</w:t>
            </w:r>
          </w:p>
        </w:tc>
        <w:tc>
          <w:tcPr>
            <w:tcW w:w="4060" w:type="dxa"/>
            <w:vAlign w:val="bottom"/>
          </w:tcPr>
          <w:p>
            <w:pPr>
              <w:spacing w:after="0"/>
              <w:rPr>
                <w:sz w:val="24"/>
                <w:szCs w:val="24"/>
                <w:color w:val="auto"/>
              </w:rPr>
            </w:pPr>
          </w:p>
        </w:tc>
      </w:tr>
      <w:tr>
        <w:trPr>
          <w:trHeight w:val="216"/>
        </w:trPr>
        <w:tc>
          <w:tcPr>
            <w:tcW w:w="4540" w:type="dxa"/>
            <w:vAlign w:val="bottom"/>
          </w:tcPr>
          <w:p>
            <w:pPr>
              <w:jc w:val="center"/>
              <w:ind w:right="1230"/>
              <w:spacing w:after="0"/>
              <w:rPr>
                <w:sz w:val="20"/>
                <w:szCs w:val="20"/>
                <w:color w:val="auto"/>
              </w:rPr>
            </w:pPr>
            <w:r>
              <w:rPr>
                <w:rFonts w:ascii="Times New Roman" w:cs="Times New Roman" w:eastAsia="Times New Roman" w:hAnsi="Times New Roman"/>
                <w:sz w:val="18"/>
                <w:szCs w:val="18"/>
                <w:b w:val="1"/>
                <w:bCs w:val="1"/>
                <w:color w:val="auto"/>
                <w:w w:val="99"/>
              </w:rPr>
              <w:t>Ontario, Canada</w:t>
            </w:r>
          </w:p>
        </w:tc>
        <w:tc>
          <w:tcPr>
            <w:tcW w:w="4060" w:type="dxa"/>
            <w:vAlign w:val="bottom"/>
          </w:tcPr>
          <w:p>
            <w:pPr>
              <w:jc w:val="center"/>
              <w:ind w:left="1230"/>
              <w:spacing w:after="0"/>
              <w:rPr>
                <w:sz w:val="20"/>
                <w:szCs w:val="20"/>
                <w:color w:val="auto"/>
              </w:rPr>
            </w:pPr>
            <w:r>
              <w:rPr>
                <w:rFonts w:ascii="Times New Roman" w:cs="Times New Roman" w:eastAsia="Times New Roman" w:hAnsi="Times New Roman"/>
                <w:sz w:val="18"/>
                <w:szCs w:val="18"/>
                <w:b w:val="1"/>
                <w:bCs w:val="1"/>
                <w:color w:val="auto"/>
                <w:w w:val="99"/>
              </w:rPr>
              <w:t>M5X 1C9</w:t>
            </w:r>
          </w:p>
        </w:tc>
      </w:tr>
      <w:tr>
        <w:trPr>
          <w:trHeight w:val="238"/>
        </w:trPr>
        <w:tc>
          <w:tcPr>
            <w:tcW w:w="4540" w:type="dxa"/>
            <w:vAlign w:val="bottom"/>
          </w:tcPr>
          <w:p>
            <w:pPr>
              <w:jc w:val="center"/>
              <w:ind w:right="123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4060" w:type="dxa"/>
            <w:vAlign w:val="bottom"/>
          </w:tcPr>
          <w:p>
            <w:pPr>
              <w:jc w:val="center"/>
              <w:ind w:left="1230"/>
              <w:spacing w:after="0"/>
              <w:rPr>
                <w:sz w:val="20"/>
                <w:szCs w:val="20"/>
                <w:color w:val="auto"/>
              </w:rPr>
            </w:pPr>
            <w:r>
              <w:rPr>
                <w:rFonts w:ascii="Times New Roman" w:cs="Times New Roman" w:eastAsia="Times New Roman" w:hAnsi="Times New Roman"/>
                <w:sz w:val="18"/>
                <w:szCs w:val="18"/>
                <w:b w:val="1"/>
                <w:bCs w:val="1"/>
                <w:color w:val="auto"/>
                <w:w w:val="98"/>
              </w:rPr>
              <w:t>(Zip Code)</w:t>
            </w:r>
          </w:p>
        </w:tc>
      </w:tr>
    </w:tbl>
    <w:p>
      <w:pPr>
        <w:spacing w:after="0" w:line="1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to be registered pursuant to Section 12(b) of the Act:</w:t>
      </w:r>
    </w:p>
    <w:p>
      <w:pPr>
        <w:spacing w:after="0" w:line="175" w:lineRule="exact"/>
        <w:rPr>
          <w:sz w:val="24"/>
          <w:szCs w:val="24"/>
          <w:color w:val="auto"/>
        </w:rPr>
      </w:pPr>
    </w:p>
    <w:tbl>
      <w:tblPr>
        <w:tblLayout w:type="fixed"/>
        <w:tblInd w:w="1660" w:type="dxa"/>
        <w:tblCellMar>
          <w:top w:w="0" w:type="dxa"/>
          <w:left w:w="0" w:type="dxa"/>
          <w:bottom w:w="0" w:type="dxa"/>
          <w:right w:w="0" w:type="dxa"/>
        </w:tblCellMar>
      </w:tblPr>
      <w:tr>
        <w:trPr>
          <w:trHeight w:val="216"/>
        </w:trPr>
        <w:tc>
          <w:tcPr>
            <w:tcW w:w="3920" w:type="dxa"/>
            <w:vAlign w:val="bottom"/>
          </w:tcPr>
          <w:p>
            <w:pPr>
              <w:jc w:val="center"/>
              <w:ind w:right="151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4120" w:type="dxa"/>
            <w:vAlign w:val="bottom"/>
          </w:tcPr>
          <w:p>
            <w:pPr>
              <w:jc w:val="center"/>
              <w:ind w:left="1490"/>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tc>
      </w:tr>
      <w:tr>
        <w:trPr>
          <w:trHeight w:val="216"/>
        </w:trPr>
        <w:tc>
          <w:tcPr>
            <w:tcW w:w="3920" w:type="dxa"/>
            <w:vAlign w:val="bottom"/>
          </w:tcPr>
          <w:p>
            <w:pPr>
              <w:jc w:val="center"/>
              <w:ind w:right="1530"/>
              <w:spacing w:after="0"/>
              <w:rPr>
                <w:sz w:val="20"/>
                <w:szCs w:val="20"/>
                <w:color w:val="auto"/>
              </w:rPr>
            </w:pPr>
            <w:r>
              <w:rPr>
                <w:rFonts w:ascii="Times New Roman" w:cs="Times New Roman" w:eastAsia="Times New Roman" w:hAnsi="Times New Roman"/>
                <w:sz w:val="18"/>
                <w:szCs w:val="18"/>
                <w:b w:val="1"/>
                <w:bCs w:val="1"/>
                <w:color w:val="auto"/>
                <w:w w:val="98"/>
              </w:rPr>
              <w:t>to be so registered</w:t>
            </w:r>
          </w:p>
        </w:tc>
        <w:tc>
          <w:tcPr>
            <w:tcW w:w="4120" w:type="dxa"/>
            <w:vAlign w:val="bottom"/>
          </w:tcPr>
          <w:p>
            <w:pPr>
              <w:jc w:val="center"/>
              <w:ind w:left="1490"/>
              <w:spacing w:after="0"/>
              <w:rPr>
                <w:sz w:val="20"/>
                <w:szCs w:val="20"/>
                <w:color w:val="auto"/>
              </w:rPr>
            </w:pPr>
            <w:r>
              <w:rPr>
                <w:rFonts w:ascii="Times New Roman" w:cs="Times New Roman" w:eastAsia="Times New Roman" w:hAnsi="Times New Roman"/>
                <w:sz w:val="18"/>
                <w:szCs w:val="18"/>
                <w:b w:val="1"/>
                <w:bCs w:val="1"/>
                <w:color w:val="auto"/>
                <w:w w:val="99"/>
              </w:rPr>
              <w:t>each class is to be registered</w:t>
            </w:r>
          </w:p>
        </w:tc>
      </w:tr>
      <w:tr>
        <w:trPr>
          <w:trHeight w:val="238"/>
        </w:trPr>
        <w:tc>
          <w:tcPr>
            <w:tcW w:w="3920" w:type="dxa"/>
            <w:vAlign w:val="bottom"/>
          </w:tcPr>
          <w:p>
            <w:pPr>
              <w:jc w:val="center"/>
              <w:ind w:right="1510"/>
              <w:spacing w:after="0"/>
              <w:rPr>
                <w:sz w:val="20"/>
                <w:szCs w:val="20"/>
                <w:color w:val="auto"/>
              </w:rPr>
            </w:pPr>
            <w:r>
              <w:rPr>
                <w:rFonts w:ascii="Times New Roman" w:cs="Times New Roman" w:eastAsia="Times New Roman" w:hAnsi="Times New Roman"/>
                <w:sz w:val="18"/>
                <w:szCs w:val="18"/>
                <w:b w:val="1"/>
                <w:bCs w:val="1"/>
                <w:color w:val="auto"/>
                <w:w w:val="99"/>
              </w:rPr>
              <w:t>Common Shares, no par value</w:t>
            </w:r>
          </w:p>
        </w:tc>
        <w:tc>
          <w:tcPr>
            <w:tcW w:w="4120" w:type="dxa"/>
            <w:vAlign w:val="bottom"/>
          </w:tcPr>
          <w:p>
            <w:pPr>
              <w:jc w:val="center"/>
              <w:ind w:left="1510"/>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34290"/>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spacing w:after="0" w:line="285" w:lineRule="exact"/>
        <w:rPr>
          <w:sz w:val="20"/>
          <w:szCs w:val="20"/>
          <w:color w:val="auto"/>
        </w:rPr>
      </w:pPr>
      <w:r>
        <w:rPr>
          <w:rFonts w:ascii="Times New Roman" w:cs="Times New Roman" w:eastAsia="Times New Roman" w:hAnsi="Times New Roman"/>
          <w:sz w:val="22"/>
          <w:szCs w:val="22"/>
          <w:color w:val="auto"/>
        </w:rPr>
        <w:t xml:space="preserve">If this form relates to the registration of a class of securities pursuant to Section 12(b) of the Exchange Act and is effective pursuant to General Instruction A.(c) or (e), check the following box. </w:t>
      </w:r>
      <w:r>
        <w:rPr>
          <w:rFonts w:ascii="MS PGothic" w:cs="MS PGothic" w:eastAsia="MS PGothic" w:hAnsi="MS PGothic"/>
          <w:sz w:val="22"/>
          <w:szCs w:val="22"/>
          <w:color w:val="auto"/>
        </w:rPr>
        <w:t>☒</w:t>
      </w:r>
    </w:p>
    <w:p>
      <w:pPr>
        <w:spacing w:after="0" w:line="106" w:lineRule="exact"/>
        <w:rPr>
          <w:sz w:val="24"/>
          <w:szCs w:val="24"/>
          <w:color w:val="auto"/>
        </w:rPr>
      </w:pPr>
    </w:p>
    <w:p>
      <w:pPr>
        <w:spacing w:after="0" w:line="285" w:lineRule="exact"/>
        <w:rPr>
          <w:sz w:val="20"/>
          <w:szCs w:val="20"/>
          <w:color w:val="auto"/>
        </w:rPr>
      </w:pPr>
      <w:r>
        <w:rPr>
          <w:rFonts w:ascii="Times New Roman" w:cs="Times New Roman" w:eastAsia="Times New Roman" w:hAnsi="Times New Roman"/>
          <w:sz w:val="22"/>
          <w:szCs w:val="22"/>
          <w:color w:val="auto"/>
        </w:rPr>
        <w:t xml:space="preserve">If this form relates to the registration of a class of securities pursuant to Section 12(g) of the Exchange Act and is effective pursuant to General Instruction A.(d) or (e), check the following box. </w:t>
      </w:r>
      <w:r>
        <w:rPr>
          <w:rFonts w:ascii="MS PGothic" w:cs="MS PGothic" w:eastAsia="MS PGothic" w:hAnsi="MS PGothic"/>
          <w:sz w:val="22"/>
          <w:szCs w:val="22"/>
          <w:color w:val="auto"/>
        </w:rPr>
        <w:t>☐</w:t>
      </w:r>
    </w:p>
    <w:p>
      <w:pPr>
        <w:spacing w:after="0" w:line="106" w:lineRule="exact"/>
        <w:rPr>
          <w:sz w:val="24"/>
          <w:szCs w:val="24"/>
          <w:color w:val="auto"/>
        </w:rPr>
      </w:pPr>
    </w:p>
    <w:p>
      <w:pPr>
        <w:ind w:right="20"/>
        <w:spacing w:after="0" w:line="285" w:lineRule="exact"/>
        <w:rPr>
          <w:sz w:val="20"/>
          <w:szCs w:val="20"/>
          <w:color w:val="auto"/>
        </w:rPr>
      </w:pPr>
      <w:r>
        <w:rPr>
          <w:rFonts w:ascii="Times New Roman" w:cs="Times New Roman" w:eastAsia="Times New Roman" w:hAnsi="Times New Roman"/>
          <w:sz w:val="22"/>
          <w:szCs w:val="22"/>
          <w:color w:val="auto"/>
        </w:rPr>
        <w:t xml:space="preserve">If this form relates to the registration of a class of securities concurrently with a Regulation A offering, check the following box. </w:t>
      </w:r>
      <w:r>
        <w:rPr>
          <w:rFonts w:ascii="MS PGothic" w:cs="MS PGothic" w:eastAsia="MS PGothic" w:hAnsi="MS PGothic"/>
          <w:sz w:val="22"/>
          <w:szCs w:val="2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91440</wp:posOffset>
            </wp:positionV>
            <wp:extent cx="7153275" cy="469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416"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21"/>
          <w:szCs w:val="21"/>
          <w:b w:val="1"/>
          <w:bCs w:val="1"/>
          <w:color w:val="auto"/>
        </w:rPr>
        <w:t>Securities Act registration statement or Regulation A offering statement file number to which this form relates: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 applicable</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to be registered pursuant to Section 12(g) of the Act:</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113665</wp:posOffset>
            </wp:positionV>
            <wp:extent cx="7153275" cy="469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240"/>
          </w:cols>
          <w:pgMar w:left="820" w:top="108" w:right="8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EXPLANATORY NOTE</w:t>
      </w:r>
    </w:p>
    <w:p>
      <w:pPr>
        <w:spacing w:after="0" w:line="166" w:lineRule="exact"/>
        <w:rPr>
          <w:sz w:val="20"/>
          <w:szCs w:val="20"/>
          <w:color w:val="auto"/>
        </w:rPr>
      </w:pPr>
    </w:p>
    <w:p>
      <w:pPr>
        <w:jc w:val="both"/>
        <w:ind w:firstLine="441"/>
        <w:spacing w:after="0" w:line="241" w:lineRule="auto"/>
        <w:rPr>
          <w:sz w:val="20"/>
          <w:szCs w:val="20"/>
          <w:color w:val="auto"/>
        </w:rPr>
      </w:pPr>
      <w:r>
        <w:rPr>
          <w:rFonts w:ascii="Times New Roman" w:cs="Times New Roman" w:eastAsia="Times New Roman" w:hAnsi="Times New Roman"/>
          <w:sz w:val="22"/>
          <w:szCs w:val="22"/>
          <w:color w:val="auto"/>
        </w:rPr>
        <w:t>Cybin Inc. (the "</w:t>
      </w:r>
      <w:r>
        <w:rPr>
          <w:rFonts w:ascii="Times New Roman" w:cs="Times New Roman" w:eastAsia="Times New Roman" w:hAnsi="Times New Roman"/>
          <w:sz w:val="22"/>
          <w:szCs w:val="22"/>
          <w:b w:val="1"/>
          <w:bCs w:val="1"/>
          <w:color w:val="auto"/>
        </w:rPr>
        <w:t>Registrant</w:t>
      </w:r>
      <w:r>
        <w:rPr>
          <w:rFonts w:ascii="Times New Roman" w:cs="Times New Roman" w:eastAsia="Times New Roman" w:hAnsi="Times New Roman"/>
          <w:sz w:val="22"/>
          <w:szCs w:val="22"/>
          <w:color w:val="auto"/>
        </w:rPr>
        <w:t>") is filing this Form 8-A in connection with the transfer of the listing of its common shares (the "</w:t>
      </w:r>
      <w:r>
        <w:rPr>
          <w:rFonts w:ascii="Times New Roman" w:cs="Times New Roman" w:eastAsia="Times New Roman" w:hAnsi="Times New Roman"/>
          <w:sz w:val="22"/>
          <w:szCs w:val="22"/>
          <w:b w:val="1"/>
          <w:bCs w:val="1"/>
          <w:color w:val="auto"/>
        </w:rPr>
        <w:t>Common Shares</w:t>
      </w:r>
      <w:r>
        <w:rPr>
          <w:rFonts w:ascii="Times New Roman" w:cs="Times New Roman" w:eastAsia="Times New Roman" w:hAnsi="Times New Roman"/>
          <w:sz w:val="22"/>
          <w:szCs w:val="22"/>
          <w:color w:val="auto"/>
        </w:rPr>
        <w:t>") from the NYSE American LLC ("</w:t>
      </w:r>
      <w:r>
        <w:rPr>
          <w:rFonts w:ascii="Times New Roman" w:cs="Times New Roman" w:eastAsia="Times New Roman" w:hAnsi="Times New Roman"/>
          <w:sz w:val="22"/>
          <w:szCs w:val="22"/>
          <w:b w:val="1"/>
          <w:bCs w:val="1"/>
          <w:color w:val="auto"/>
        </w:rPr>
        <w:t>NYSE American</w:t>
      </w:r>
      <w:r>
        <w:rPr>
          <w:rFonts w:ascii="Times New Roman" w:cs="Times New Roman" w:eastAsia="Times New Roman" w:hAnsi="Times New Roman"/>
          <w:sz w:val="22"/>
          <w:szCs w:val="22"/>
          <w:color w:val="auto"/>
        </w:rPr>
        <w:t>") to the Nasdaq Stock Market LLC ("</w:t>
      </w:r>
      <w:r>
        <w:rPr>
          <w:rFonts w:ascii="Times New Roman" w:cs="Times New Roman" w:eastAsia="Times New Roman" w:hAnsi="Times New Roman"/>
          <w:sz w:val="22"/>
          <w:szCs w:val="22"/>
          <w:b w:val="1"/>
          <w:bCs w:val="1"/>
          <w:color w:val="auto"/>
        </w:rPr>
        <w:t>Nasdaq</w:t>
      </w:r>
      <w:r>
        <w:rPr>
          <w:rFonts w:ascii="Times New Roman" w:cs="Times New Roman" w:eastAsia="Times New Roman" w:hAnsi="Times New Roman"/>
          <w:sz w:val="22"/>
          <w:szCs w:val="22"/>
          <w:color w:val="auto"/>
        </w:rPr>
        <w:t>"). The Registrant expects that listing and trading of the Common Shares on the NYSE American will end at market close on January 2, 2026, and that trading will begin on the Nasdaq at market open on January 5, 2026.</w:t>
      </w:r>
    </w:p>
    <w:p>
      <w:pPr>
        <w:spacing w:after="0" w:line="145"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22"/>
          <w:szCs w:val="22"/>
          <w:b w:val="1"/>
          <w:bCs w:val="1"/>
          <w:color w:val="auto"/>
        </w:rPr>
        <w:t>INFORMATION REQUIRED IN REGISTRATION STATEMENT</w:t>
      </w:r>
    </w:p>
    <w:p>
      <w:pPr>
        <w:spacing w:after="0" w:line="166"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22"/>
          <w:szCs w:val="22"/>
          <w:b w:val="1"/>
          <w:bCs w:val="1"/>
          <w:color w:val="auto"/>
        </w:rPr>
        <w:t>Item 1.</w:t>
      </w:r>
      <w:r>
        <w:rPr>
          <w:sz w:val="20"/>
          <w:szCs w:val="20"/>
          <w:color w:val="auto"/>
        </w:rPr>
        <w:tab/>
      </w:r>
      <w:r>
        <w:rPr>
          <w:rFonts w:ascii="Times New Roman" w:cs="Times New Roman" w:eastAsia="Times New Roman" w:hAnsi="Times New Roman"/>
          <w:sz w:val="22"/>
          <w:szCs w:val="22"/>
          <w:b w:val="1"/>
          <w:bCs w:val="1"/>
          <w:color w:val="auto"/>
        </w:rPr>
        <w:t>Description of Registrant's Securities to be Registered.</w:t>
      </w:r>
    </w:p>
    <w:p>
      <w:pPr>
        <w:spacing w:after="0" w:line="170" w:lineRule="exact"/>
        <w:rPr>
          <w:sz w:val="20"/>
          <w:szCs w:val="20"/>
          <w:color w:val="auto"/>
        </w:rPr>
      </w:pPr>
    </w:p>
    <w:p>
      <w:pPr>
        <w:jc w:val="both"/>
        <w:ind w:firstLine="441"/>
        <w:spacing w:after="0" w:line="239" w:lineRule="auto"/>
        <w:rPr>
          <w:rFonts w:ascii="Times New Roman" w:cs="Times New Roman" w:eastAsia="Times New Roman" w:hAnsi="Times New Roman"/>
          <w:sz w:val="22"/>
          <w:szCs w:val="22"/>
          <w:color w:val="0000EE"/>
        </w:rPr>
      </w:pPr>
      <w:r>
        <w:rPr>
          <w:rFonts w:ascii="Times New Roman" w:cs="Times New Roman" w:eastAsia="Times New Roman" w:hAnsi="Times New Roman"/>
          <w:sz w:val="22"/>
          <w:szCs w:val="22"/>
          <w:color w:val="auto"/>
        </w:rPr>
        <w:t xml:space="preserve">For a description of the Common Shares of the Registrant to be registered hereunder, reference is made to the information set forth under the heading "Description of Capital Structure", as it relates to the Registrant's Common Shares, in the Registrant's </w:t>
      </w:r>
      <w:hyperlink r:id="rId16">
        <w:r>
          <w:rPr>
            <w:rFonts w:ascii="Times New Roman" w:cs="Times New Roman" w:eastAsia="Times New Roman" w:hAnsi="Times New Roman"/>
            <w:sz w:val="22"/>
            <w:szCs w:val="22"/>
            <w:color w:val="auto"/>
          </w:rPr>
          <w:t xml:space="preserve">annual report filed as </w:t>
        </w:r>
        <w:r>
          <w:rPr>
            <w:rFonts w:ascii="Times New Roman" w:cs="Times New Roman" w:eastAsia="Times New Roman" w:hAnsi="Times New Roman"/>
            <w:sz w:val="22"/>
            <w:szCs w:val="22"/>
            <w:u w:val="single" w:color="auto"/>
            <w:color w:val="0000EE"/>
          </w:rPr>
          <w:t>Exhibit 99.1 to the Registrant's Annual Report for the year ended March 31, 2024 on Form 40-F (File No.</w:t>
        </w:r>
      </w:hyperlink>
      <w:r>
        <w:rPr>
          <w:rFonts w:ascii="Times New Roman" w:cs="Times New Roman" w:eastAsia="Times New Roman" w:hAnsi="Times New Roman"/>
          <w:sz w:val="22"/>
          <w:szCs w:val="22"/>
          <w:color w:val="auto"/>
        </w:rPr>
        <w:t xml:space="preserve"> </w:t>
      </w:r>
      <w:hyperlink r:id="rId16">
        <w:r>
          <w:rPr>
            <w:rFonts w:ascii="Times New Roman" w:cs="Times New Roman" w:eastAsia="Times New Roman" w:hAnsi="Times New Roman"/>
            <w:sz w:val="22"/>
            <w:szCs w:val="22"/>
            <w:u w:val="single" w:color="auto"/>
            <w:color w:val="0000EE"/>
          </w:rPr>
          <w:t>001-40673)</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filed with the Commission on July 1, 2025, which information is incorporated by reference herein.</w:t>
        </w:r>
      </w:hyperlink>
    </w:p>
    <w:p>
      <w:pPr>
        <w:spacing w:after="0" w:line="149"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22"/>
          <w:szCs w:val="22"/>
          <w:b w:val="1"/>
          <w:bCs w:val="1"/>
          <w:color w:val="auto"/>
        </w:rPr>
        <w:t>Item 2.</w:t>
      </w:r>
      <w:r>
        <w:rPr>
          <w:sz w:val="20"/>
          <w:szCs w:val="20"/>
          <w:color w:val="auto"/>
        </w:rPr>
        <w:tab/>
      </w:r>
      <w:r>
        <w:rPr>
          <w:rFonts w:ascii="Times New Roman" w:cs="Times New Roman" w:eastAsia="Times New Roman" w:hAnsi="Times New Roman"/>
          <w:sz w:val="22"/>
          <w:szCs w:val="22"/>
          <w:b w:val="1"/>
          <w:bCs w:val="1"/>
          <w:color w:val="auto"/>
        </w:rPr>
        <w:t>Exhibits.</w:t>
      </w:r>
    </w:p>
    <w:p>
      <w:pPr>
        <w:spacing w:after="0" w:line="170" w:lineRule="exact"/>
        <w:rPr>
          <w:sz w:val="20"/>
          <w:szCs w:val="20"/>
          <w:color w:val="auto"/>
        </w:rPr>
      </w:pPr>
    </w:p>
    <w:p>
      <w:pPr>
        <w:jc w:val="both"/>
        <w:ind w:firstLine="441"/>
        <w:spacing w:after="0" w:line="244" w:lineRule="auto"/>
        <w:rPr>
          <w:sz w:val="20"/>
          <w:szCs w:val="20"/>
          <w:color w:val="auto"/>
        </w:rPr>
      </w:pPr>
      <w:r>
        <w:rPr>
          <w:rFonts w:ascii="Times New Roman" w:cs="Times New Roman" w:eastAsia="Times New Roman" w:hAnsi="Times New Roman"/>
          <w:sz w:val="22"/>
          <w:szCs w:val="22"/>
          <w:color w:val="auto"/>
        </w:rPr>
        <w:t>Under the Instructions as to Exhibits in Form 8-A, no exhibits are required to be filed because no other securities of the Registrant are registered on the Nasdaq and the securities registered hereby are not being registered pursuant to Section 12(g)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99695</wp:posOffset>
            </wp:positionV>
            <wp:extent cx="7153275" cy="469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 w:name="page4"/>
    <w:bookmarkEnd w:id="3"/>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170" w:lineRule="exact"/>
        <w:rPr>
          <w:sz w:val="20"/>
          <w:szCs w:val="20"/>
          <w:color w:val="auto"/>
        </w:rPr>
      </w:pPr>
    </w:p>
    <w:p>
      <w:pPr>
        <w:ind w:right="60" w:firstLine="441"/>
        <w:spacing w:after="0" w:line="258" w:lineRule="auto"/>
        <w:rPr>
          <w:sz w:val="20"/>
          <w:szCs w:val="20"/>
          <w:color w:val="auto"/>
        </w:rPr>
      </w:pPr>
      <w:r>
        <w:rPr>
          <w:rFonts w:ascii="Times New Roman" w:cs="Times New Roman" w:eastAsia="Times New Roman" w:hAnsi="Times New Roman"/>
          <w:sz w:val="22"/>
          <w:szCs w:val="22"/>
          <w:color w:val="auto"/>
        </w:rPr>
        <w:t>Pursuant to the requirements of Section 12 of the Securities Exchange Act of 1934, as amended, the Registrant has duly caused this registration statement to be signed on its behalf by the undersigned, thereto duly authorized.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00" w:type="dxa"/>
            <w:vAlign w:val="bottom"/>
          </w:tcPr>
          <w:p>
            <w:pPr>
              <w:spacing w:after="0"/>
              <w:rPr>
                <w:sz w:val="20"/>
                <w:szCs w:val="20"/>
                <w:color w:val="auto"/>
              </w:rPr>
            </w:pPr>
          </w:p>
        </w:tc>
        <w:tc>
          <w:tcPr>
            <w:tcW w:w="7640" w:type="dxa"/>
            <w:vAlign w:val="bottom"/>
            <w:gridSpan w:val="2"/>
          </w:tcPr>
          <w:p>
            <w:pPr>
              <w:ind w:left="2020"/>
              <w:spacing w:after="0"/>
              <w:rPr>
                <w:sz w:val="20"/>
                <w:szCs w:val="20"/>
                <w:color w:val="auto"/>
              </w:rPr>
            </w:pPr>
            <w:r>
              <w:rPr>
                <w:rFonts w:ascii="Times New Roman" w:cs="Times New Roman" w:eastAsia="Times New Roman" w:hAnsi="Times New Roman"/>
                <w:sz w:val="18"/>
                <w:szCs w:val="18"/>
                <w:b w:val="1"/>
                <w:bCs w:val="1"/>
                <w:color w:val="auto"/>
              </w:rPr>
              <w:t>CYBIN INC.</w:t>
            </w:r>
          </w:p>
        </w:tc>
        <w:tc>
          <w:tcPr>
            <w:tcW w:w="40" w:type="dxa"/>
            <w:vAlign w:val="bottom"/>
          </w:tcPr>
          <w:p>
            <w:pPr>
              <w:spacing w:after="0"/>
              <w:rPr>
                <w:sz w:val="20"/>
                <w:szCs w:val="20"/>
                <w:color w:val="auto"/>
              </w:rPr>
            </w:pPr>
          </w:p>
        </w:tc>
      </w:tr>
      <w:tr>
        <w:trPr>
          <w:trHeight w:val="432"/>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2, 2026</w:t>
            </w:r>
          </w:p>
        </w:tc>
        <w:tc>
          <w:tcPr>
            <w:tcW w:w="764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By: /s/ Greg Cavers</w:t>
            </w:r>
          </w:p>
        </w:tc>
        <w:tc>
          <w:tcPr>
            <w:tcW w:w="40" w:type="dxa"/>
            <w:vAlign w:val="bottom"/>
          </w:tcPr>
          <w:p>
            <w:pPr>
              <w:spacing w:after="0"/>
              <w:rPr>
                <w:sz w:val="24"/>
                <w:szCs w:val="24"/>
                <w:color w:val="auto"/>
              </w:rPr>
            </w:pPr>
          </w:p>
        </w:tc>
      </w:tr>
      <w:tr>
        <w:trPr>
          <w:trHeight w:val="191"/>
        </w:trPr>
        <w:tc>
          <w:tcPr>
            <w:tcW w:w="360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Greg Cavers</w:t>
            </w:r>
          </w:p>
        </w:tc>
        <w:tc>
          <w:tcPr>
            <w:tcW w:w="40" w:type="dxa"/>
            <w:vAlign w:val="bottom"/>
          </w:tcPr>
          <w:p>
            <w:pPr>
              <w:spacing w:after="0"/>
              <w:rPr>
                <w:sz w:val="16"/>
                <w:szCs w:val="16"/>
                <w:color w:val="auto"/>
              </w:rPr>
            </w:pPr>
          </w:p>
        </w:tc>
      </w:tr>
      <w:tr>
        <w:trPr>
          <w:trHeight w:val="234"/>
        </w:trPr>
        <w:tc>
          <w:tcPr>
            <w:tcW w:w="36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Title: Chief Financial Officer</w:t>
            </w:r>
          </w:p>
        </w:tc>
        <w:tc>
          <w:tcPr>
            <w:tcW w:w="40" w:type="dxa"/>
            <w:vAlign w:val="bottom"/>
          </w:tcPr>
          <w:p>
            <w:pPr>
              <w:spacing w:after="0"/>
              <w:rPr>
                <w:sz w:val="20"/>
                <w:szCs w:val="20"/>
                <w:color w:val="auto"/>
              </w:rPr>
            </w:pPr>
          </w:p>
        </w:tc>
      </w:tr>
      <w:tr>
        <w:trPr>
          <w:trHeight w:val="348"/>
        </w:trPr>
        <w:tc>
          <w:tcPr>
            <w:tcW w:w="36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74"/>
        </w:trPr>
        <w:tc>
          <w:tcPr>
            <w:tcW w:w="3600" w:type="dxa"/>
            <w:vAlign w:val="bottom"/>
            <w:shd w:val="clear" w:color="auto" w:fill="000000"/>
          </w:tcPr>
          <w:p>
            <w:pPr>
              <w:spacing w:after="0"/>
              <w:rPr>
                <w:sz w:val="6"/>
                <w:szCs w:val="6"/>
                <w:color w:val="auto"/>
              </w:rPr>
            </w:pPr>
          </w:p>
        </w:tc>
        <w:tc>
          <w:tcPr>
            <w:tcW w:w="2360" w:type="dxa"/>
            <w:vAlign w:val="bottom"/>
            <w:shd w:val="clear" w:color="auto" w:fill="000000"/>
          </w:tcPr>
          <w:p>
            <w:pPr>
              <w:spacing w:after="0"/>
              <w:rPr>
                <w:sz w:val="6"/>
                <w:szCs w:val="6"/>
                <w:color w:val="auto"/>
              </w:rPr>
            </w:pPr>
          </w:p>
        </w:tc>
        <w:tc>
          <w:tcPr>
            <w:tcW w:w="5280" w:type="dxa"/>
            <w:vAlign w:val="bottom"/>
            <w:shd w:val="clear" w:color="auto" w:fill="000000"/>
          </w:tcPr>
          <w:p>
            <w:pPr>
              <w:spacing w:after="0"/>
              <w:rPr>
                <w:sz w:val="6"/>
                <w:szCs w:val="6"/>
                <w:color w:val="auto"/>
              </w:rPr>
            </w:pPr>
          </w:p>
        </w:tc>
        <w:tc>
          <w:tcPr>
            <w:tcW w:w="40" w:type="dxa"/>
            <w:vAlign w:val="bottom"/>
            <w:shd w:val="clear" w:color="auto" w:fill="000000"/>
          </w:tcPr>
          <w:p>
            <w:pPr>
              <w:spacing w:after="0"/>
              <w:rPr>
                <w:sz w:val="6"/>
                <w:szCs w:val="6"/>
                <w:color w:val="auto"/>
              </w:rPr>
            </w:pPr>
          </w:p>
        </w:tc>
      </w:tr>
    </w:tbl>
    <w:p>
      <w:pPr>
        <w:spacing w:after="0" w:line="1" w:lineRule="exact"/>
        <w:rPr>
          <w:sz w:val="20"/>
          <w:szCs w:val="20"/>
          <w:color w:val="auto"/>
        </w:rPr>
      </w:pPr>
    </w:p>
    <w:sectPr>
      <w:pgSz w:w="11900" w:h="16838" w:orient="portrait"/>
      <w:cols w:equalWidth="0" w:num="1">
        <w:col w:w="11280"/>
      </w:cols>
      <w:pgMar w:left="320" w:top="108"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7" Type="http://schemas.openxmlformats.org/officeDocument/2006/relationships/image" Target="media/image9.png"/><Relationship Id="rId16" Type="http://schemas.openxmlformats.org/officeDocument/2006/relationships/hyperlink" Target="http://www.sec.gov/Archives/edgar/data/1833141/000162828025033606/cybin-annualinformationfo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2026-01-02T06:22:45Z</dcterms:created>
  <dcterms:modified xsi:type="dcterms:W3CDTF">2026-01-02T06:22:45Z</dcterms:modified>
</cp:coreProperties>
</file>