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333-289139</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February 10, 2026</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1006475</wp:posOffset>
            </wp:positionV>
            <wp:extent cx="1765935"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659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340" w:right="80"/>
        <w:spacing w:after="0" w:line="332" w:lineRule="auto"/>
        <w:rPr>
          <w:sz w:val="20"/>
          <w:szCs w:val="20"/>
          <w:color w:val="auto"/>
        </w:rPr>
      </w:pPr>
      <w:r>
        <w:rPr>
          <w:rFonts w:ascii="Arial" w:cs="Arial" w:eastAsia="Arial" w:hAnsi="Arial"/>
          <w:sz w:val="25"/>
          <w:szCs w:val="25"/>
          <w:b w:val="1"/>
          <w:bCs w:val="1"/>
          <w:color w:val="auto"/>
        </w:rPr>
        <w:t>Helus Pharma Appoints Michael Cola as Chief Executive Officer to Lead Next Phase of Scale and Execution</w:t>
      </w:r>
    </w:p>
    <w:p>
      <w:pPr>
        <w:spacing w:after="0" w:line="112" w:lineRule="exact"/>
        <w:rPr>
          <w:sz w:val="20"/>
          <w:szCs w:val="20"/>
          <w:color w:val="auto"/>
        </w:rPr>
      </w:pPr>
    </w:p>
    <w:p>
      <w:pPr>
        <w:ind w:left="660" w:right="140" w:hanging="328"/>
        <w:spacing w:after="0" w:line="298"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Former President of Shire PLC’s (“Shire”) Specialty Pharmaceutical business, with more than 30 years of experience across neuroscience, rare disease, and specialty pharmaceuticals, including senior leadership roles at Astra-Merck and AstraZeneca PLC</w:t>
      </w:r>
    </w:p>
    <w:p>
      <w:pPr>
        <w:spacing w:after="0" w:line="61" w:lineRule="exact"/>
        <w:rPr>
          <w:rFonts w:ascii="Arial" w:cs="Arial" w:eastAsia="Arial" w:hAnsi="Arial"/>
          <w:sz w:val="20"/>
          <w:szCs w:val="20"/>
          <w:color w:val="auto"/>
        </w:rPr>
      </w:pPr>
    </w:p>
    <w:p>
      <w:pPr>
        <w:ind w:left="660" w:right="120" w:hanging="328"/>
        <w:spacing w:after="0" w:line="314"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Proven leader in late-stage clinical development, global commercialization, and capital formation across central nervous system (“CNS”) programs</w:t>
      </w:r>
    </w:p>
    <w:p>
      <w:pPr>
        <w:spacing w:after="0" w:line="32" w:lineRule="exact"/>
        <w:rPr>
          <w:rFonts w:ascii="Arial" w:cs="Arial" w:eastAsia="Arial" w:hAnsi="Arial"/>
          <w:sz w:val="20"/>
          <w:szCs w:val="20"/>
          <w:color w:val="auto"/>
        </w:rPr>
      </w:pPr>
    </w:p>
    <w:p>
      <w:pPr>
        <w:ind w:left="660" w:right="320" w:hanging="328"/>
        <w:spacing w:after="0" w:line="314"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Appointed as Helus Pharma advances its pipeline toward key clinical milestones, including expected Phase 2 data for HLP004 this quarter and Phase 3 topline data for HLP003 later this year</w:t>
      </w:r>
    </w:p>
    <w:p>
      <w:pPr>
        <w:spacing w:after="0" w:line="181" w:lineRule="exact"/>
        <w:rPr>
          <w:sz w:val="20"/>
          <w:szCs w:val="20"/>
          <w:color w:val="auto"/>
        </w:rPr>
      </w:pPr>
    </w:p>
    <w:p>
      <w:pPr>
        <w:jc w:val="both"/>
        <w:ind w:right="420"/>
        <w:spacing w:after="0" w:line="343" w:lineRule="auto"/>
        <w:rPr>
          <w:sz w:val="20"/>
          <w:szCs w:val="20"/>
          <w:color w:val="auto"/>
        </w:rPr>
      </w:pPr>
      <w:r>
        <w:rPr>
          <w:rFonts w:ascii="Arial" w:cs="Arial" w:eastAsia="Arial" w:hAnsi="Arial"/>
          <w:sz w:val="19"/>
          <w:szCs w:val="19"/>
          <w:i w:val="1"/>
          <w:iCs w:val="1"/>
          <w:color w:val="auto"/>
        </w:rPr>
        <w:t>This news release constitutes a “designated news release” for the purpose of the Company’s prospectus supplement dated December 30, 2025, to it short form base shelf prospectus dated September 17, 2025, as amended on December 19, 2025.</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color w:val="auto"/>
        </w:rPr>
        <w:t xml:space="preserve">BOSTON &amp; TORONTO </w:t>
      </w:r>
      <w:r>
        <w:rPr>
          <w:rFonts w:ascii="Arial" w:cs="Arial" w:eastAsia="Arial" w:hAnsi="Arial"/>
          <w:sz w:val="20"/>
          <w:szCs w:val="20"/>
          <w:color w:val="auto"/>
        </w:rPr>
        <w:t>– February 10, 2026 - Helus Pharma</w:t>
      </w:r>
      <w:r>
        <w:rPr>
          <w:rFonts w:ascii="Arial" w:cs="Arial" w:eastAsia="Arial" w:hAnsi="Arial"/>
          <w:sz w:val="25"/>
          <w:szCs w:val="25"/>
          <w:color w:val="auto"/>
          <w:vertAlign w:val="superscript"/>
        </w:rPr>
        <w:t>TM</w:t>
      </w:r>
      <w:r>
        <w:rPr>
          <w:rFonts w:ascii="Arial" w:cs="Arial" w:eastAsia="Arial" w:hAnsi="Arial"/>
          <w:sz w:val="20"/>
          <w:szCs w:val="20"/>
          <w:b w:val="1"/>
          <w:bCs w:val="1"/>
          <w:color w:val="auto"/>
        </w:rPr>
        <w:t xml:space="preserve"> </w:t>
      </w:r>
      <w:r>
        <w:rPr>
          <w:rFonts w:ascii="Arial" w:cs="Arial" w:eastAsia="Arial" w:hAnsi="Arial"/>
          <w:sz w:val="20"/>
          <w:szCs w:val="20"/>
          <w:color w:val="auto"/>
        </w:rPr>
        <w:t>(“Helus”) (Nasdaq: HELP) (Cboe CA: HELP), a clinical stage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company committed to helping minds heal by developing novel serotonergic agonists (“NSAs”), today announced the appointment of Michael Cola as Chief Executive Officer, effective immediately.</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Mr. Cola’s appointment comes at a pivotal moment as Helus advances its pipeline of next-generation mental health therapies toward key clinical and corporate value-inflection milestones, including the expected release of Phase 2 data for HLP004 this quarter and Phase 3 topline data for HLP003 in Q4 2026. In parallel, Helus continues to build a broad and defensible intellectual property estate spanning its multi-asset pipeline, with more than 350 patent applications filed globally and over 100 patents granted. The Company is advancing differentiated programs designed to address serious mental health disorders. With the transition from early clinical development to later-stage execution underway, the Company is increasingly focused on global regulatory engagement and long-term commercial planning. This evolution underscores the importance of experienced leadership across drug development, capital formation, and global scale-up.</w:t>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“Michael brings a rare combination of deep neuroscience expertise, global commercialization experience, and proven capital markets leadership,” said co-founder and Executive Chairman Eric So. “As Helus advances its differentiated mental health pipeline, his track record of building first-in-class CNS franchises and scaling global organizations makes him uniquely suited to lead Helus as we work to translate our science into meaningful therapies for patients and long-term value for shareholders.”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With more than 30 years of experience across neuroscience, rare disease, and specialty pharmaceuticals, Mr. Cola brings deep expertise in guiding innovative CNS assets through development and into global markets, building high-performance organizations, and creating long-term shareholder value. His career spans senior leadership roles across R&amp;D, commercialization, corporate strategy, and capital formation, positioning him to lead Helus through its next phase of growth.</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“I am honored to join Helus at this pivotal and energizing moment,” said Mr. Cola. “With highly differentiated HLP003 clinical data already in hand and a robust pipeline of novel compounds in development, Helus is uniquely positioned to advance a new paradigm in the treatment of serious mental health disorders. I’m excited to work alongside the Board and the Helus team to build on this foundation and translate scientific progress into lasting patient and shareholder impact.”</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As President of Shire’s Specialty Pharmaceutical business, Mr. Cola helped transform the company into a global CNS leader, launching and scaling breakthrough therapies, including building Vyvanse into a multi-billion-dollar franchise, and contributing to Shire’s growth from a $5 billion to a $20 billion market-capitalization, helping position the company for its subsequent $62 billion acquisition by Takeda, one of the largest pharmaceutical acquisitions in the industry. Earlier in his career, Mr. Cola was one of the founding hires at Merck selected to help create Astra-Merck, one of the most successful pharmaceutical spinouts, formed to commercialize Prilosec, a franchise that at one point generated more than $6 billion in annual revenue. He later held senior leadership roles at AstraZeneca PLC supporting the lifecycle expansion of Prilosec and the transition to Nexium.</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More recently, Mr. Cola served as President and CEO of Avalo Therapeutics, Inc., where he led the transition to a rare disease and genomic medicine focus, licensed first-in-class clinical-stage assets, and raised significant funding. He has also served in senior board leadership roles, including as Chairman of Phathom Pharmaceuticals, Inc. and as a former board member of Sage Therapeutics, Inc., supporting organizations through clinical inflection points and commercial launches.</w:t>
      </w:r>
    </w:p>
    <w:p>
      <w:pPr>
        <w:spacing w:after="0" w:line="196"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Mr. Cola holds a B.A. in Biology from Ursinus College, an M.S. in Biomedical Science and Engineering from Drexel University and studied Bioengineering at the University of Pennsylvania, where he also worked as a biomedical engineer at its affiliated hospital.</w:t>
      </w:r>
    </w:p>
    <w:p>
      <w:pPr>
        <w:sectPr>
          <w:pgSz w:w="11900" w:h="16838" w:orient="portrait"/>
          <w:cols w:equalWidth="0" w:num="1">
            <w:col w:w="11240"/>
          </w:cols>
          <w:pgMar w:left="320" w:top="1440" w:right="339" w:bottom="1440" w:gutter="0" w:footer="0" w:header="0"/>
        </w:sectPr>
      </w:pPr>
    </w:p>
    <w:bookmarkStart w:id="5" w:name="page6"/>
    <w:bookmarkEnd w:id="5"/>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Helus Pharma</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Helus Pharma™, the commercial operating name of Cybin Inc., founded in 2019 (the “Company”),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operates in Canada, the United States, the United Kingdom and Ireland. For Company updates and to learn more about Helus Pharma, visit </w:t>
      </w:r>
      <w:r>
        <w:rPr>
          <w:rFonts w:ascii="Arial" w:cs="Arial" w:eastAsia="Arial" w:hAnsi="Arial"/>
          <w:sz w:val="20"/>
          <w:szCs w:val="20"/>
          <w:color w:val="467886"/>
        </w:rPr>
        <w:t>www.helus.com</w:t>
      </w:r>
      <w:r>
        <w:rPr>
          <w:rFonts w:ascii="Arial" w:cs="Arial" w:eastAsia="Arial" w:hAnsi="Arial"/>
          <w:sz w:val="20"/>
          <w:szCs w:val="20"/>
          <w:color w:val="auto"/>
        </w:rPr>
        <w:t xml:space="preserve"> or follow the team on X, LinkedIn, YouTube and Instagram. Helus Pharma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is a trademark of Cybin Corp.</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expectation to meaningfully advance the treatment of serious mental health disorders; the ability of the Company’s NSAs to address the large unmet need for people who suffer from depression, anxiety, and other mental health conditions; the release Phase 2 data for HLP004 in the first quarter of 2026 and Phase 3 topline data for HLP003 in the fourth quarter of 2026; and the Company’s plans to engineer proprietary drug discovery platforms, innovative drug delivery systems, novel formulation approaches and treatment regimens for mental health conditions.</w:t>
      </w:r>
    </w:p>
    <w:p>
      <w:pPr>
        <w:sectPr>
          <w:pgSz w:w="11900" w:h="16838" w:orient="portrait"/>
          <w:cols w:equalWidth="0" w:num="1">
            <w:col w:w="11240"/>
          </w:cols>
          <w:pgMar w:left="320" w:top="1440" w:right="339" w:bottom="1440" w:gutter="0" w:footer="0" w:header="0"/>
        </w:sectPr>
      </w:pPr>
    </w:p>
    <w:bookmarkStart w:id="6" w:name="page7"/>
    <w:bookmarkEnd w:id="6"/>
    <w:p>
      <w:pPr>
        <w:spacing w:after="0" w:line="13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six month periods ended September 30,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Nasdaq Global Market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5" w:lineRule="exact"/>
        <w:rPr>
          <w:sz w:val="20"/>
          <w:szCs w:val="20"/>
          <w:color w:val="auto"/>
        </w:rPr>
      </w:pPr>
    </w:p>
    <w:p>
      <w:pPr>
        <w:ind w:right="8660" w:firstLine="8"/>
        <w:spacing w:after="0" w:line="328"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color w:val="467886"/>
        </w:rPr>
        <w:t>josh.barer@astrpartners.com</w:t>
      </w:r>
    </w:p>
    <w:p>
      <w:pPr>
        <w:sectPr>
          <w:pgSz w:w="11900" w:h="16838" w:orient="portrait"/>
          <w:cols w:equalWidth="0" w:num="1">
            <w:col w:w="11240"/>
          </w:cols>
          <w:pgMar w:left="320" w:top="1440" w:right="339" w:bottom="1440" w:gutter="0" w:footer="0" w:header="0"/>
        </w:sectPr>
      </w:pPr>
    </w:p>
    <w:bookmarkStart w:id="7" w:name="page8"/>
    <w:bookmarkEnd w:id="7"/>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Helus Pharma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467886"/>
        </w:rPr>
        <w:t xml:space="preserve">irteam@helus.com </w:t>
      </w:r>
      <w:r>
        <w:rPr>
          <w:rFonts w:ascii="Arial" w:cs="Arial" w:eastAsia="Arial" w:hAnsi="Arial"/>
          <w:sz w:val="19"/>
          <w:szCs w:val="19"/>
          <w:color w:val="000000"/>
        </w:rPr>
        <w:t>– or –</w:t>
      </w:r>
      <w:r>
        <w:rPr>
          <w:rFonts w:ascii="Arial" w:cs="Arial" w:eastAsia="Arial" w:hAnsi="Arial"/>
          <w:sz w:val="19"/>
          <w:szCs w:val="19"/>
          <w:color w:val="467886"/>
        </w:rPr>
        <w:t xml:space="preserve"> media@helus.com</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467886"/>
        </w:rPr>
        <w:t>jtokarczyk@rxmedyn.com</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(914) 772-7562</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0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8" Type="http://schemas.openxmlformats.org/officeDocument/2006/relationships/hyperlink" Target="https://www.sec.gov/Archives/edgar/data/1833141/000106299325013362/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2026-02-10T17:22:27Z</dcterms:created>
  <dcterms:modified xsi:type="dcterms:W3CDTF">2026-02-10T17:22:27Z</dcterms:modified>
</cp:coreProperties>
</file>