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16,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15,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911860</wp:posOffset>
            </wp:positionV>
            <wp:extent cx="2786380" cy="2005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8638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Cybin Announces Results of Shareholders’ Meeting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TORONTO, CANADA </w:t>
      </w:r>
      <w:r>
        <w:rPr>
          <w:rFonts w:ascii="Times New Roman" w:cs="Times New Roman" w:eastAsia="Times New Roman" w:hAnsi="Times New Roman"/>
          <w:sz w:val="20"/>
          <w:szCs w:val="20"/>
          <w:color w:val="auto"/>
        </w:rPr>
        <w:t>– August 15, 2022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0563C1"/>
        </w:rPr>
        <w:t>Cybin Inc.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0563C1"/>
        </w:rPr>
        <w:t>NEO:CYBN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0563C1"/>
        </w:rPr>
        <w:t>NYSE AMERICAN:CYBN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Cybin</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w:t>
      </w:r>
    </w:p>
    <w:p>
      <w:pPr>
        <w:spacing w:after="0" w:line="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biopharmaceutical company focused on progressing “Psychedelics to Therapeutics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is pleased to announce the voting results for each of the matters presented at the Company’s annual meeting of shareholders held on August 15, 2022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There were 71 shareholders represented in person or by proxy at the Meeting holding 47,019,721 common shares, representing 28.3% of Cybin’s total issued and outstanding common shares as at the record date for the Meeting. The voting results for each matter presented at the Meeting is set out below:</w:t>
      </w:r>
    </w:p>
    <w:p>
      <w:pPr>
        <w:spacing w:after="0" w:line="199"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color w:val="auto"/>
        </w:rPr>
        <w:t>Appointment of Auditor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Zeifmans LLP was appointed auditor of Cybin until the next annual meeting of shareholders at remuneration to be fixed by the directors of</w:t>
      </w:r>
    </w:p>
    <w:p>
      <w:pPr>
        <w:spacing w:after="0"/>
        <w:rPr>
          <w:sz w:val="20"/>
          <w:szCs w:val="20"/>
          <w:color w:val="auto"/>
        </w:rPr>
      </w:pPr>
      <w:r>
        <w:rPr>
          <w:rFonts w:ascii="Times New Roman" w:cs="Times New Roman" w:eastAsia="Times New Roman" w:hAnsi="Times New Roman"/>
          <w:sz w:val="20"/>
          <w:szCs w:val="20"/>
          <w:color w:val="auto"/>
        </w:rPr>
        <w:t>Cybin. Voting results are set out below:</w:t>
      </w:r>
    </w:p>
    <w:p>
      <w:pPr>
        <w:spacing w:after="0" w:line="102" w:lineRule="exact"/>
        <w:rPr>
          <w:sz w:val="20"/>
          <w:szCs w:val="20"/>
          <w:color w:val="auto"/>
        </w:rPr>
      </w:pPr>
    </w:p>
    <w:tbl>
      <w:tblPr>
        <w:tblLayout w:type="fixed"/>
        <w:tblInd w:w="1090" w:type="dxa"/>
        <w:tblCellMar>
          <w:top w:w="0" w:type="dxa"/>
          <w:left w:w="0" w:type="dxa"/>
          <w:bottom w:w="0" w:type="dxa"/>
          <w:right w:w="0" w:type="dxa"/>
        </w:tblCellMar>
      </w:tblPr>
      <w:tr>
        <w:trPr>
          <w:trHeight w:val="270"/>
        </w:trPr>
        <w:tc>
          <w:tcPr>
            <w:tcW w:w="136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280" w:type="dxa"/>
            <w:vAlign w:val="bottom"/>
            <w:tcBorders>
              <w:top w:val="single" w:sz="8" w:color="auto"/>
              <w:bottom w:val="single" w:sz="8" w:color="auto"/>
              <w:right w:val="single" w:sz="8" w:color="auto"/>
            </w:tcBorders>
            <w:gridSpan w:val="2"/>
            <w:shd w:val="clear" w:color="auto" w:fill="F2F2F2"/>
          </w:tcPr>
          <w:p>
            <w:pPr>
              <w:ind w:left="6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2700" w:type="dxa"/>
            <w:vAlign w:val="bottom"/>
            <w:tcBorders>
              <w:top w:val="single" w:sz="8" w:color="auto"/>
              <w:bottom w:val="single" w:sz="8" w:color="auto"/>
            </w:tcBorders>
            <w:gridSpan w:val="2"/>
            <w:shd w:val="clear" w:color="auto" w:fill="F2F2F2"/>
          </w:tcPr>
          <w:p>
            <w:pPr>
              <w:ind w:left="1320"/>
              <w:spacing w:after="0"/>
              <w:rPr>
                <w:sz w:val="20"/>
                <w:szCs w:val="20"/>
                <w:color w:val="auto"/>
              </w:rPr>
            </w:pPr>
            <w:r>
              <w:rPr>
                <w:rFonts w:ascii="Times New Roman" w:cs="Times New Roman" w:eastAsia="Times New Roman" w:hAnsi="Times New Roman"/>
                <w:sz w:val="20"/>
                <w:szCs w:val="20"/>
                <w:b w:val="1"/>
                <w:bCs w:val="1"/>
                <w:color w:val="auto"/>
              </w:rPr>
              <w:t>Votes Withheld</w:t>
            </w:r>
          </w:p>
        </w:tc>
        <w:tc>
          <w:tcPr>
            <w:tcW w:w="124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360" w:type="dxa"/>
            <w:vAlign w:val="bottom"/>
            <w:tcBorders>
              <w:left w:val="single" w:sz="8" w:color="auto"/>
              <w:bottom w:val="single" w:sz="8" w:color="auto"/>
            </w:tcBorders>
            <w:shd w:val="clear" w:color="auto" w:fill="F2F2F2"/>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1920" w:type="dxa"/>
            <w:vAlign w:val="bottom"/>
            <w:tcBorders>
              <w:bottom w:val="single" w:sz="8" w:color="auto"/>
              <w:right w:val="single" w:sz="8" w:color="auto"/>
            </w:tcBorders>
            <w:shd w:val="clear" w:color="auto" w:fill="F2F2F2"/>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881"/>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Borders>
              <w:bottom w:val="single" w:sz="8" w:color="auto"/>
            </w:tcBorders>
            <w:shd w:val="clear" w:color="auto" w:fill="F2F2F2"/>
          </w:tcPr>
          <w:p>
            <w:pPr>
              <w:spacing w:after="0"/>
              <w:rPr>
                <w:sz w:val="21"/>
                <w:szCs w:val="21"/>
                <w:color w:val="auto"/>
              </w:rPr>
            </w:pPr>
          </w:p>
        </w:tc>
        <w:tc>
          <w:tcPr>
            <w:tcW w:w="1240" w:type="dxa"/>
            <w:vAlign w:val="bottom"/>
            <w:tcBorders>
              <w:bottom w:val="single" w:sz="8" w:color="auto"/>
              <w:right w:val="single" w:sz="8" w:color="auto"/>
            </w:tcBorders>
            <w:shd w:val="clear" w:color="auto" w:fill="F2F2F2"/>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0"/>
        </w:trPr>
        <w:tc>
          <w:tcPr>
            <w:tcW w:w="136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43,128,097</w:t>
            </w:r>
          </w:p>
        </w:tc>
        <w:tc>
          <w:tcPr>
            <w:tcW w:w="36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rPr>
              <w:t>92.51</w:t>
            </w:r>
          </w:p>
        </w:tc>
        <w:tc>
          <w:tcPr>
            <w:tcW w:w="2040" w:type="dxa"/>
            <w:vAlign w:val="bottom"/>
            <w:tcBorders>
              <w:bottom w:val="single" w:sz="8" w:color="auto"/>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3,493,074</w:t>
            </w:r>
          </w:p>
        </w:tc>
        <w:tc>
          <w:tcPr>
            <w:tcW w:w="6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color w:val="auto"/>
              </w:rPr>
              <w:t>7.49</w:t>
            </w:r>
          </w:p>
        </w:tc>
      </w:tr>
    </w:tbl>
    <w:p>
      <w:pPr>
        <w:spacing w:after="0" w:line="200" w:lineRule="exact"/>
        <w:rPr>
          <w:sz w:val="20"/>
          <w:szCs w:val="20"/>
          <w:color w:val="auto"/>
        </w:rPr>
      </w:pPr>
    </w:p>
    <w:p>
      <w:pPr>
        <w:spacing w:after="0" w:line="205"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color w:val="auto"/>
        </w:rPr>
        <w:t>Election of Directors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of the nominees for election as director listed in Cybin’s management information circular dated July 13, 2022 were elected as directors of Cybin for the ensuing year or until their successors are elected or appointed. Voting results are set out below:</w:t>
      </w:r>
    </w:p>
    <w:p>
      <w:pPr>
        <w:sectPr>
          <w:pgSz w:w="11900" w:h="16838" w:orient="portrait"/>
          <w:cols w:equalWidth="0" w:num="1">
            <w:col w:w="11240"/>
          </w:cols>
          <w:pgMar w:left="320" w:top="1440" w:right="339" w:bottom="1440" w:gutter="0" w:footer="0" w:header="0"/>
        </w:sectPr>
      </w:pPr>
    </w:p>
    <w:bookmarkStart w:id="4" w:name="page5"/>
    <w:bookmarkEnd w:id="4"/>
    <w:p>
      <w:pPr>
        <w:spacing w:after="0" w:line="3" w:lineRule="exact"/>
        <w:rPr>
          <w:sz w:val="20"/>
          <w:szCs w:val="20"/>
          <w:color w:val="auto"/>
        </w:rPr>
      </w:pPr>
    </w:p>
    <w:tbl>
      <w:tblPr>
        <w:tblLayout w:type="fixed"/>
        <w:tblInd w:w="390" w:type="dxa"/>
        <w:tblCellMar>
          <w:top w:w="0" w:type="dxa"/>
          <w:left w:w="0" w:type="dxa"/>
          <w:bottom w:w="0" w:type="dxa"/>
          <w:right w:w="0" w:type="dxa"/>
        </w:tblCellMar>
      </w:tblPr>
      <w:tr>
        <w:trPr>
          <w:trHeight w:val="270"/>
        </w:trPr>
        <w:tc>
          <w:tcPr>
            <w:tcW w:w="2100" w:type="dxa"/>
            <w:vAlign w:val="bottom"/>
            <w:tcBorders>
              <w:top w:val="single" w:sz="8" w:color="auto"/>
              <w:left w:val="single" w:sz="8" w:color="auto"/>
              <w:bottom w:val="single" w:sz="8" w:color="auto"/>
              <w:right w:val="single" w:sz="8" w:color="auto"/>
            </w:tcBorders>
            <w:shd w:val="clear" w:color="auto" w:fill="F2F2F2"/>
          </w:tcPr>
          <w:p>
            <w:pPr>
              <w:spacing w:after="0"/>
              <w:rPr>
                <w:sz w:val="23"/>
                <w:szCs w:val="23"/>
                <w:color w:val="auto"/>
              </w:rPr>
            </w:pPr>
          </w:p>
        </w:tc>
        <w:tc>
          <w:tcPr>
            <w:tcW w:w="1360" w:type="dxa"/>
            <w:vAlign w:val="bottom"/>
            <w:tcBorders>
              <w:top w:val="single" w:sz="8" w:color="auto"/>
              <w:bottom w:val="single" w:sz="8" w:color="auto"/>
            </w:tcBorders>
            <w:shd w:val="clear" w:color="auto" w:fill="F2F2F2"/>
          </w:tcPr>
          <w:p>
            <w:pPr>
              <w:spacing w:after="0"/>
              <w:rPr>
                <w:sz w:val="23"/>
                <w:szCs w:val="23"/>
                <w:color w:val="auto"/>
              </w:rPr>
            </w:pPr>
          </w:p>
        </w:tc>
        <w:tc>
          <w:tcPr>
            <w:tcW w:w="2360" w:type="dxa"/>
            <w:vAlign w:val="bottom"/>
            <w:tcBorders>
              <w:top w:val="single" w:sz="8" w:color="auto"/>
              <w:bottom w:val="single" w:sz="8" w:color="auto"/>
              <w:right w:val="single" w:sz="8" w:color="auto"/>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2800" w:type="dxa"/>
            <w:vAlign w:val="bottom"/>
            <w:tcBorders>
              <w:top w:val="single" w:sz="8" w:color="auto"/>
              <w:bottom w:val="single" w:sz="8" w:color="auto"/>
            </w:tcBorders>
            <w:gridSpan w:val="2"/>
            <w:shd w:val="clear" w:color="auto" w:fill="F2F2F2"/>
          </w:tcPr>
          <w:p>
            <w:pPr>
              <w:ind w:left="1400"/>
              <w:spacing w:after="0"/>
              <w:rPr>
                <w:sz w:val="20"/>
                <w:szCs w:val="20"/>
                <w:color w:val="auto"/>
              </w:rPr>
            </w:pPr>
            <w:r>
              <w:rPr>
                <w:rFonts w:ascii="Times New Roman" w:cs="Times New Roman" w:eastAsia="Times New Roman" w:hAnsi="Times New Roman"/>
                <w:sz w:val="20"/>
                <w:szCs w:val="20"/>
                <w:b w:val="1"/>
                <w:bCs w:val="1"/>
                <w:color w:val="auto"/>
              </w:rPr>
              <w:t>Votes Withheld</w:t>
            </w:r>
          </w:p>
        </w:tc>
        <w:tc>
          <w:tcPr>
            <w:tcW w:w="132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2100" w:type="dxa"/>
            <w:vAlign w:val="bottom"/>
            <w:tcBorders>
              <w:left w:val="single" w:sz="8" w:color="auto"/>
              <w:bottom w:val="single" w:sz="8" w:color="auto"/>
              <w:right w:val="single" w:sz="8" w:color="auto"/>
            </w:tcBorders>
            <w:shd w:val="clear" w:color="auto" w:fill="F2F2F2"/>
          </w:tcPr>
          <w:p>
            <w:pPr>
              <w:spacing w:after="0"/>
              <w:rPr>
                <w:sz w:val="21"/>
                <w:szCs w:val="21"/>
                <w:color w:val="auto"/>
              </w:rPr>
            </w:pPr>
          </w:p>
        </w:tc>
        <w:tc>
          <w:tcPr>
            <w:tcW w:w="1360" w:type="dxa"/>
            <w:vAlign w:val="bottom"/>
            <w:tcBorders>
              <w:bottom w:val="single" w:sz="8" w:color="auto"/>
            </w:tcBorders>
            <w:shd w:val="clear" w:color="auto" w:fill="F2F2F2"/>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20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60" w:type="dxa"/>
            <w:vAlign w:val="bottom"/>
            <w:tcBorders>
              <w:bottom w:val="single" w:sz="8" w:color="auto"/>
            </w:tcBorders>
            <w:shd w:val="clear" w:color="auto" w:fill="F2F2F2"/>
          </w:tcPr>
          <w:p>
            <w:pPr>
              <w:spacing w:after="0"/>
              <w:rPr>
                <w:sz w:val="21"/>
                <w:szCs w:val="21"/>
                <w:color w:val="auto"/>
              </w:rPr>
            </w:pPr>
          </w:p>
        </w:tc>
        <w:tc>
          <w:tcPr>
            <w:tcW w:w="1320" w:type="dxa"/>
            <w:vAlign w:val="bottom"/>
            <w:tcBorders>
              <w:bottom w:val="single" w:sz="8" w:color="auto"/>
              <w:right w:val="single" w:sz="8" w:color="auto"/>
            </w:tcBorders>
            <w:shd w:val="clear" w:color="auto" w:fill="F2F2F2"/>
          </w:tcPr>
          <w:p>
            <w:pPr>
              <w:jc w:val="center"/>
              <w:ind w:right="581"/>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250"/>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Theresa Firestone</w:t>
            </w:r>
          </w:p>
        </w:tc>
        <w:tc>
          <w:tcPr>
            <w:tcW w:w="13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color w:val="auto"/>
                <w:w w:val="99"/>
              </w:rPr>
              <w:t>20,199,337</w:t>
            </w:r>
          </w:p>
        </w:tc>
        <w:tc>
          <w:tcPr>
            <w:tcW w:w="3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98.50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308,536</w:t>
            </w: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ind w:right="601"/>
              <w:spacing w:after="0"/>
              <w:rPr>
                <w:sz w:val="20"/>
                <w:szCs w:val="20"/>
                <w:color w:val="auto"/>
              </w:rPr>
            </w:pPr>
            <w:r>
              <w:rPr>
                <w:rFonts w:ascii="Times New Roman" w:cs="Times New Roman" w:eastAsia="Times New Roman" w:hAnsi="Times New Roman"/>
                <w:sz w:val="20"/>
                <w:szCs w:val="20"/>
                <w:color w:val="auto"/>
                <w:w w:val="97"/>
              </w:rPr>
              <w:t>1.50</w:t>
            </w:r>
          </w:p>
        </w:tc>
      </w:tr>
      <w:tr>
        <w:trPr>
          <w:trHeight w:val="250"/>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Grant Froese</w:t>
            </w:r>
          </w:p>
        </w:tc>
        <w:tc>
          <w:tcPr>
            <w:tcW w:w="13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color w:val="auto"/>
                <w:w w:val="99"/>
              </w:rPr>
              <w:t>20,146,515</w:t>
            </w:r>
          </w:p>
        </w:tc>
        <w:tc>
          <w:tcPr>
            <w:tcW w:w="3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98.24</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361,358</w:t>
            </w: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ind w:right="601"/>
              <w:spacing w:after="0"/>
              <w:rPr>
                <w:sz w:val="20"/>
                <w:szCs w:val="20"/>
                <w:color w:val="auto"/>
              </w:rPr>
            </w:pPr>
            <w:r>
              <w:rPr>
                <w:rFonts w:ascii="Times New Roman" w:cs="Times New Roman" w:eastAsia="Times New Roman" w:hAnsi="Times New Roman"/>
                <w:sz w:val="20"/>
                <w:szCs w:val="20"/>
                <w:color w:val="auto"/>
                <w:w w:val="97"/>
              </w:rPr>
              <w:t>1.76</w:t>
            </w:r>
          </w:p>
        </w:tc>
      </w:tr>
      <w:tr>
        <w:trPr>
          <w:trHeight w:val="250"/>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Paul Glavine</w:t>
            </w:r>
          </w:p>
        </w:tc>
        <w:tc>
          <w:tcPr>
            <w:tcW w:w="13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color w:val="auto"/>
                <w:w w:val="99"/>
              </w:rPr>
              <w:t>20,213,109</w:t>
            </w:r>
          </w:p>
        </w:tc>
        <w:tc>
          <w:tcPr>
            <w:tcW w:w="3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98.56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294,764</w:t>
            </w: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ind w:right="601"/>
              <w:spacing w:after="0"/>
              <w:rPr>
                <w:sz w:val="20"/>
                <w:szCs w:val="20"/>
                <w:color w:val="auto"/>
              </w:rPr>
            </w:pPr>
            <w:r>
              <w:rPr>
                <w:rFonts w:ascii="Times New Roman" w:cs="Times New Roman" w:eastAsia="Times New Roman" w:hAnsi="Times New Roman"/>
                <w:sz w:val="20"/>
                <w:szCs w:val="20"/>
                <w:color w:val="auto"/>
                <w:w w:val="97"/>
              </w:rPr>
              <w:t>1.44</w:t>
            </w:r>
          </w:p>
        </w:tc>
      </w:tr>
      <w:tr>
        <w:trPr>
          <w:trHeight w:val="250"/>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Eric Hoskins</w:t>
            </w:r>
          </w:p>
        </w:tc>
        <w:tc>
          <w:tcPr>
            <w:tcW w:w="13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color w:val="auto"/>
                <w:w w:val="99"/>
              </w:rPr>
              <w:t>20,171,190</w:t>
            </w:r>
          </w:p>
        </w:tc>
        <w:tc>
          <w:tcPr>
            <w:tcW w:w="3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98.36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336,683</w:t>
            </w: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ind w:right="601"/>
              <w:spacing w:after="0"/>
              <w:rPr>
                <w:sz w:val="20"/>
                <w:szCs w:val="20"/>
                <w:color w:val="auto"/>
              </w:rPr>
            </w:pPr>
            <w:r>
              <w:rPr>
                <w:rFonts w:ascii="Times New Roman" w:cs="Times New Roman" w:eastAsia="Times New Roman" w:hAnsi="Times New Roman"/>
                <w:sz w:val="20"/>
                <w:szCs w:val="20"/>
                <w:color w:val="auto"/>
                <w:w w:val="97"/>
              </w:rPr>
              <w:t>1.64</w:t>
            </w:r>
          </w:p>
        </w:tc>
      </w:tr>
      <w:tr>
        <w:trPr>
          <w:trHeight w:val="250"/>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 Lawson</w:t>
            </w:r>
          </w:p>
        </w:tc>
        <w:tc>
          <w:tcPr>
            <w:tcW w:w="13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color w:val="auto"/>
                <w:w w:val="99"/>
              </w:rPr>
              <w:t>20,150,317</w:t>
            </w:r>
          </w:p>
        </w:tc>
        <w:tc>
          <w:tcPr>
            <w:tcW w:w="3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98.26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357,556</w:t>
            </w: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ind w:right="601"/>
              <w:spacing w:after="0"/>
              <w:rPr>
                <w:sz w:val="20"/>
                <w:szCs w:val="20"/>
                <w:color w:val="auto"/>
              </w:rPr>
            </w:pPr>
            <w:r>
              <w:rPr>
                <w:rFonts w:ascii="Times New Roman" w:cs="Times New Roman" w:eastAsia="Times New Roman" w:hAnsi="Times New Roman"/>
                <w:sz w:val="20"/>
                <w:szCs w:val="20"/>
                <w:color w:val="auto"/>
                <w:w w:val="97"/>
              </w:rPr>
              <w:t>1.74</w:t>
            </w:r>
          </w:p>
        </w:tc>
      </w:tr>
      <w:tr>
        <w:trPr>
          <w:trHeight w:val="250"/>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Eric So</w:t>
            </w:r>
          </w:p>
        </w:tc>
        <w:tc>
          <w:tcPr>
            <w:tcW w:w="13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20"/>
                <w:szCs w:val="20"/>
                <w:color w:val="auto"/>
                <w:w w:val="99"/>
              </w:rPr>
              <w:t>18,097,784</w:t>
            </w:r>
          </w:p>
        </w:tc>
        <w:tc>
          <w:tcPr>
            <w:tcW w:w="3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88.23</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2,415,089</w:t>
            </w: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w w:val="97"/>
              </w:rPr>
              <w:t>11.77</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Cybin</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by engineering proprietary drug discovery platforms, innovative drug delivery systems, novel formulation approaches and treatment regimens for mental health disorders.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Notes and Forward Looking Statements</w:t>
      </w:r>
    </w:p>
    <w:p>
      <w:pPr>
        <w:spacing w:after="0" w:line="23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Certain statements in this news release related to the Company may constitute forward-looking statements. Forward-looking statements are not based on historical facts, but rather on current expectations and projections about future events and are therefore subject to risks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uncertainties which could cause actual results to differ materially from the future results expressed or implied by the forward-looking statements. These statements generally can be identified by the use of forward-looking words such as “may”, “should”, “could”, “intend”,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 “plan”, “anticipate”, “expect”, “believe” or “continue”, or the negative thereof or similar variations.</w:t>
      </w:r>
    </w:p>
    <w:p>
      <w:pPr>
        <w:spacing w:after="0" w:line="19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w:t>
      </w:r>
    </w:p>
    <w:p>
      <w:pPr>
        <w:spacing w:after="0" w:line="212" w:lineRule="auto"/>
        <w:rPr>
          <w:sz w:val="20"/>
          <w:szCs w:val="20"/>
          <w:color w:val="auto"/>
        </w:rPr>
      </w:pPr>
      <w:r>
        <w:rPr>
          <w:rFonts w:ascii="Times New Roman" w:cs="Times New Roman" w:eastAsia="Times New Roman" w:hAnsi="Times New Roman"/>
          <w:sz w:val="20"/>
          <w:szCs w:val="20"/>
          <w:color w:val="auto"/>
        </w:rPr>
        <w:t>uncertainties, and other factors which may cause the actual results, performance, or achievements of the Company to materially differ from</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any future results, performance, or achievements expressed or implied by such forward-looking statements. Such factors, among other things, include: implications of the COVID-19 pandemic on the Company's operations; fluctuations in general macroeconomic conditions;</w:t>
      </w:r>
    </w:p>
    <w:p>
      <w:pPr>
        <w:spacing w:after="0" w:line="211" w:lineRule="auto"/>
        <w:rPr>
          <w:sz w:val="20"/>
          <w:szCs w:val="20"/>
          <w:color w:val="auto"/>
        </w:rPr>
      </w:pPr>
      <w:r>
        <w:rPr>
          <w:rFonts w:ascii="Times New Roman" w:cs="Times New Roman" w:eastAsia="Times New Roman" w:hAnsi="Times New Roman"/>
          <w:sz w:val="20"/>
          <w:szCs w:val="20"/>
          <w:color w:val="auto"/>
        </w:rPr>
        <w:t>fluctuations in securities markets; expectations regarding the size of the psychedelics market; the ability of the Company to successfully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achieve its business objectives; plans for growth; political, social and environmental uncertainties; employee relations; the presence of laws and regulations that may impose restrictions in the markets where the Company operates; and the risk factors set out in the Company's</w:t>
      </w:r>
    </w:p>
    <w:p>
      <w:pPr>
        <w:spacing w:after="0" w:line="211" w:lineRule="auto"/>
        <w:rPr>
          <w:sz w:val="20"/>
          <w:szCs w:val="20"/>
          <w:color w:val="auto"/>
        </w:rPr>
      </w:pPr>
      <w:r>
        <w:rPr>
          <w:rFonts w:ascii="Times New Roman" w:cs="Times New Roman" w:eastAsia="Times New Roman" w:hAnsi="Times New Roman"/>
          <w:sz w:val="20"/>
          <w:szCs w:val="20"/>
          <w:color w:val="auto"/>
        </w:rPr>
        <w:t>management's discussion and analysis for the period ended June 30, 2022 and the Company's annual information form dated June 20, 2022,</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which are available under the Company's profile on </w:t>
      </w:r>
      <w:r>
        <w:rPr>
          <w:rFonts w:ascii="Times New Roman" w:cs="Times New Roman" w:eastAsia="Times New Roman" w:hAnsi="Times New Roman"/>
          <w:sz w:val="20"/>
          <w:szCs w:val="20"/>
          <w:u w:val="single" w:color="auto"/>
          <w:color w:val="0563C1"/>
        </w:rPr>
        <w:t>www.sedar.com</w:t>
      </w:r>
      <w:r>
        <w:rPr>
          <w:rFonts w:ascii="Times New Roman" w:cs="Times New Roman" w:eastAsia="Times New Roman" w:hAnsi="Times New Roman"/>
          <w:sz w:val="20"/>
          <w:szCs w:val="20"/>
          <w:color w:val="auto"/>
        </w:rPr>
        <w:t xml:space="preserve"> and with the U.S. Securities and Exchange Commission on EDGAR at </w:t>
      </w:r>
      <w:r>
        <w:rPr>
          <w:rFonts w:ascii="Times New Roman" w:cs="Times New Roman" w:eastAsia="Times New Roman" w:hAnsi="Times New Roman"/>
          <w:sz w:val="20"/>
          <w:szCs w:val="20"/>
          <w:u w:val="single" w:color="auto"/>
          <w:color w:val="0563C1"/>
        </w:rPr>
        <w:t>www.sec.gov</w:t>
      </w:r>
      <w:r>
        <w:rPr>
          <w:rFonts w:ascii="Times New Roman" w:cs="Times New Roman" w:eastAsia="Times New Roman" w:hAnsi="Times New Roman"/>
          <w:sz w:val="20"/>
          <w:szCs w:val="20"/>
          <w:color w:val="000000"/>
        </w:rPr>
        <w:t>. Although the forward-looking statements contained in this news release are based upon what management of the Company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believes, or believed at the time, to be reasonable assumptions, the Company cannot assure shareholders that actual results will be consistent with such forward-looking statements, as there may be other factors that cause results not to be as anticipated, estimated or intended. Readers</w:t>
      </w:r>
    </w:p>
    <w:p>
      <w:pPr>
        <w:jc w:val="both"/>
        <w:spacing w:after="0" w:line="228" w:lineRule="auto"/>
        <w:rPr>
          <w:sz w:val="20"/>
          <w:szCs w:val="20"/>
          <w:color w:val="auto"/>
        </w:rPr>
      </w:pPr>
      <w:r>
        <w:rPr>
          <w:rFonts w:ascii="Times New Roman" w:cs="Times New Roman" w:eastAsia="Times New Roman" w:hAnsi="Times New Roman"/>
          <w:sz w:val="20"/>
          <w:szCs w:val="20"/>
          <w:color w:val="auto"/>
        </w:rPr>
        <w:t>should not place undue reliance on the forward-looking statements and information contained in this news release. The Company assumes no obligation to update</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the forward-looking statements of beliefs, opinions, projections, or other factors, should they change, except as required by law.</w:t>
      </w:r>
    </w:p>
    <w:p>
      <w:pPr>
        <w:spacing w:after="0" w:line="21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w:t>
      </w:r>
    </w:p>
    <w:p>
      <w:pPr>
        <w:spacing w:after="0" w:line="212" w:lineRule="auto"/>
        <w:rPr>
          <w:sz w:val="20"/>
          <w:szCs w:val="20"/>
          <w:color w:val="auto"/>
        </w:rPr>
      </w:pPr>
      <w:r>
        <w:rPr>
          <w:rFonts w:ascii="Times New Roman" w:cs="Times New Roman" w:eastAsia="Times New Roman" w:hAnsi="Times New Roman"/>
          <w:sz w:val="20"/>
          <w:szCs w:val="20"/>
          <w:color w:val="auto"/>
        </w:rPr>
        <w:t>derivatives or other psychedelic compounds. The efficacy of such products has not been confirmed by approved research. There is no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w:t>
      </w:r>
    </w:p>
    <w:p>
      <w:pPr>
        <w:spacing w:after="0" w:line="222" w:lineRule="auto"/>
        <w:rPr>
          <w:sz w:val="20"/>
          <w:szCs w:val="20"/>
          <w:color w:val="auto"/>
        </w:rPr>
      </w:pPr>
      <w:r>
        <w:rPr>
          <w:rFonts w:ascii="Times New Roman" w:cs="Times New Roman" w:eastAsia="Times New Roman" w:hAnsi="Times New Roman"/>
          <w:sz w:val="19"/>
          <w:szCs w:val="19"/>
          <w:color w:val="auto"/>
        </w:rPr>
        <w:t>use of its proposed products. Any references to quality, consistency, efficacy and safety of potential products do not imply that Cybin verified</w:t>
      </w:r>
    </w:p>
    <w:p>
      <w:pPr>
        <w:spacing w:after="0" w:line="221" w:lineRule="auto"/>
        <w:rPr>
          <w:sz w:val="20"/>
          <w:szCs w:val="20"/>
          <w:color w:val="auto"/>
        </w:rPr>
      </w:pPr>
      <w:r>
        <w:rPr>
          <w:rFonts w:ascii="Times New Roman" w:cs="Times New Roman" w:eastAsia="Times New Roman" w:hAnsi="Times New Roman"/>
          <w:sz w:val="20"/>
          <w:szCs w:val="20"/>
          <w:color w:val="auto"/>
        </w:rPr>
        <w:t>such in clinical trials or that Cybin will complete such trials. If Cybin cannot obtain the approvals or research necessary to commercialize its business, it may have a material adverse effect on Cybin’s performance and operations.</w:t>
      </w:r>
    </w:p>
    <w:p>
      <w:pPr>
        <w:spacing w:after="0" w:line="11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indicated, all dollar amounts in this news release are expressed in Canadian dollars.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&amp; Media:</w:t>
      </w:r>
    </w:p>
    <w:p>
      <w:pPr>
        <w:spacing w:after="0" w:line="211" w:lineRule="auto"/>
        <w:rPr>
          <w:sz w:val="20"/>
          <w:szCs w:val="20"/>
          <w:color w:val="auto"/>
        </w:rPr>
      </w:pPr>
      <w:r>
        <w:rPr>
          <w:rFonts w:ascii="Times New Roman" w:cs="Times New Roman" w:eastAsia="Times New Roman" w:hAnsi="Times New Roman"/>
          <w:sz w:val="20"/>
          <w:szCs w:val="20"/>
          <w:color w:val="auto"/>
        </w:rPr>
        <w:t>Leah Gibson</w:t>
      </w:r>
    </w:p>
    <w:p>
      <w:pPr>
        <w:spacing w:after="0" w:line="197" w:lineRule="auto"/>
        <w:rPr>
          <w:sz w:val="20"/>
          <w:szCs w:val="20"/>
          <w:color w:val="auto"/>
        </w:rPr>
      </w:pPr>
      <w:r>
        <w:rPr>
          <w:rFonts w:ascii="Times New Roman" w:cs="Times New Roman" w:eastAsia="Times New Roman" w:hAnsi="Times New Roman"/>
          <w:sz w:val="20"/>
          <w:szCs w:val="20"/>
          <w:color w:val="auto"/>
        </w:rPr>
        <w:t>Vice President, Investor Relations &amp; Strategic Communications</w:t>
      </w:r>
    </w:p>
    <w:p>
      <w:pPr>
        <w:spacing w:after="0" w:line="211" w:lineRule="auto"/>
        <w:rPr>
          <w:sz w:val="20"/>
          <w:szCs w:val="20"/>
          <w:color w:val="auto"/>
        </w:rPr>
      </w:pPr>
      <w:r>
        <w:rPr>
          <w:rFonts w:ascii="Times New Roman" w:cs="Times New Roman" w:eastAsia="Times New Roman" w:hAnsi="Times New Roman"/>
          <w:sz w:val="20"/>
          <w:szCs w:val="20"/>
          <w:color w:val="auto"/>
        </w:rPr>
        <w:t>Cybin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irteam@cybin.com</w:t>
      </w:r>
      <w:r>
        <w:rPr>
          <w:rFonts w:ascii="Times New Roman" w:cs="Times New Roman" w:eastAsia="Times New Roman" w:hAnsi="Times New Roman"/>
          <w:sz w:val="20"/>
          <w:szCs w:val="20"/>
          <w:color w:val="0563C1"/>
        </w:rPr>
        <w:t xml:space="preserve"> </w:t>
      </w:r>
      <w:r>
        <w:rPr>
          <w:rFonts w:ascii="Times New Roman" w:cs="Times New Roman" w:eastAsia="Times New Roman" w:hAnsi="Times New Roman"/>
          <w:sz w:val="20"/>
          <w:szCs w:val="20"/>
          <w:color w:val="000000"/>
        </w:rPr>
        <w:t>– or –</w:t>
      </w:r>
      <w:r>
        <w:rPr>
          <w:rFonts w:ascii="Times New Roman" w:cs="Times New Roman" w:eastAsia="Times New Roman" w:hAnsi="Times New Roman"/>
          <w:sz w:val="20"/>
          <w:szCs w:val="20"/>
          <w:color w:val="0563C1"/>
        </w:rPr>
        <w:t xml:space="preserve"> </w:t>
      </w:r>
      <w:r>
        <w:rPr>
          <w:rFonts w:ascii="Times New Roman" w:cs="Times New Roman" w:eastAsia="Times New Roman" w:hAnsi="Times New Roman"/>
          <w:sz w:val="20"/>
          <w:szCs w:val="20"/>
          <w:u w:val="single" w:color="auto"/>
          <w:color w:val="0563C1"/>
        </w:rPr>
        <w:t>media@cybin.com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Gabriel Fahel</w:t>
      </w:r>
    </w:p>
    <w:p>
      <w:pPr>
        <w:spacing w:after="0" w:line="211" w:lineRule="auto"/>
        <w:rPr>
          <w:sz w:val="20"/>
          <w:szCs w:val="20"/>
          <w:color w:val="auto"/>
        </w:rPr>
      </w:pPr>
      <w:r>
        <w:rPr>
          <w:rFonts w:ascii="Times New Roman" w:cs="Times New Roman" w:eastAsia="Times New Roman" w:hAnsi="Times New Roman"/>
          <w:sz w:val="20"/>
          <w:szCs w:val="20"/>
          <w:color w:val="auto"/>
        </w:rPr>
        <w:t>Chief Legal Officer</w:t>
      </w:r>
    </w:p>
    <w:p>
      <w:pPr>
        <w:spacing w:after="0" w:line="197" w:lineRule="auto"/>
        <w:rPr>
          <w:sz w:val="20"/>
          <w:szCs w:val="20"/>
          <w:color w:val="auto"/>
        </w:rPr>
      </w:pPr>
      <w:r>
        <w:rPr>
          <w:rFonts w:ascii="Times New Roman" w:cs="Times New Roman" w:eastAsia="Times New Roman" w:hAnsi="Times New Roman"/>
          <w:sz w:val="20"/>
          <w:szCs w:val="20"/>
          <w:color w:val="auto"/>
        </w:rPr>
        <w:t>Cybin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1-866-292-4601</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2022-08-16T11:19:57Z</dcterms:created>
  <dcterms:modified xsi:type="dcterms:W3CDTF">2022-08-16T11:19:57Z</dcterms:modified>
</cp:coreProperties>
</file>