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November 1,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News Release dated November 1,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40" w:right="440"/>
        <w:spacing w:after="0" w:line="326" w:lineRule="auto"/>
        <w:rPr>
          <w:sz w:val="20"/>
          <w:szCs w:val="20"/>
          <w:color w:val="auto"/>
        </w:rPr>
      </w:pPr>
      <w:r>
        <w:rPr>
          <w:rFonts w:ascii="Arial" w:cs="Arial" w:eastAsia="Arial" w:hAnsi="Arial"/>
          <w:sz w:val="25"/>
          <w:szCs w:val="25"/>
          <w:b w:val="1"/>
          <w:bCs w:val="1"/>
          <w:color w:val="auto"/>
        </w:rPr>
        <w:t>Cybin Provides Corporate Update and Highlights Key Upcoming Milestones Across its Development Pipeline</w:t>
      </w:r>
    </w:p>
    <w:p>
      <w:pPr>
        <w:spacing w:after="0" w:line="136" w:lineRule="exact"/>
        <w:rPr>
          <w:sz w:val="20"/>
          <w:szCs w:val="20"/>
          <w:color w:val="auto"/>
        </w:rPr>
      </w:pPr>
    </w:p>
    <w:p>
      <w:pPr>
        <w:ind w:left="260" w:hanging="126"/>
        <w:spacing w:after="0"/>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Company to host conference call to discuss positive Phase 2 CYB003 interim results today, November 1, 2023 at 11:00 a.m.</w:t>
      </w:r>
    </w:p>
    <w:p>
      <w:pPr>
        <w:spacing w:after="0" w:line="51" w:lineRule="exact"/>
        <w:rPr>
          <w:rFonts w:ascii="Arial" w:cs="Arial" w:eastAsia="Arial" w:hAnsi="Arial"/>
          <w:sz w:val="19"/>
          <w:szCs w:val="19"/>
          <w:color w:val="auto"/>
        </w:rPr>
      </w:pPr>
    </w:p>
    <w:p>
      <w:pPr>
        <w:ind w:left="5440"/>
        <w:spacing w:after="0"/>
        <w:rPr>
          <w:rFonts w:ascii="Arial" w:cs="Arial" w:eastAsia="Arial" w:hAnsi="Arial"/>
          <w:sz w:val="19"/>
          <w:szCs w:val="19"/>
          <w:color w:val="auto"/>
        </w:rPr>
      </w:pPr>
      <w:r>
        <w:rPr>
          <w:rFonts w:ascii="Arial" w:cs="Arial" w:eastAsia="Arial" w:hAnsi="Arial"/>
          <w:sz w:val="20"/>
          <w:szCs w:val="20"/>
          <w:color w:val="auto"/>
        </w:rPr>
        <w:t>ET -</w:t>
      </w:r>
    </w:p>
    <w:p>
      <w:pPr>
        <w:spacing w:after="0" w:line="269" w:lineRule="exact"/>
        <w:rPr>
          <w:rFonts w:ascii="Arial" w:cs="Arial" w:eastAsia="Arial" w:hAnsi="Arial"/>
          <w:sz w:val="19"/>
          <w:szCs w:val="19"/>
          <w:color w:val="auto"/>
        </w:rPr>
      </w:pPr>
    </w:p>
    <w:p>
      <w:pPr>
        <w:ind w:left="2440" w:hanging="126"/>
        <w:spacing w:after="0"/>
        <w:tabs>
          <w:tab w:leader="none" w:pos="2440" w:val="left"/>
        </w:tabs>
        <w:numPr>
          <w:ilvl w:val="1"/>
          <w:numId w:val="1"/>
        </w:numPr>
        <w:rPr>
          <w:rFonts w:ascii="Arial" w:cs="Arial" w:eastAsia="Arial" w:hAnsi="Arial"/>
          <w:sz w:val="20"/>
          <w:szCs w:val="20"/>
          <w:color w:val="auto"/>
        </w:rPr>
      </w:pPr>
      <w:r>
        <w:rPr>
          <w:rFonts w:ascii="Arial" w:cs="Arial" w:eastAsia="Arial" w:hAnsi="Arial"/>
          <w:sz w:val="20"/>
          <w:szCs w:val="20"/>
          <w:color w:val="auto"/>
        </w:rPr>
        <w:t>Complete Phase 2 topline data for CYB003 in MDD expected in Q4 2023 -</w:t>
      </w:r>
    </w:p>
    <w:p>
      <w:pPr>
        <w:spacing w:after="0" w:line="31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1,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provided an update on its clinical-stage programs and key upcoming milestones across its development pipeline.</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clinical progress we have made over the past few months is truly remarkable, exemplified by our recently released positive Phase 2 interim data for CYB003 in major depressive disorder (“MDD”), which demonstrated rapid and significant improvement in depression symptoms three weeks after a single dose,” said Doug Drysdale, Chief Executive Officer of Cybin. “In coming months, we look forward to presenting the complete Phase 2 topline data for CYB003 in MDD, as well as Phase 1 data readouts for our proprietary novel deuterated N,N-dimethyltryptamine (“DMT”) compounds, CYB004 and SPL028.”</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clinical milestones: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 Deuterated Psilocybin Analog Program</w:t>
      </w:r>
    </w:p>
    <w:p>
      <w:pPr>
        <w:spacing w:after="0" w:line="307" w:lineRule="exact"/>
        <w:rPr>
          <w:sz w:val="20"/>
          <w:szCs w:val="20"/>
          <w:color w:val="auto"/>
        </w:rPr>
      </w:pPr>
    </w:p>
    <w:p>
      <w:pPr>
        <w:ind w:left="660" w:hanging="328"/>
        <w:spacing w:after="0" w:line="261"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Complete Phase 2 topline safety and efficacy data readout for CYB003 in MDD, including 6-week data and results on the incremental benefit of a second dose expected in Q4 2023</w:t>
      </w:r>
    </w:p>
    <w:p>
      <w:pPr>
        <w:spacing w:after="0" w:line="1" w:lineRule="exact"/>
        <w:rPr>
          <w:rFonts w:ascii="Arial" w:cs="Arial" w:eastAsia="Arial" w:hAnsi="Arial"/>
          <w:sz w:val="22"/>
          <w:szCs w:val="22"/>
          <w:color w:val="auto"/>
        </w:rPr>
      </w:pPr>
    </w:p>
    <w:p>
      <w:pPr>
        <w:ind w:left="660" w:hanging="328"/>
        <w:spacing w:after="0" w:line="274"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Submission of topline data to U.S. Food and Drug Administration (“FDA”) following readout, for an end of Phase 2 meeting in early 2024</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Additional Phase 2 data assessing durability of effect for CYB003 at 12 weeks expected in Q1 2024</w:t>
      </w:r>
    </w:p>
    <w:p>
      <w:pPr>
        <w:sectPr>
          <w:pgSz w:w="11900" w:h="16838" w:orient="portrait"/>
          <w:cols w:equalWidth="0" w:num="1">
            <w:col w:w="11240"/>
          </w:cols>
          <w:pgMar w:left="320" w:top="1440" w:right="339" w:bottom="1440" w:gutter="0" w:footer="0" w:header="0"/>
        </w:sectPr>
      </w:pPr>
    </w:p>
    <w:bookmarkStart w:id="4" w:name="page5"/>
    <w:bookmarkEnd w:id="4"/>
    <w:p>
      <w:pPr>
        <w:ind w:left="660" w:right="20" w:hanging="328"/>
        <w:spacing w:after="0" w:line="30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Progression to an international, multisite Phase 3 trial in early 2024 to further evaluate the safety and efficacy of CYB003 capsules in a larger MDD patient population, with recruiting expected to begin by end of Q1 2024</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Deuterated DMT Program</w:t>
      </w:r>
    </w:p>
    <w:p>
      <w:pPr>
        <w:spacing w:after="0" w:line="293" w:lineRule="exact"/>
        <w:rPr>
          <w:sz w:val="20"/>
          <w:szCs w:val="20"/>
          <w:color w:val="auto"/>
        </w:rPr>
      </w:pPr>
    </w:p>
    <w:p>
      <w:pPr>
        <w:ind w:left="660" w:hanging="328"/>
        <w:spacing w:after="0" w:line="274"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Phase 1 dosing, pharmacokinetic (“PK”) and pharmacodynamic (“PD”), and safety data for CYB004 and SPL028 expected in Q4 2023</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Initiate Phase 2 proof-of-concept study in participants with generalized anxiety disorder in Q1 2024</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 CYB004 subcutaneous formulation study in Q1 2024 in addition to the SPL028 formulation work</w:t>
      </w:r>
    </w:p>
    <w:p>
      <w:pPr>
        <w:spacing w:after="0" w:line="283"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“Looking ahead, Cybin plans to run four clinical studies in 2024, reflecting the team’s strong execution on strategic priorities and commitment to accelerating our programs. We are in an exciting period of clinical development, and we look forward to sharing important data readouts across our pipeline of differentiated therapeutics,” concluded Drysdale.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Phase 2 Interim Results Conference Call and Webcast Details: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20" w:type="dxa"/>
            <w:vAlign w:val="bottom"/>
          </w:tcPr>
          <w:p>
            <w:pPr>
              <w:spacing w:after="0"/>
              <w:rPr>
                <w:sz w:val="20"/>
                <w:szCs w:val="20"/>
                <w:color w:val="auto"/>
              </w:rPr>
            </w:pPr>
            <w:r>
              <w:rPr>
                <w:rFonts w:ascii="Arial" w:cs="Arial" w:eastAsia="Arial" w:hAnsi="Arial"/>
                <w:sz w:val="20"/>
                <w:szCs w:val="20"/>
                <w:color w:val="auto"/>
              </w:rPr>
              <w:t>Date:</w:t>
            </w:r>
          </w:p>
        </w:tc>
        <w:tc>
          <w:tcPr>
            <w:tcW w:w="5740" w:type="dxa"/>
            <w:vAlign w:val="bottom"/>
            <w:gridSpan w:val="3"/>
          </w:tcPr>
          <w:p>
            <w:pPr>
              <w:ind w:left="180"/>
              <w:spacing w:after="0"/>
              <w:rPr>
                <w:sz w:val="20"/>
                <w:szCs w:val="20"/>
                <w:color w:val="auto"/>
              </w:rPr>
            </w:pPr>
            <w:r>
              <w:rPr>
                <w:rFonts w:ascii="Arial" w:cs="Arial" w:eastAsia="Arial" w:hAnsi="Arial"/>
                <w:sz w:val="20"/>
                <w:szCs w:val="20"/>
                <w:color w:val="auto"/>
              </w:rPr>
              <w:t>Wednesday, November 1, 2023</w:t>
            </w:r>
          </w:p>
        </w:tc>
      </w:tr>
      <w:tr>
        <w:trPr>
          <w:trHeight w:val="527"/>
        </w:trPr>
        <w:tc>
          <w:tcPr>
            <w:tcW w:w="1020" w:type="dxa"/>
            <w:vAlign w:val="bottom"/>
          </w:tcPr>
          <w:p>
            <w:pPr>
              <w:spacing w:after="0"/>
              <w:rPr>
                <w:sz w:val="20"/>
                <w:szCs w:val="20"/>
                <w:color w:val="auto"/>
              </w:rPr>
            </w:pPr>
            <w:r>
              <w:rPr>
                <w:rFonts w:ascii="Arial" w:cs="Arial" w:eastAsia="Arial" w:hAnsi="Arial"/>
                <w:sz w:val="20"/>
                <w:szCs w:val="20"/>
                <w:color w:val="auto"/>
              </w:rPr>
              <w:t>Time:</w:t>
            </w:r>
          </w:p>
        </w:tc>
        <w:tc>
          <w:tcPr>
            <w:tcW w:w="5740" w:type="dxa"/>
            <w:vAlign w:val="bottom"/>
            <w:gridSpan w:val="3"/>
          </w:tcPr>
          <w:p>
            <w:pPr>
              <w:ind w:left="200"/>
              <w:spacing w:after="0"/>
              <w:rPr>
                <w:sz w:val="20"/>
                <w:szCs w:val="20"/>
                <w:color w:val="auto"/>
              </w:rPr>
            </w:pPr>
            <w:r>
              <w:rPr>
                <w:rFonts w:ascii="Arial" w:cs="Arial" w:eastAsia="Arial" w:hAnsi="Arial"/>
                <w:sz w:val="20"/>
                <w:szCs w:val="20"/>
                <w:color w:val="auto"/>
              </w:rPr>
              <w:t>11:00 a.m. ET.</w:t>
            </w:r>
          </w:p>
        </w:tc>
      </w:tr>
      <w:tr>
        <w:trPr>
          <w:trHeight w:val="540"/>
        </w:trPr>
        <w:tc>
          <w:tcPr>
            <w:tcW w:w="1020" w:type="dxa"/>
            <w:vAlign w:val="bottom"/>
          </w:tcPr>
          <w:p>
            <w:pPr>
              <w:spacing w:after="0"/>
              <w:rPr>
                <w:sz w:val="20"/>
                <w:szCs w:val="20"/>
                <w:color w:val="auto"/>
              </w:rPr>
            </w:pPr>
            <w:r>
              <w:rPr>
                <w:rFonts w:ascii="Arial" w:cs="Arial" w:eastAsia="Arial" w:hAnsi="Arial"/>
                <w:sz w:val="20"/>
                <w:szCs w:val="20"/>
                <w:color w:val="auto"/>
              </w:rPr>
              <w:t>Dial-in:</w:t>
            </w:r>
          </w:p>
        </w:tc>
        <w:tc>
          <w:tcPr>
            <w:tcW w:w="5740" w:type="dxa"/>
            <w:vAlign w:val="bottom"/>
            <w:gridSpan w:val="3"/>
          </w:tcPr>
          <w:p>
            <w:pPr>
              <w:ind w:left="320"/>
              <w:spacing w:after="0"/>
              <w:rPr>
                <w:sz w:val="20"/>
                <w:szCs w:val="20"/>
                <w:color w:val="auto"/>
              </w:rPr>
            </w:pPr>
            <w:r>
              <w:rPr>
                <w:rFonts w:ascii="Arial" w:cs="Arial" w:eastAsia="Arial" w:hAnsi="Arial"/>
                <w:sz w:val="20"/>
                <w:szCs w:val="20"/>
                <w:color w:val="auto"/>
                <w:w w:val="98"/>
              </w:rPr>
              <w:t>800-245-3047 (U.S. Toll-Free) or 203-518-9765 (International)</w:t>
            </w:r>
          </w:p>
        </w:tc>
      </w:tr>
      <w:tr>
        <w:trPr>
          <w:trHeight w:val="527"/>
        </w:trPr>
        <w:tc>
          <w:tcPr>
            <w:tcW w:w="6760" w:type="dxa"/>
            <w:vAlign w:val="bottom"/>
            <w:gridSpan w:val="4"/>
          </w:tcPr>
          <w:p>
            <w:pPr>
              <w:spacing w:after="0"/>
              <w:rPr>
                <w:sz w:val="20"/>
                <w:szCs w:val="20"/>
                <w:color w:val="auto"/>
              </w:rPr>
            </w:pPr>
            <w:r>
              <w:rPr>
                <w:rFonts w:ascii="Arial" w:cs="Arial" w:eastAsia="Arial" w:hAnsi="Arial"/>
                <w:sz w:val="20"/>
                <w:szCs w:val="20"/>
                <w:color w:val="auto"/>
              </w:rPr>
              <w:t>Conference ID:   CYBN1101</w:t>
            </w:r>
          </w:p>
        </w:tc>
      </w:tr>
      <w:tr>
        <w:trPr>
          <w:trHeight w:val="495"/>
        </w:trPr>
        <w:tc>
          <w:tcPr>
            <w:tcW w:w="1020" w:type="dxa"/>
            <w:vAlign w:val="bottom"/>
          </w:tcPr>
          <w:p>
            <w:pPr>
              <w:spacing w:after="0"/>
              <w:rPr>
                <w:sz w:val="20"/>
                <w:szCs w:val="20"/>
                <w:color w:val="auto"/>
              </w:rPr>
            </w:pPr>
            <w:r>
              <w:rPr>
                <w:rFonts w:ascii="Arial" w:cs="Arial" w:eastAsia="Arial" w:hAnsi="Arial"/>
                <w:sz w:val="20"/>
                <w:szCs w:val="20"/>
                <w:color w:val="auto"/>
              </w:rPr>
              <w:t>Webcast:</w:t>
            </w:r>
          </w:p>
        </w:tc>
        <w:tc>
          <w:tcPr>
            <w:tcW w:w="5740" w:type="dxa"/>
            <w:vAlign w:val="bottom"/>
            <w:gridSpan w:val="3"/>
          </w:tcPr>
          <w:p>
            <w:pPr>
              <w:ind w:left="280"/>
              <w:spacing w:after="0"/>
              <w:rPr>
                <w:sz w:val="20"/>
                <w:szCs w:val="20"/>
                <w:color w:val="auto"/>
              </w:rPr>
            </w:pPr>
            <w:r>
              <w:rPr>
                <w:rFonts w:ascii="Arial" w:cs="Arial" w:eastAsia="Arial" w:hAnsi="Arial"/>
                <w:sz w:val="20"/>
                <w:szCs w:val="20"/>
                <w:color w:val="auto"/>
              </w:rPr>
              <w:t xml:space="preserve">Register for the webcast </w:t>
            </w:r>
            <w:r>
              <w:rPr>
                <w:rFonts w:ascii="Arial" w:cs="Arial" w:eastAsia="Arial" w:hAnsi="Arial"/>
                <w:sz w:val="20"/>
                <w:szCs w:val="20"/>
                <w:color w:val="0000FF"/>
              </w:rPr>
              <w:t>here</w:t>
            </w:r>
          </w:p>
        </w:tc>
      </w:tr>
      <w:tr>
        <w:trPr>
          <w:trHeight w:val="20"/>
        </w:trPr>
        <w:tc>
          <w:tcPr>
            <w:tcW w:w="1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archived webcast will also be available on Cybin’s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w:t>
      </w:r>
    </w:p>
    <w:p>
      <w:pPr>
        <w:sectPr>
          <w:pgSz w:w="11900" w:h="16838" w:orient="portrait"/>
          <w:cols w:equalWidth="0" w:num="1">
            <w:col w:w="11240"/>
          </w:cols>
          <w:pgMar w:left="320" w:top="1431" w:right="339" w:bottom="1440" w:gutter="0" w:footer="0" w:header="0"/>
        </w:sectPr>
      </w:pPr>
    </w:p>
    <w:bookmarkStart w:id="5" w:name="page6"/>
    <w:bookmarkEnd w:id="5"/>
    <w:p>
      <w:pPr>
        <w:jc w:val="both"/>
        <w:spacing w:after="0" w:line="303" w:lineRule="auto"/>
        <w:rPr>
          <w:sz w:val="20"/>
          <w:szCs w:val="20"/>
          <w:color w:val="auto"/>
        </w:rPr>
      </w:pPr>
      <w:r>
        <w:rPr>
          <w:rFonts w:ascii="Arial" w:cs="Arial" w:eastAsia="Arial" w:hAnsi="Arial"/>
          <w:sz w:val="20"/>
          <w:szCs w:val="20"/>
          <w:color w:val="auto"/>
        </w:rPr>
        <w:t>psilocybin analog for the treatment of major depressive disorder and CYB004, a proprietary deuterated DMT molecule for generalized anxiety disorder and has a research pipeline of investigational psychedelic-based compounds.</w:t>
      </w:r>
    </w:p>
    <w:p>
      <w:pPr>
        <w:spacing w:after="0" w:line="189"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report Phase 2 safety and efficacy data from its CYB003 program in Q4 2023; release of CYB003 12-week durability data in Q1 2024; progression to Phase 3 development of CYB003 in early 2024; recruitment for a CYB003 Phase 3 study and commencement of the phase 3 study in Q1 2024; the Company’s expected end of Phase 2 meeting with the FDA in early 2024; topline Phase 1 data for CYB004 and SPL028 in Q4 2023; commencement of a phase 2 study of the Company’s proprietary novel deuterated DMT compounds in patients with generalized anxiety disorder in Q1 2024; CYB004 subcutaneous formulation study in Q1 2024; and the Company’s proprietary drug discovery platforms, innovative drug delivery systems, novel formulation approaches and treatment regimens for mental health disorders.</w:t>
      </w:r>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w:t>
      </w:r>
    </w:p>
    <w:p>
      <w:pPr>
        <w:sectPr>
          <w:pgSz w:w="11900" w:h="16838" w:orient="portrait"/>
          <w:cols w:equalWidth="0" w:num="1">
            <w:col w:w="11240"/>
          </w:cols>
          <w:pgMar w:left="320" w:top="1431" w:right="339" w:bottom="1440" w:gutter="0" w:footer="0" w:header="0"/>
        </w:sectPr>
      </w:pPr>
    </w:p>
    <w:bookmarkStart w:id="6" w:name="page7"/>
    <w:bookmarkEnd w:id="6"/>
    <w:p>
      <w:pPr>
        <w:jc w:val="both"/>
        <w:spacing w:after="0" w:line="278" w:lineRule="auto"/>
        <w:rPr>
          <w:sz w:val="20"/>
          <w:szCs w:val="20"/>
          <w:color w:val="auto"/>
        </w:rPr>
      </w:pPr>
      <w:r>
        <w:rPr>
          <w:rFonts w:ascii="Arial" w:cs="Arial" w:eastAsia="Arial" w:hAnsi="Arial"/>
          <w:sz w:val="20"/>
          <w:szCs w:val="20"/>
          <w:color w:val="auto"/>
        </w:rPr>
        <w:t xml:space="preserve">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1" w:lineRule="exact"/>
        <w:rPr>
          <w:sz w:val="20"/>
          <w:szCs w:val="20"/>
          <w:color w:val="auto"/>
        </w:rPr>
      </w:pPr>
    </w:p>
    <w:p>
      <w:pPr>
        <w:jc w:val="both"/>
        <w:spacing w:after="0" w:line="31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2023-11-01T16:34:29Z</dcterms:created>
  <dcterms:modified xsi:type="dcterms:W3CDTF">2023-11-01T16:34:29Z</dcterms:modified>
</cp:coreProperties>
</file>