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Cybin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23256X100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7"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0" w:lineRule="exact"/>
        <w:rPr>
          <w:sz w:val="24"/>
          <w:szCs w:val="24"/>
          <w:color w:val="auto"/>
        </w:rPr>
      </w:pPr>
    </w:p>
    <w:p>
      <w:pPr>
        <w:spacing w:after="0" w:line="22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93"/>
              </w:rPr>
              <w:t xml:space="preserve">CUSIP No. </w:t>
            </w:r>
            <w:r>
              <w:rPr>
                <w:rFonts w:ascii="Arial" w:cs="Arial" w:eastAsia="Arial" w:hAnsi="Arial"/>
                <w:sz w:val="18"/>
                <w:szCs w:val="18"/>
                <w:b w:val="1"/>
                <w:bCs w:val="1"/>
                <w:color w:val="auto"/>
                <w:highlight w:val="white"/>
                <w:w w:val="93"/>
              </w:rPr>
              <w:t>23256X100</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11,291,300 (1)</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11,291,300 (1)</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11,291,300 (1)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20" w:hanging="328"/>
        <w:spacing w:after="0" w:line="25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total consists of: (i) 10,524,300 common shares (“</w:t>
      </w:r>
      <w:r>
        <w:rPr>
          <w:rFonts w:ascii="Arial" w:cs="Arial" w:eastAsia="Arial" w:hAnsi="Arial"/>
          <w:sz w:val="14"/>
          <w:szCs w:val="14"/>
          <w:u w:val="single" w:color="auto"/>
          <w:color w:val="auto"/>
        </w:rPr>
        <w:t>Common Shares</w:t>
      </w:r>
      <w:r>
        <w:rPr>
          <w:rFonts w:ascii="Arial" w:cs="Arial" w:eastAsia="Arial" w:hAnsi="Arial"/>
          <w:sz w:val="14"/>
          <w:szCs w:val="14"/>
          <w:color w:val="auto"/>
        </w:rPr>
        <w:t>”) of Cybin Inc. (the “</w:t>
      </w:r>
      <w:r>
        <w:rPr>
          <w:rFonts w:ascii="Arial" w:cs="Arial" w:eastAsia="Arial" w:hAnsi="Arial"/>
          <w:sz w:val="14"/>
          <w:szCs w:val="14"/>
          <w:u w:val="single" w:color="auto"/>
          <w:color w:val="auto"/>
        </w:rPr>
        <w:t>Issuer</w:t>
      </w:r>
      <w:r>
        <w:rPr>
          <w:rFonts w:ascii="Arial" w:cs="Arial" w:eastAsia="Arial" w:hAnsi="Arial"/>
          <w:sz w:val="14"/>
          <w:szCs w:val="14"/>
          <w:color w:val="auto"/>
        </w:rPr>
        <w:t>”) and (ii) 767,000 Common Shares underlying a currently exercisable warrant held by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3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Cybin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100 King Street West</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Suite 5600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Toronto, Ontario, Canada M5X 1C9</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the cover page for the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Shares</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23256X100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 (“Capital”) is an investment advisor in accordance with ss.240.13d-1(b)(1)(ii)(E).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The Reporting Person holds 7.0%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Capital exercises investment and voting power over the shares through a management committee comprised of Carl L. Gordon, Sven H. Borho, and W. Carter Neild, each of whom disclaims beneficial ownership of the Common Shares reported herein.</w:t>
      </w:r>
    </w:p>
    <w:p>
      <w:pPr>
        <w:spacing w:after="0" w:line="76"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color w:val="auto"/>
                <w:highlight w:val="white"/>
              </w:rPr>
              <w:t>23256X100</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6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1060450</wp:posOffset>
            </wp:positionV>
            <wp:extent cx="71323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sectPr>
      <w:pgSz w:w="11900" w:h="16838" w:orient="portrait"/>
      <w:cols w:equalWidth="0" w:num="1">
        <w:col w:w="11240"/>
      </w:cols>
      <w:pgMar w:left="320" w:top="5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2022-02-12T02:50:57Z</dcterms:created>
  <dcterms:modified xsi:type="dcterms:W3CDTF">2022-02-12T02:50:57Z</dcterms:modified>
</cp:coreProperties>
</file>