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13,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12,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Results of Annual and Special Meeting of Shareholders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October 12, 2023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color w:val="0563C1"/>
        </w:rPr>
        <w:t>NYSE AMERICAN:CYBN</w:t>
      </w:r>
      <w:r>
        <w:rPr>
          <w:rFonts w:ascii="Arial" w:cs="Arial" w:eastAsia="Arial" w:hAnsi="Arial"/>
          <w:sz w:val="19"/>
          <w:szCs w:val="19"/>
          <w:color w:val="auto"/>
        </w:rPr>
        <w:t>) (</w:t>
      </w:r>
      <w:r>
        <w:rPr>
          <w:rFonts w:ascii="Arial" w:cs="Arial" w:eastAsia="Arial" w:hAnsi="Arial"/>
          <w:sz w:val="19"/>
          <w:szCs w:val="19"/>
          <w:color w:val="0563C1"/>
        </w:rPr>
        <w:t>NEO:CYBN</w:t>
      </w:r>
      <w:r>
        <w:rPr>
          <w:rFonts w:ascii="Arial" w:cs="Arial" w:eastAsia="Arial" w:hAnsi="Arial"/>
          <w:sz w:val="19"/>
          <w:szCs w:val="19"/>
          <w:color w:val="auto"/>
        </w:rPr>
        <w:t>)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biopharmaceutical company committed to revolutionizing mental healthcare by developing new and innovative psychedelic-based treatment options, is pleased to announce the voting results for each of the matters presented at the Company’s annual and special meeting of shareholders held on October 12, 2023 (the “</w:t>
      </w:r>
      <w:r>
        <w:rPr>
          <w:rFonts w:ascii="Arial" w:cs="Arial" w:eastAsia="Arial" w:hAnsi="Arial"/>
          <w:sz w:val="19"/>
          <w:szCs w:val="19"/>
          <w:b w:val="1"/>
          <w:bCs w:val="1"/>
          <w:color w:val="auto"/>
        </w:rPr>
        <w:t>Meeting</w:t>
      </w:r>
      <w:r>
        <w:rPr>
          <w:rFonts w:ascii="Arial" w:cs="Arial" w:eastAsia="Arial" w:hAnsi="Arial"/>
          <w:sz w:val="19"/>
          <w:szCs w:val="19"/>
          <w:color w:val="auto"/>
        </w:rPr>
        <w:t>”). There were 66 shareholders represented in person or by proxy at the Meeting holding 91,903,025 common shares, representing 39.16% of Cybin’s total issued and outstanding common shares as at the record date for the Meeting. The voting results for each matter presented at the Meeting are set out below:</w:t>
      </w:r>
    </w:p>
    <w:p>
      <w:pPr>
        <w:spacing w:after="0" w:line="17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 Resolution</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acquisition of Small Pharma Inc. (“</w:t>
      </w:r>
      <w:r>
        <w:rPr>
          <w:rFonts w:ascii="Arial" w:cs="Arial" w:eastAsia="Arial" w:hAnsi="Arial"/>
          <w:sz w:val="18"/>
          <w:szCs w:val="18"/>
          <w:b w:val="1"/>
          <w:bCs w:val="1"/>
          <w:color w:val="auto"/>
        </w:rPr>
        <w:t>Small Pharma</w:t>
      </w:r>
      <w:r>
        <w:rPr>
          <w:rFonts w:ascii="Arial" w:cs="Arial" w:eastAsia="Arial" w:hAnsi="Arial"/>
          <w:sz w:val="18"/>
          <w:szCs w:val="18"/>
          <w:color w:val="auto"/>
        </w:rPr>
        <w:t xml:space="preserve">”), by way of a proposed plan of arrangement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pursuant to the terms and subject to the conditions of the arrangement agreement between Cybin and Small Pharma,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dated August 28, 2023, was approved. Voting results are set out below:</w:t>
      </w:r>
    </w:p>
    <w:p>
      <w:pPr>
        <w:spacing w:after="0" w:line="102"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60" w:type="dxa"/>
            <w:vAlign w:val="bottom"/>
            <w:tcBorders>
              <w:top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20"/>
                <w:szCs w:val="20"/>
                <w:b w:val="1"/>
                <w:bCs w:val="1"/>
                <w:color w:val="auto"/>
              </w:rPr>
              <w:t>Votes For</w:t>
            </w:r>
          </w:p>
        </w:tc>
        <w:tc>
          <w:tcPr>
            <w:tcW w:w="1360" w:type="dxa"/>
            <w:vAlign w:val="bottom"/>
            <w:tcBorders>
              <w:top w:val="single" w:sz="8" w:color="auto"/>
              <w:bottom w:val="single" w:sz="8" w:color="auto"/>
            </w:tcBorders>
            <w:shd w:val="clear" w:color="auto" w:fill="F2F2F2"/>
          </w:tcPr>
          <w:p>
            <w:pPr>
              <w:spacing w:after="0"/>
              <w:rPr>
                <w:sz w:val="23"/>
                <w:szCs w:val="23"/>
                <w:color w:val="auto"/>
              </w:rPr>
            </w:pPr>
          </w:p>
        </w:tc>
        <w:tc>
          <w:tcPr>
            <w:tcW w:w="2600" w:type="dxa"/>
            <w:vAlign w:val="bottom"/>
            <w:tcBorders>
              <w:top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20"/>
                <w:szCs w:val="20"/>
                <w:b w:val="1"/>
                <w:bCs w:val="1"/>
                <w:color w:val="auto"/>
              </w:rPr>
              <w:t>Votes Against</w:t>
            </w: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shd w:val="clear" w:color="auto" w:fill="F2F2F2"/>
          </w:tcPr>
          <w:p>
            <w:pPr>
              <w:jc w:val="right"/>
              <w:ind w:right="201"/>
              <w:spacing w:after="0"/>
              <w:rPr>
                <w:sz w:val="20"/>
                <w:szCs w:val="20"/>
                <w:color w:val="auto"/>
              </w:rPr>
            </w:pPr>
            <w:r>
              <w:rPr>
                <w:rFonts w:ascii="Arial" w:cs="Arial" w:eastAsia="Arial" w:hAnsi="Arial"/>
                <w:sz w:val="20"/>
                <w:szCs w:val="20"/>
                <w:b w:val="1"/>
                <w:bCs w:val="1"/>
                <w:color w:val="auto"/>
              </w:rPr>
              <w:t>#</w:t>
            </w:r>
          </w:p>
        </w:tc>
        <w:tc>
          <w:tcPr>
            <w:tcW w:w="680" w:type="dxa"/>
            <w:vAlign w:val="bottom"/>
            <w:tcBorders>
              <w:bottom w:val="single" w:sz="8" w:color="auto"/>
              <w:right w:val="single" w:sz="8" w:color="auto"/>
            </w:tcBorders>
            <w:shd w:val="clear" w:color="auto" w:fill="F2F2F2"/>
          </w:tcPr>
          <w:p>
            <w:pPr>
              <w:spacing w:after="0"/>
              <w:rPr>
                <w:sz w:val="21"/>
                <w:szCs w:val="21"/>
                <w:color w:val="auto"/>
              </w:rPr>
            </w:pPr>
          </w:p>
        </w:tc>
        <w:tc>
          <w:tcPr>
            <w:tcW w:w="192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43,199,295</w:t>
            </w:r>
          </w:p>
        </w:tc>
        <w:tc>
          <w:tcPr>
            <w:tcW w:w="3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99.410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256,200</w:t>
            </w:r>
          </w:p>
        </w:tc>
        <w:tc>
          <w:tcPr>
            <w:tcW w:w="680" w:type="dxa"/>
            <w:vAlign w:val="bottom"/>
            <w:tcBorders>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0.590</w:t>
            </w:r>
          </w:p>
        </w:tc>
      </w:tr>
    </w:tbl>
    <w:p>
      <w:pPr>
        <w:spacing w:after="0" w:line="396"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of Auditor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Zeifmans LLP was appointed auditor of Cybin until the next annual meeting of shareholders at renumeration to be fixed by the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Cybin. Voting results are set out below:</w:t>
      </w:r>
    </w:p>
    <w:p>
      <w:pPr>
        <w:spacing w:after="0" w:line="88"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60" w:type="dxa"/>
            <w:vAlign w:val="bottom"/>
            <w:tcBorders>
              <w:top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20"/>
                <w:szCs w:val="20"/>
                <w:b w:val="1"/>
                <w:bCs w:val="1"/>
                <w:color w:val="auto"/>
              </w:rPr>
              <w:t>Votes For</w:t>
            </w:r>
          </w:p>
        </w:tc>
        <w:tc>
          <w:tcPr>
            <w:tcW w:w="2700" w:type="dxa"/>
            <w:vAlign w:val="bottom"/>
            <w:tcBorders>
              <w:top w:val="single" w:sz="8" w:color="auto"/>
              <w:bottom w:val="single" w:sz="8" w:color="auto"/>
            </w:tcBorders>
            <w:gridSpan w:val="2"/>
            <w:shd w:val="clear" w:color="auto" w:fill="F2F2F2"/>
          </w:tcPr>
          <w:p>
            <w:pPr>
              <w:ind w:left="1320"/>
              <w:spacing w:after="0"/>
              <w:rPr>
                <w:sz w:val="20"/>
                <w:szCs w:val="20"/>
                <w:color w:val="auto"/>
              </w:rPr>
            </w:pPr>
            <w:r>
              <w:rPr>
                <w:rFonts w:ascii="Arial" w:cs="Arial" w:eastAsia="Arial" w:hAnsi="Arial"/>
                <w:sz w:val="20"/>
                <w:szCs w:val="20"/>
                <w:b w:val="1"/>
                <w:bCs w:val="1"/>
                <w:color w:val="auto"/>
                <w:w w:val="94"/>
              </w:rPr>
              <w:t>Votes Withheld</w:t>
            </w:r>
          </w:p>
        </w:tc>
        <w:tc>
          <w:tcPr>
            <w:tcW w:w="126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881"/>
              <w:spacing w:after="0"/>
              <w:rPr>
                <w:sz w:val="20"/>
                <w:szCs w:val="20"/>
                <w:color w:val="auto"/>
              </w:rPr>
            </w:pPr>
            <w:r>
              <w:rPr>
                <w:rFonts w:ascii="Arial" w:cs="Arial" w:eastAsia="Arial" w:hAnsi="Arial"/>
                <w:sz w:val="20"/>
                <w:szCs w:val="20"/>
                <w:b w:val="1"/>
                <w:bCs w:val="1"/>
                <w:color w:val="auto"/>
              </w:rPr>
              <w:t>#</w:t>
            </w:r>
          </w:p>
        </w:tc>
        <w:tc>
          <w:tcPr>
            <w:tcW w:w="660" w:type="dxa"/>
            <w:vAlign w:val="bottom"/>
            <w:tcBorders>
              <w:bottom w:val="single" w:sz="8" w:color="auto"/>
            </w:tcBorders>
            <w:shd w:val="clear" w:color="auto" w:fill="F2F2F2"/>
          </w:tcPr>
          <w:p>
            <w:pPr>
              <w:spacing w:after="0"/>
              <w:rPr>
                <w:sz w:val="21"/>
                <w:szCs w:val="21"/>
                <w:color w:val="auto"/>
              </w:rPr>
            </w:pPr>
          </w:p>
        </w:tc>
        <w:tc>
          <w:tcPr>
            <w:tcW w:w="126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91,252,133</w:t>
            </w:r>
          </w:p>
        </w:tc>
        <w:tc>
          <w:tcPr>
            <w:tcW w:w="3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99.292</w:t>
            </w:r>
          </w:p>
        </w:tc>
        <w:tc>
          <w:tcPr>
            <w:tcW w:w="204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650,891</w:t>
            </w:r>
          </w:p>
        </w:tc>
        <w:tc>
          <w:tcPr>
            <w:tcW w:w="660" w:type="dxa"/>
            <w:vAlign w:val="bottom"/>
            <w:tcBorders>
              <w:bottom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w w:val="99"/>
              </w:rPr>
              <w:t>0.708</w:t>
            </w:r>
          </w:p>
        </w:tc>
      </w:tr>
    </w:tbl>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Directors</w:t>
      </w:r>
    </w:p>
    <w:p>
      <w:pPr>
        <w:spacing w:after="0" w:line="87"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The special resolution to set the number of directors of Cybin at six was approved by at least two-thirds of the votes casts by the shareholders who voted in respect of the resolution present or represented by proxy at the Meeting. Voting results are set out below:</w:t>
      </w:r>
    </w:p>
    <w:p>
      <w:pPr>
        <w:sectPr>
          <w:pgSz w:w="11900" w:h="16838" w:orient="portrait"/>
          <w:cols w:equalWidth="0" w:num="1">
            <w:col w:w="11240"/>
          </w:cols>
          <w:pgMar w:left="320" w:top="1440" w:right="339" w:bottom="1440" w:gutter="0" w:footer="0" w:header="0"/>
        </w:sectPr>
      </w:pPr>
    </w:p>
    <w:bookmarkStart w:id="4" w:name="page5"/>
    <w:bookmarkEnd w:id="4"/>
    <w:p>
      <w:pPr>
        <w:spacing w:after="0" w:line="3"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36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60" w:type="dxa"/>
            <w:vAlign w:val="bottom"/>
            <w:tcBorders>
              <w:top w:val="single" w:sz="8" w:color="auto"/>
              <w:bottom w:val="single" w:sz="8" w:color="auto"/>
              <w:right w:val="single" w:sz="8" w:color="auto"/>
            </w:tcBorders>
            <w:gridSpan w:val="2"/>
            <w:shd w:val="clear" w:color="auto" w:fill="F2F2F2"/>
          </w:tcPr>
          <w:p>
            <w:pPr>
              <w:ind w:left="40"/>
              <w:spacing w:after="0"/>
              <w:rPr>
                <w:sz w:val="20"/>
                <w:szCs w:val="20"/>
                <w:color w:val="auto"/>
              </w:rPr>
            </w:pPr>
            <w:r>
              <w:rPr>
                <w:rFonts w:ascii="Arial" w:cs="Arial" w:eastAsia="Arial" w:hAnsi="Arial"/>
                <w:sz w:val="20"/>
                <w:szCs w:val="20"/>
                <w:b w:val="1"/>
                <w:bCs w:val="1"/>
                <w:color w:val="auto"/>
              </w:rPr>
              <w:t>Votes For</w:t>
            </w:r>
          </w:p>
        </w:tc>
        <w:tc>
          <w:tcPr>
            <w:tcW w:w="2660" w:type="dxa"/>
            <w:vAlign w:val="bottom"/>
            <w:tcBorders>
              <w:top w:val="single" w:sz="8" w:color="auto"/>
              <w:bottom w:val="single" w:sz="8" w:color="auto"/>
            </w:tcBorders>
            <w:gridSpan w:val="2"/>
            <w:shd w:val="clear" w:color="auto" w:fill="F2F2F2"/>
          </w:tcPr>
          <w:p>
            <w:pPr>
              <w:ind w:left="1400"/>
              <w:spacing w:after="0"/>
              <w:rPr>
                <w:sz w:val="20"/>
                <w:szCs w:val="20"/>
                <w:color w:val="auto"/>
              </w:rPr>
            </w:pPr>
            <w:r>
              <w:rPr>
                <w:rFonts w:ascii="Arial" w:cs="Arial" w:eastAsia="Arial" w:hAnsi="Arial"/>
                <w:sz w:val="20"/>
                <w:szCs w:val="20"/>
                <w:b w:val="1"/>
                <w:bCs w:val="1"/>
                <w:color w:val="auto"/>
                <w:w w:val="92"/>
              </w:rPr>
              <w:t>Votes Against</w:t>
            </w:r>
          </w:p>
        </w:tc>
        <w:tc>
          <w:tcPr>
            <w:tcW w:w="130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360" w:type="dxa"/>
            <w:vAlign w:val="bottom"/>
            <w:tcBorders>
              <w:left w:val="single" w:sz="8" w:color="auto"/>
              <w:bottom w:val="single" w:sz="8" w:color="auto"/>
            </w:tcBorders>
            <w:shd w:val="clear" w:color="auto" w:fill="F2F2F2"/>
          </w:tcPr>
          <w:p>
            <w:pPr>
              <w:jc w:val="right"/>
              <w:ind w:right="361"/>
              <w:spacing w:after="0"/>
              <w:rPr>
                <w:sz w:val="20"/>
                <w:szCs w:val="20"/>
                <w:color w:val="auto"/>
              </w:rPr>
            </w:pPr>
            <w:r>
              <w:rPr>
                <w:rFonts w:ascii="Arial" w:cs="Arial" w:eastAsia="Arial" w:hAnsi="Arial"/>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Arial" w:cs="Arial" w:eastAsia="Arial" w:hAnsi="Arial"/>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881"/>
              <w:spacing w:after="0"/>
              <w:rPr>
                <w:sz w:val="20"/>
                <w:szCs w:val="20"/>
                <w:color w:val="auto"/>
              </w:rPr>
            </w:pPr>
            <w:r>
              <w:rPr>
                <w:rFonts w:ascii="Arial" w:cs="Arial" w:eastAsia="Arial" w:hAnsi="Arial"/>
                <w:sz w:val="20"/>
                <w:szCs w:val="20"/>
                <w:b w:val="1"/>
                <w:bCs w:val="1"/>
                <w:color w:val="auto"/>
              </w:rPr>
              <w:t>#</w:t>
            </w:r>
          </w:p>
        </w:tc>
        <w:tc>
          <w:tcPr>
            <w:tcW w:w="620" w:type="dxa"/>
            <w:vAlign w:val="bottom"/>
            <w:tcBorders>
              <w:bottom w:val="single" w:sz="8" w:color="auto"/>
            </w:tcBorders>
            <w:shd w:val="clear" w:color="auto" w:fill="F2F2F2"/>
          </w:tcPr>
          <w:p>
            <w:pPr>
              <w:spacing w:after="0"/>
              <w:rPr>
                <w:sz w:val="21"/>
                <w:szCs w:val="21"/>
                <w:color w:val="auto"/>
              </w:rPr>
            </w:pPr>
          </w:p>
        </w:tc>
        <w:tc>
          <w:tcPr>
            <w:tcW w:w="130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Arial" w:cs="Arial" w:eastAsia="Arial" w:hAnsi="Arial"/>
                <w:sz w:val="20"/>
                <w:szCs w:val="20"/>
                <w:b w:val="1"/>
                <w:bCs w:val="1"/>
                <w:color w:val="auto"/>
              </w:rPr>
              <w:t>%</w:t>
            </w:r>
          </w:p>
        </w:tc>
      </w:tr>
      <w:tr>
        <w:trPr>
          <w:trHeight w:val="247"/>
        </w:trPr>
        <w:tc>
          <w:tcPr>
            <w:tcW w:w="136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90,712,567</w:t>
            </w:r>
          </w:p>
        </w:tc>
        <w:tc>
          <w:tcPr>
            <w:tcW w:w="3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98.705</w:t>
            </w:r>
          </w:p>
        </w:tc>
        <w:tc>
          <w:tcPr>
            <w:tcW w:w="20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20"/>
                <w:szCs w:val="20"/>
                <w:color w:val="auto"/>
              </w:rPr>
              <w:t>1,190,458</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20"/>
                <w:szCs w:val="20"/>
                <w:color w:val="auto"/>
              </w:rPr>
              <w:t>1.295</w:t>
            </w:r>
          </w:p>
        </w:tc>
      </w:tr>
    </w:tbl>
    <w:p>
      <w:pPr>
        <w:spacing w:after="0" w:line="200" w:lineRule="exact"/>
        <w:rPr>
          <w:sz w:val="20"/>
          <w:szCs w:val="20"/>
          <w:color w:val="auto"/>
        </w:rPr>
      </w:pPr>
    </w:p>
    <w:p>
      <w:pPr>
        <w:spacing w:after="0" w:line="209"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Election of Directors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Each of the nominees for election as director listed in Cybin’s management information circular dated September 13, 2023 were elected as directors of Cybin for the ensuing year or until their successors are elected or appointed. Voting results are set out below:</w:t>
      </w:r>
    </w:p>
    <w:p>
      <w:pPr>
        <w:spacing w:after="0" w:line="82"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bottom w:val="single" w:sz="8" w:color="auto"/>
              <w:right w:val="single" w:sz="8" w:color="auto"/>
            </w:tcBorders>
            <w:shd w:val="clear" w:color="auto" w:fill="F2F2F2"/>
          </w:tcPr>
          <w:p>
            <w:pPr>
              <w:spacing w:after="0"/>
              <w:rPr>
                <w:sz w:val="23"/>
                <w:szCs w:val="23"/>
                <w:color w:val="auto"/>
              </w:rPr>
            </w:pPr>
          </w:p>
        </w:tc>
        <w:tc>
          <w:tcPr>
            <w:tcW w:w="2320" w:type="dxa"/>
            <w:vAlign w:val="bottom"/>
            <w:tcBorders>
              <w:top w:val="single" w:sz="8" w:color="auto"/>
              <w:bottom w:val="single" w:sz="8" w:color="auto"/>
            </w:tcBorders>
            <w:gridSpan w:val="2"/>
            <w:shd w:val="clear" w:color="auto" w:fill="F2F2F2"/>
          </w:tcPr>
          <w:p>
            <w:pPr>
              <w:ind w:left="1360"/>
              <w:spacing w:after="0"/>
              <w:rPr>
                <w:sz w:val="20"/>
                <w:szCs w:val="20"/>
                <w:color w:val="auto"/>
              </w:rPr>
            </w:pPr>
            <w:r>
              <w:rPr>
                <w:rFonts w:ascii="Arial" w:cs="Arial" w:eastAsia="Arial" w:hAnsi="Arial"/>
                <w:sz w:val="20"/>
                <w:szCs w:val="20"/>
                <w:b w:val="1"/>
                <w:bCs w:val="1"/>
                <w:color w:val="auto"/>
              </w:rPr>
              <w:t>Votes For</w:t>
            </w:r>
          </w:p>
        </w:tc>
        <w:tc>
          <w:tcPr>
            <w:tcW w:w="124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2840" w:type="dxa"/>
            <w:vAlign w:val="bottom"/>
            <w:tcBorders>
              <w:top w:val="single" w:sz="8" w:color="auto"/>
              <w:bottom w:val="single" w:sz="8" w:color="auto"/>
            </w:tcBorders>
            <w:gridSpan w:val="2"/>
            <w:shd w:val="clear" w:color="auto" w:fill="F2F2F2"/>
          </w:tcPr>
          <w:p>
            <w:pPr>
              <w:ind w:left="1440"/>
              <w:spacing w:after="0"/>
              <w:rPr>
                <w:sz w:val="20"/>
                <w:szCs w:val="20"/>
                <w:color w:val="auto"/>
              </w:rPr>
            </w:pPr>
            <w:r>
              <w:rPr>
                <w:rFonts w:ascii="Arial" w:cs="Arial" w:eastAsia="Arial" w:hAnsi="Arial"/>
                <w:sz w:val="20"/>
                <w:szCs w:val="20"/>
                <w:b w:val="1"/>
                <w:bCs w:val="1"/>
                <w:color w:val="auto"/>
                <w:w w:val="95"/>
              </w:rPr>
              <w:t>Votes Withheld</w:t>
            </w:r>
          </w:p>
        </w:tc>
        <w:tc>
          <w:tcPr>
            <w:tcW w:w="138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216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9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89"/>
              </w:rPr>
              <w:t>#</w:t>
            </w:r>
          </w:p>
        </w:tc>
        <w:tc>
          <w:tcPr>
            <w:tcW w:w="340" w:type="dxa"/>
            <w:vAlign w:val="bottom"/>
            <w:tcBorders>
              <w:bottom w:val="single" w:sz="8" w:color="auto"/>
            </w:tcBorders>
            <w:shd w:val="clear" w:color="auto" w:fill="F2F2F2"/>
          </w:tcPr>
          <w:p>
            <w:pPr>
              <w:spacing w:after="0"/>
              <w:rPr>
                <w:sz w:val="21"/>
                <w:szCs w:val="21"/>
                <w:color w:val="auto"/>
              </w:rPr>
            </w:pPr>
          </w:p>
        </w:tc>
        <w:tc>
          <w:tcPr>
            <w:tcW w:w="1240" w:type="dxa"/>
            <w:vAlign w:val="bottom"/>
            <w:tcBorders>
              <w:bottom w:val="single" w:sz="8" w:color="auto"/>
              <w:right w:val="single" w:sz="8" w:color="auto"/>
            </w:tcBorders>
            <w:shd w:val="clear" w:color="auto" w:fill="F2F2F2"/>
          </w:tcPr>
          <w:p>
            <w:pPr>
              <w:jc w:val="center"/>
              <w:ind w:right="261"/>
              <w:spacing w:after="0"/>
              <w:rPr>
                <w:sz w:val="20"/>
                <w:szCs w:val="20"/>
                <w:color w:val="auto"/>
              </w:rPr>
            </w:pPr>
            <w:r>
              <w:rPr>
                <w:rFonts w:ascii="Arial" w:cs="Arial" w:eastAsia="Arial" w:hAnsi="Arial"/>
                <w:sz w:val="20"/>
                <w:szCs w:val="20"/>
                <w:b w:val="1"/>
                <w:bCs w:val="1"/>
                <w:color w:val="auto"/>
              </w:rPr>
              <w:t>%</w:t>
            </w:r>
          </w:p>
        </w:tc>
        <w:tc>
          <w:tcPr>
            <w:tcW w:w="21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89"/>
              </w:rPr>
              <w:t>#</w:t>
            </w:r>
          </w:p>
        </w:tc>
        <w:tc>
          <w:tcPr>
            <w:tcW w:w="680" w:type="dxa"/>
            <w:vAlign w:val="bottom"/>
            <w:tcBorders>
              <w:bottom w:val="single" w:sz="8" w:color="auto"/>
            </w:tcBorders>
            <w:shd w:val="clear" w:color="auto" w:fill="F2F2F2"/>
          </w:tcPr>
          <w:p>
            <w:pPr>
              <w:spacing w:after="0"/>
              <w:rPr>
                <w:sz w:val="21"/>
                <w:szCs w:val="21"/>
                <w:color w:val="auto"/>
              </w:rPr>
            </w:pPr>
          </w:p>
        </w:tc>
        <w:tc>
          <w:tcPr>
            <w:tcW w:w="1380" w:type="dxa"/>
            <w:vAlign w:val="bottom"/>
            <w:tcBorders>
              <w:bottom w:val="single" w:sz="8" w:color="auto"/>
              <w:right w:val="single" w:sz="8" w:color="auto"/>
            </w:tcBorders>
            <w:shd w:val="clear" w:color="auto" w:fill="F2F2F2"/>
          </w:tcPr>
          <w:p>
            <w:pPr>
              <w:jc w:val="center"/>
              <w:ind w:right="601"/>
              <w:spacing w:after="0"/>
              <w:rPr>
                <w:sz w:val="20"/>
                <w:szCs w:val="20"/>
                <w:color w:val="auto"/>
              </w:rPr>
            </w:pPr>
            <w:r>
              <w:rPr>
                <w:rFonts w:ascii="Arial" w:cs="Arial" w:eastAsia="Arial" w:hAnsi="Arial"/>
                <w:sz w:val="20"/>
                <w:szCs w:val="20"/>
                <w:b w:val="1"/>
                <w:bCs w:val="1"/>
                <w:color w:val="auto"/>
              </w:rPr>
              <w:t>%</w:t>
            </w:r>
          </w:p>
        </w:tc>
      </w:tr>
      <w:tr>
        <w:trPr>
          <w:trHeight w:val="247"/>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Theresa Firestone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42,976,922</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98.899</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478,573</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1.101</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Grant Froese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43,022,128</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99.003</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433,368</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0.997</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Paul Glavine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43,012,466</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98.980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443,030</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1.020</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Hoskins</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42,906,846</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98.737</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548,649</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1.263</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Mark Lawson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42,971,117</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98.885</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484,379</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1.115</w:t>
            </w:r>
          </w:p>
        </w:tc>
      </w:tr>
      <w:tr>
        <w:trPr>
          <w:trHeight w:val="250"/>
        </w:trPr>
        <w:tc>
          <w:tcPr>
            <w:tcW w:w="2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So</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39,668,729</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ind w:right="281"/>
              <w:spacing w:after="0"/>
              <w:rPr>
                <w:sz w:val="20"/>
                <w:szCs w:val="20"/>
                <w:color w:val="auto"/>
              </w:rPr>
            </w:pPr>
            <w:r>
              <w:rPr>
                <w:rFonts w:ascii="Arial" w:cs="Arial" w:eastAsia="Arial" w:hAnsi="Arial"/>
                <w:sz w:val="20"/>
                <w:szCs w:val="20"/>
                <w:color w:val="auto"/>
                <w:w w:val="88"/>
              </w:rPr>
              <w:t>91.286</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3,786,767</w:t>
            </w:r>
          </w:p>
        </w:tc>
        <w:tc>
          <w:tcPr>
            <w:tcW w:w="68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601"/>
              <w:spacing w:after="0"/>
              <w:rPr>
                <w:sz w:val="20"/>
                <w:szCs w:val="20"/>
                <w:color w:val="auto"/>
              </w:rPr>
            </w:pPr>
            <w:r>
              <w:rPr>
                <w:rFonts w:ascii="Arial" w:cs="Arial" w:eastAsia="Arial" w:hAnsi="Arial"/>
                <w:sz w:val="20"/>
                <w:szCs w:val="20"/>
                <w:color w:val="auto"/>
                <w:w w:val="87"/>
              </w:rPr>
              <w:t>8.714</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9"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9"/>
          <w:szCs w:val="19"/>
          <w:color w:val="auto"/>
        </w:rPr>
        <w:t>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32" w:right="339" w:bottom="1440" w:gutter="0" w:footer="0" w:header="0"/>
        </w:sectPr>
      </w:pPr>
    </w:p>
    <w:bookmarkStart w:id="6" w:name="page7"/>
    <w:bookmarkEnd w:id="6"/>
    <w:p>
      <w:pPr>
        <w:spacing w:after="0" w:line="303" w:lineRule="auto"/>
        <w:rPr>
          <w:sz w:val="20"/>
          <w:szCs w:val="20"/>
          <w:color w:val="auto"/>
        </w:rPr>
      </w:pPr>
      <w:r>
        <w:rPr>
          <w:rFonts w:ascii="Arial" w:cs="Arial" w:eastAsia="Arial" w:hAnsi="Arial"/>
          <w:sz w:val="20"/>
          <w:szCs w:val="20"/>
          <w:i w:val="1"/>
          <w:iCs w:val="1"/>
          <w:color w:val="auto"/>
        </w:rPr>
        <w:t>Neither Cboe Canada, operating as the Neo Exchange Inc., nor the NYSE American LLC stock exchange have approved or disapproved the contents of this news release and are not responsible for the adequacy and accuracy of the contents herein.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2023-10-13T13:31:58Z</dcterms:created>
  <dcterms:modified xsi:type="dcterms:W3CDTF">2023-10-13T13:31:58Z</dcterms:modified>
</cp:coreProperties>
</file>