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191770</wp:posOffset>
            </wp:positionH>
            <wp:positionV relativeFrom="page">
              <wp:posOffset>140970</wp:posOffset>
            </wp:positionV>
            <wp:extent cx="7179310"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9310" cy="26670"/>
                    </a:xfrm>
                    <a:prstGeom prst="rect">
                      <a:avLst/>
                    </a:prstGeom>
                    <a:noFill/>
                  </pic:spPr>
                </pic:pic>
              </a:graphicData>
            </a:graphic>
          </wp:anchor>
        </w:drawing>
        <w:t>Filed Pursuant to General Instruction II.L of Form F-10</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File No. 333-289139</w:t>
      </w:r>
    </w:p>
    <w:p>
      <w:pPr>
        <w:spacing w:after="0" w:line="125" w:lineRule="exact"/>
        <w:rPr>
          <w:sz w:val="24"/>
          <w:szCs w:val="24"/>
          <w:color w:val="auto"/>
        </w:rPr>
      </w:pPr>
    </w:p>
    <w:p>
      <w:pPr>
        <w:jc w:val="both"/>
        <w:spacing w:after="0" w:line="248" w:lineRule="auto"/>
        <w:rPr>
          <w:sz w:val="20"/>
          <w:szCs w:val="20"/>
          <w:color w:val="auto"/>
        </w:rPr>
      </w:pPr>
      <w:r>
        <w:rPr>
          <w:rFonts w:ascii="Times New Roman" w:cs="Times New Roman" w:eastAsia="Times New Roman" w:hAnsi="Times New Roman"/>
          <w:sz w:val="17"/>
          <w:szCs w:val="17"/>
          <w:i w:val="1"/>
          <w:iCs w:val="1"/>
          <w:color w:val="auto"/>
        </w:rPr>
        <w:t>This prospectus supplement (the "</w:t>
      </w:r>
      <w:r>
        <w:rPr>
          <w:rFonts w:ascii="Times New Roman" w:cs="Times New Roman" w:eastAsia="Times New Roman" w:hAnsi="Times New Roman"/>
          <w:sz w:val="17"/>
          <w:szCs w:val="17"/>
          <w:b w:val="1"/>
          <w:bCs w:val="1"/>
          <w:i w:val="1"/>
          <w:iCs w:val="1"/>
          <w:color w:val="auto"/>
        </w:rPr>
        <w:t>Prospectus Supplement</w:t>
      </w:r>
      <w:r>
        <w:rPr>
          <w:rFonts w:ascii="Times New Roman" w:cs="Times New Roman" w:eastAsia="Times New Roman" w:hAnsi="Times New Roman"/>
          <w:sz w:val="17"/>
          <w:szCs w:val="17"/>
          <w:i w:val="1"/>
          <w:iCs w:val="1"/>
          <w:color w:val="auto"/>
        </w:rPr>
        <w:t>"), together with the short form base shelf prospectus dated September 17, 2025 to which it relates, as amended or supplemented (the "</w:t>
      </w:r>
      <w:r>
        <w:rPr>
          <w:rFonts w:ascii="Times New Roman" w:cs="Times New Roman" w:eastAsia="Times New Roman" w:hAnsi="Times New Roman"/>
          <w:sz w:val="17"/>
          <w:szCs w:val="17"/>
          <w:b w:val="1"/>
          <w:bCs w:val="1"/>
          <w:i w:val="1"/>
          <w:iCs w:val="1"/>
          <w:color w:val="auto"/>
        </w:rPr>
        <w:t>Base Shelf Prospectus</w:t>
      </w:r>
      <w:r>
        <w:rPr>
          <w:rFonts w:ascii="Times New Roman" w:cs="Times New Roman" w:eastAsia="Times New Roman" w:hAnsi="Times New Roman"/>
          <w:sz w:val="17"/>
          <w:szCs w:val="17"/>
          <w:i w:val="1"/>
          <w:iCs w:val="1"/>
          <w:color w:val="auto"/>
        </w:rPr>
        <w:t>"), and each document deemed to be incorporated by reference into this Prospectus Supplement and the Base Shelf Prospectus, as amended or supplemented (collectively,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i w:val="1"/>
          <w:iCs w:val="1"/>
          <w:color w:val="auto"/>
        </w:rPr>
        <w:t xml:space="preserve">"), constitutes a public offering of these securities only in those jurisdictions where they may be lawfully offered for sale and only by persons permitted to sell such securities. </w:t>
      </w:r>
      <w:r>
        <w:rPr>
          <w:rFonts w:ascii="Times New Roman" w:cs="Times New Roman" w:eastAsia="Times New Roman" w:hAnsi="Times New Roman"/>
          <w:sz w:val="17"/>
          <w:szCs w:val="17"/>
          <w:b w:val="1"/>
          <w:bCs w:val="1"/>
          <w:i w:val="1"/>
          <w:iCs w:val="1"/>
          <w:color w:val="auto"/>
        </w:rPr>
        <w:t>No securities regulatory authority has expressed an opinion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about these securities and it is an offence to claim otherwise.</w:t>
      </w:r>
    </w:p>
    <w:p>
      <w:pPr>
        <w:spacing w:after="0" w:line="9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Information has been incorporated by reference in the Prospectus from documents filed with securities commissions or similar authorities in Canada. </w:t>
      </w:r>
      <w:r>
        <w:rPr>
          <w:rFonts w:ascii="Times New Roman" w:cs="Times New Roman" w:eastAsia="Times New Roman" w:hAnsi="Times New Roman"/>
          <w:sz w:val="17"/>
          <w:szCs w:val="17"/>
          <w:i w:val="1"/>
          <w:iCs w:val="1"/>
          <w:color w:val="auto"/>
        </w:rPr>
        <w:t>Copies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of the documents incorporated herein by reference may be obtained on request without charge from the Secretary of Cybin Inc. at 100 King Street West, Suite 5600, Toronto, Ontario M5X 1C9, telephone 1-866-292-4601, and are also available electronically at www.sedarplus.ca and www.sec.gov/edgar.</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 SHORT FORM BASE SHELF PROSPECTUS DATED SEPTEMBER 17, 2025</w:t>
      </w:r>
    </w:p>
    <w:p>
      <w:pPr>
        <w:spacing w:after="0" w:line="135" w:lineRule="exact"/>
        <w:rPr>
          <w:sz w:val="24"/>
          <w:szCs w:val="24"/>
          <w:color w:val="auto"/>
        </w:rPr>
      </w:pPr>
    </w:p>
    <w:p>
      <w:pPr>
        <w:spacing w:after="0"/>
        <w:tabs>
          <w:tab w:leader="none" w:pos="10260" w:val="left"/>
        </w:tabs>
        <w:rPr>
          <w:sz w:val="20"/>
          <w:szCs w:val="20"/>
          <w:color w:val="auto"/>
        </w:rPr>
      </w:pPr>
      <w:r>
        <w:rPr>
          <w:rFonts w:ascii="Times New Roman" w:cs="Times New Roman" w:eastAsia="Times New Roman" w:hAnsi="Times New Roman"/>
          <w:sz w:val="14"/>
          <w:szCs w:val="14"/>
          <w:i w:val="1"/>
          <w:iCs w:val="1"/>
          <w:u w:val="single" w:color="auto"/>
          <w:color w:val="auto"/>
        </w:rPr>
        <w:t>New Issue</w:t>
      </w:r>
      <w:r>
        <w:rPr>
          <w:sz w:val="20"/>
          <w:szCs w:val="20"/>
          <w:color w:val="auto"/>
        </w:rPr>
        <w:tab/>
      </w:r>
      <w:r>
        <w:rPr>
          <w:rFonts w:ascii="Times New Roman" w:cs="Times New Roman" w:eastAsia="Times New Roman" w:hAnsi="Times New Roman"/>
          <w:sz w:val="14"/>
          <w:szCs w:val="14"/>
          <w:color w:val="auto"/>
        </w:rPr>
        <w:t>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2951480</wp:posOffset>
            </wp:positionH>
            <wp:positionV relativeFrom="paragraph">
              <wp:posOffset>318770</wp:posOffset>
            </wp:positionV>
            <wp:extent cx="1264920" cy="738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4920" cy="7385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auto"/>
        </w:rPr>
        <w:t>CYBIN INC.</w:t>
      </w:r>
    </w:p>
    <w:p>
      <w:pPr>
        <w:spacing w:after="0" w:line="13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7"/>
          <w:szCs w:val="17"/>
          <w:b w:val="1"/>
          <w:bCs w:val="1"/>
          <w:color w:val="auto"/>
        </w:rPr>
        <w:t>US$175,009,911.45</w:t>
      </w:r>
    </w:p>
    <w:p>
      <w:pPr>
        <w:spacing w:after="0" w:line="13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7"/>
          <w:szCs w:val="17"/>
          <w:b w:val="1"/>
          <w:bCs w:val="1"/>
          <w:color w:val="auto"/>
        </w:rPr>
        <w:t>22,277,750 Common Shares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Pre-Funded Warrants to Purchase up to 4,605,500 Common Shares</w:t>
      </w:r>
    </w:p>
    <w:p>
      <w:pPr>
        <w:jc w:val="center"/>
        <w:spacing w:after="0" w:line="237" w:lineRule="auto"/>
        <w:rPr>
          <w:sz w:val="20"/>
          <w:szCs w:val="20"/>
          <w:color w:val="auto"/>
        </w:rPr>
      </w:pPr>
      <w:r>
        <w:rPr>
          <w:rFonts w:ascii="Times New Roman" w:cs="Times New Roman" w:eastAsia="Times New Roman" w:hAnsi="Times New Roman"/>
          <w:sz w:val="17"/>
          <w:szCs w:val="17"/>
          <w:b w:val="1"/>
          <w:bCs w:val="1"/>
          <w:color w:val="auto"/>
        </w:rPr>
        <w:t>Warrants to Purchase up to 9,409,138 Common Shares</w:t>
      </w:r>
    </w:p>
    <w:p>
      <w:pPr>
        <w:spacing w:after="0" w:line="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Price: US$6.51 per Common Share and US$6.50999 per Pre-Funded Warrant</w:t>
      </w:r>
    </w:p>
    <w:p>
      <w:pPr>
        <w:spacing w:after="0" w:line="1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16"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Cybin Inc. (“</w:t>
      </w:r>
      <w:r>
        <w:rPr>
          <w:rFonts w:ascii="Times New Roman" w:cs="Times New Roman" w:eastAsia="Times New Roman" w:hAnsi="Times New Roman"/>
          <w:sz w:val="17"/>
          <w:szCs w:val="17"/>
          <w:b w:val="1"/>
          <w:bCs w:val="1"/>
          <w:color w:val="auto"/>
        </w:rPr>
        <w:t>Cybin</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is hereby qualifying the distribution (the “</w:t>
      </w:r>
      <w:r>
        <w:rPr>
          <w:rFonts w:ascii="Times New Roman" w:cs="Times New Roman" w:eastAsia="Times New Roman" w:hAnsi="Times New Roman"/>
          <w:sz w:val="17"/>
          <w:szCs w:val="17"/>
          <w:b w:val="1"/>
          <w:bCs w:val="1"/>
          <w:color w:val="auto"/>
        </w:rPr>
        <w:t>Offering</w:t>
      </w:r>
      <w:r>
        <w:rPr>
          <w:rFonts w:ascii="Times New Roman" w:cs="Times New Roman" w:eastAsia="Times New Roman" w:hAnsi="Times New Roman"/>
          <w:sz w:val="17"/>
          <w:szCs w:val="17"/>
          <w:color w:val="auto"/>
        </w:rPr>
        <w:t>”) of (i) 22,277,750 common shares in the capital of the Corporation (the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at a price of US$6.51 per Common Share (the “</w:t>
      </w:r>
      <w:r>
        <w:rPr>
          <w:rFonts w:ascii="Times New Roman" w:cs="Times New Roman" w:eastAsia="Times New Roman" w:hAnsi="Times New Roman"/>
          <w:sz w:val="17"/>
          <w:szCs w:val="17"/>
          <w:b w:val="1"/>
          <w:bCs w:val="1"/>
          <w:color w:val="auto"/>
        </w:rPr>
        <w:t>Common Share Offering Price</w:t>
      </w:r>
      <w:r>
        <w:rPr>
          <w:rFonts w:ascii="Times New Roman" w:cs="Times New Roman" w:eastAsia="Times New Roman" w:hAnsi="Times New Roman"/>
          <w:sz w:val="17"/>
          <w:szCs w:val="17"/>
          <w:color w:val="auto"/>
        </w:rPr>
        <w:t>” and such Common Shares, the “</w:t>
      </w:r>
      <w:r>
        <w:rPr>
          <w:rFonts w:ascii="Times New Roman" w:cs="Times New Roman" w:eastAsia="Times New Roman" w:hAnsi="Times New Roman"/>
          <w:sz w:val="17"/>
          <w:szCs w:val="17"/>
          <w:b w:val="1"/>
          <w:bCs w:val="1"/>
          <w:color w:val="auto"/>
        </w:rPr>
        <w:t>Offered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(ii) in lieu of the Offered Shares to certain investors that so choose, pre-funded Common Share purchase warrants of the Corporation (each, a “</w:t>
      </w:r>
      <w:r>
        <w:rPr>
          <w:rFonts w:ascii="Times New Roman" w:cs="Times New Roman" w:eastAsia="Times New Roman" w:hAnsi="Times New Roman"/>
          <w:sz w:val="17"/>
          <w:szCs w:val="17"/>
          <w:b w:val="1"/>
          <w:bCs w:val="1"/>
          <w:color w:val="auto"/>
        </w:rPr>
        <w:t>Pre-Funded Warrant</w:t>
      </w:r>
      <w:r>
        <w:rPr>
          <w:rFonts w:ascii="Times New Roman" w:cs="Times New Roman" w:eastAsia="Times New Roman" w:hAnsi="Times New Roman"/>
          <w:sz w:val="17"/>
          <w:szCs w:val="17"/>
          <w:color w:val="auto"/>
        </w:rPr>
        <w:t>”) to purchase an aggregate of 4,605,500 Common Shares at a price of US$6.50999 per Pre-Funded Warrant (the “</w:t>
      </w:r>
      <w:r>
        <w:rPr>
          <w:rFonts w:ascii="Times New Roman" w:cs="Times New Roman" w:eastAsia="Times New Roman" w:hAnsi="Times New Roman"/>
          <w:sz w:val="17"/>
          <w:szCs w:val="17"/>
          <w:b w:val="1"/>
          <w:bCs w:val="1"/>
          <w:color w:val="auto"/>
        </w:rPr>
        <w:t>Pre-Funded Warrant Offering Price</w:t>
      </w:r>
      <w:r>
        <w:rPr>
          <w:rFonts w:ascii="Times New Roman" w:cs="Times New Roman" w:eastAsia="Times New Roman" w:hAnsi="Times New Roman"/>
          <w:sz w:val="17"/>
          <w:szCs w:val="17"/>
          <w:color w:val="auto"/>
        </w:rPr>
        <w:t>”, and together with the Common Share Offering Price, the “</w:t>
      </w:r>
      <w:r>
        <w:rPr>
          <w:rFonts w:ascii="Times New Roman" w:cs="Times New Roman" w:eastAsia="Times New Roman" w:hAnsi="Times New Roman"/>
          <w:sz w:val="17"/>
          <w:szCs w:val="17"/>
          <w:b w:val="1"/>
          <w:bCs w:val="1"/>
          <w:color w:val="auto"/>
        </w:rPr>
        <w:t>Offering Price</w:t>
      </w:r>
      <w:r>
        <w:rPr>
          <w:rFonts w:ascii="Times New Roman" w:cs="Times New Roman" w:eastAsia="Times New Roman" w:hAnsi="Times New Roman"/>
          <w:sz w:val="17"/>
          <w:szCs w:val="17"/>
          <w:color w:val="auto"/>
        </w:rPr>
        <w:t>”), and (iii) Warrants (as defined herein) to purchase an aggregate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9,409,138 Common Shares, directly to certain investors (the “</w:t>
      </w:r>
      <w:r>
        <w:rPr>
          <w:rFonts w:ascii="Times New Roman" w:cs="Times New Roman" w:eastAsia="Times New Roman" w:hAnsi="Times New Roman"/>
          <w:sz w:val="17"/>
          <w:szCs w:val="17"/>
          <w:b w:val="1"/>
          <w:bCs w:val="1"/>
          <w:color w:val="auto"/>
        </w:rPr>
        <w:t>Purchasers</w:t>
      </w:r>
      <w:r>
        <w:rPr>
          <w:rFonts w:ascii="Times New Roman" w:cs="Times New Roman" w:eastAsia="Times New Roman" w:hAnsi="Times New Roman"/>
          <w:sz w:val="17"/>
          <w:szCs w:val="17"/>
          <w:color w:val="auto"/>
        </w:rPr>
        <w:t>”). The Offered Shares and Pre-Funded Warrants will be sold in combination, with each Offered Share and Pre-Funded Warrant being accompanied by 0.35 of one Common Share purchase warrant of the Corporation (each whole warrant, a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The Offered Shares or Pre-Funded Warrants and Warrants are immediately separable and will be issued separately, but can only be purchased together in the Offering (as defined herein).</w:t>
      </w:r>
    </w:p>
    <w:p>
      <w:pPr>
        <w:spacing w:after="0" w:line="308"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Each Warrant will entitle the holder thereof to purchase, subject to adjustment in certain circumstances, one Common Share (each, a “</w:t>
      </w:r>
      <w:r>
        <w:rPr>
          <w:rFonts w:ascii="Times New Roman" w:cs="Times New Roman" w:eastAsia="Times New Roman" w:hAnsi="Times New Roman"/>
          <w:sz w:val="17"/>
          <w:szCs w:val="17"/>
          <w:b w:val="1"/>
          <w:bCs w:val="1"/>
          <w:color w:val="auto"/>
        </w:rPr>
        <w:t>Warrant Share</w:t>
      </w:r>
      <w:r>
        <w:rPr>
          <w:rFonts w:ascii="Times New Roman" w:cs="Times New Roman" w:eastAsia="Times New Roman" w:hAnsi="Times New Roman"/>
          <w:sz w:val="17"/>
          <w:szCs w:val="17"/>
          <w:color w:val="auto"/>
        </w:rPr>
        <w:t>”) at an exercise price of US$8.14 per Warrant Share (the “</w:t>
      </w:r>
      <w:r>
        <w:rPr>
          <w:rFonts w:ascii="Times New Roman" w:cs="Times New Roman" w:eastAsia="Times New Roman" w:hAnsi="Times New Roman"/>
          <w:sz w:val="17"/>
          <w:szCs w:val="17"/>
          <w:b w:val="1"/>
          <w:bCs w:val="1"/>
          <w:color w:val="auto"/>
        </w:rPr>
        <w:t>Warrant Exercise Price</w:t>
      </w:r>
      <w:r>
        <w:rPr>
          <w:rFonts w:ascii="Times New Roman" w:cs="Times New Roman" w:eastAsia="Times New Roman" w:hAnsi="Times New Roman"/>
          <w:sz w:val="17"/>
          <w:szCs w:val="17"/>
          <w:color w:val="auto"/>
        </w:rPr>
        <w:t>”) at any time until 5:00 p.m. (Eastern time) on the date that is the earlier of: (i) June 30, 2027; (ii) thirty days following the publication by press release of topline data for the APPROACH trial of CYB003 in major depressive disorder; and (iii) thirty days following the date of the Acceleration Notice (as defined herein) (the “</w:t>
      </w:r>
      <w:r>
        <w:rPr>
          <w:rFonts w:ascii="Times New Roman" w:cs="Times New Roman" w:eastAsia="Times New Roman" w:hAnsi="Times New Roman"/>
          <w:sz w:val="17"/>
          <w:szCs w:val="17"/>
          <w:b w:val="1"/>
          <w:bCs w:val="1"/>
          <w:color w:val="auto"/>
        </w:rPr>
        <w:t>Warrant Expiry Date</w:t>
      </w:r>
      <w:r>
        <w:rPr>
          <w:rFonts w:ascii="Times New Roman" w:cs="Times New Roman" w:eastAsia="Times New Roman" w:hAnsi="Times New Roman"/>
          <w:sz w:val="17"/>
          <w:szCs w:val="17"/>
          <w:color w:val="auto"/>
        </w:rPr>
        <w:t>”). Each Pre-Funded Warrant will entitle the holder thereof to purchase, subject to adjustment in certain circumstances, one Common Share (each, a “</w:t>
      </w:r>
      <w:r>
        <w:rPr>
          <w:rFonts w:ascii="Times New Roman" w:cs="Times New Roman" w:eastAsia="Times New Roman" w:hAnsi="Times New Roman"/>
          <w:sz w:val="17"/>
          <w:szCs w:val="17"/>
          <w:b w:val="1"/>
          <w:bCs w:val="1"/>
          <w:color w:val="auto"/>
        </w:rPr>
        <w:t>Pre-Funded Warrant Share</w:t>
      </w:r>
      <w:r>
        <w:rPr>
          <w:rFonts w:ascii="Times New Roman" w:cs="Times New Roman" w:eastAsia="Times New Roman" w:hAnsi="Times New Roman"/>
          <w:sz w:val="17"/>
          <w:szCs w:val="17"/>
          <w:color w:val="auto"/>
        </w:rPr>
        <w:t>”) at a nominal exercise price of US$0.00001 per Pre-Funded Warrant Share. The Pre-Funded Warrants will not expire and, subject to certain conditions, may be exercised on a “net” or “cashless”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212725</wp:posOffset>
            </wp:positionV>
            <wp:extent cx="717931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373" w:right="319" w:bottom="1440" w:gutter="0" w:footer="0" w:header="0"/>
        </w:sectPr>
      </w:pPr>
    </w:p>
    <w:bookmarkStart w:id="1" w:name="page2"/>
    <w:bookmarkEnd w:id="1"/>
    <w:p>
      <w:pPr>
        <w:jc w:val="both"/>
        <w:spacing w:after="0" w:line="278" w:lineRule="auto"/>
        <w:rPr>
          <w:sz w:val="20"/>
          <w:szCs w:val="20"/>
          <w:color w:val="auto"/>
        </w:rPr>
      </w:pPr>
      <w:r>
        <w:rPr>
          <w:rFonts w:ascii="Times New Roman" w:cs="Times New Roman" w:eastAsia="Times New Roman" w:hAnsi="Times New Roman"/>
          <w:sz w:val="17"/>
          <w:szCs w:val="17"/>
          <w:color w:val="auto"/>
        </w:rPr>
        <w:t>The distribution of the Offered Shares, Pre-Funded Warrants and Warrants (together,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qualified by this Prospectus Supplement is referred to herein as the "</w:t>
      </w:r>
      <w:r>
        <w:rPr>
          <w:rFonts w:ascii="Times New Roman" w:cs="Times New Roman" w:eastAsia="Times New Roman" w:hAnsi="Times New Roman"/>
          <w:sz w:val="17"/>
          <w:szCs w:val="17"/>
          <w:b w:val="1"/>
          <w:bCs w:val="1"/>
          <w:color w:val="auto"/>
        </w:rPr>
        <w:t>Offering</w:t>
      </w:r>
      <w:r>
        <w:rPr>
          <w:rFonts w:ascii="Times New Roman" w:cs="Times New Roman" w:eastAsia="Times New Roman" w:hAnsi="Times New Roman"/>
          <w:sz w:val="17"/>
          <w:szCs w:val="17"/>
          <w:color w:val="auto"/>
        </w:rPr>
        <w:t>". See "</w:t>
      </w:r>
      <w:r>
        <w:rPr>
          <w:rFonts w:ascii="Times New Roman" w:cs="Times New Roman" w:eastAsia="Times New Roman" w:hAnsi="Times New Roman"/>
          <w:sz w:val="17"/>
          <w:szCs w:val="17"/>
          <w:i w:val="1"/>
          <w:iCs w:val="1"/>
          <w:color w:val="auto"/>
        </w:rPr>
        <w:t>Description of Securities Being Distributed</w:t>
      </w:r>
      <w:r>
        <w:rPr>
          <w:rFonts w:ascii="Times New Roman" w:cs="Times New Roman" w:eastAsia="Times New Roman" w:hAnsi="Times New Roman"/>
          <w:sz w:val="17"/>
          <w:szCs w:val="17"/>
          <w:color w:val="auto"/>
        </w:rPr>
        <w:t>".</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Prospectus Supplement also qualifies for distribution in the United States up to 4,605,500 Pre-Funded Warrant Shares and 9,409,138 Warrant Shares issuable from time to time on exercise of the Pre-Funded Warrants and Warrants, respectively, issuable under this Prospectus Supplement, and such indeterminate number of additional Pre-Funded Warrant Shares and Warrant Shares that may be issuable by reason of the anti-dilution provisions forming part of the terms and conditions of the Pre-Funded Warrants and the Warrants.</w:t>
      </w:r>
    </w:p>
    <w:p>
      <w:pPr>
        <w:spacing w:after="0" w:line="1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There is no minimum amount of funds that must be raised under the Offering. This means that the Corporation could complete the Offering after raising only a small portion of the Offering amount set out above.</w:t>
      </w:r>
    </w:p>
    <w:p>
      <w:pPr>
        <w:spacing w:after="0" w:line="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Securities are being sold directly to the Purchasers pursuant to securities purchase agreements (each, a “</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each dated October 28, 2025, by and between the Corporation and each Purchaser. Jefferies LLC (“</w:t>
      </w:r>
      <w:r>
        <w:rPr>
          <w:rFonts w:ascii="Times New Roman" w:cs="Times New Roman" w:eastAsia="Times New Roman" w:hAnsi="Times New Roman"/>
          <w:sz w:val="17"/>
          <w:szCs w:val="17"/>
          <w:b w:val="1"/>
          <w:bCs w:val="1"/>
          <w:color w:val="auto"/>
        </w:rPr>
        <w:t>Jefferies</w:t>
      </w:r>
      <w:r>
        <w:rPr>
          <w:rFonts w:ascii="Times New Roman" w:cs="Times New Roman" w:eastAsia="Times New Roman" w:hAnsi="Times New Roman"/>
          <w:sz w:val="17"/>
          <w:szCs w:val="17"/>
          <w:color w:val="auto"/>
        </w:rPr>
        <w:t>”), TD Securities (USA) LLC (“</w:t>
      </w:r>
      <w:r>
        <w:rPr>
          <w:rFonts w:ascii="Times New Roman" w:cs="Times New Roman" w:eastAsia="Times New Roman" w:hAnsi="Times New Roman"/>
          <w:sz w:val="17"/>
          <w:szCs w:val="17"/>
          <w:b w:val="1"/>
          <w:bCs w:val="1"/>
          <w:color w:val="auto"/>
        </w:rPr>
        <w:t>TD Cowen</w:t>
      </w:r>
      <w:r>
        <w:rPr>
          <w:rFonts w:ascii="Times New Roman" w:cs="Times New Roman" w:eastAsia="Times New Roman" w:hAnsi="Times New Roman"/>
          <w:sz w:val="17"/>
          <w:szCs w:val="17"/>
          <w:color w:val="auto"/>
        </w:rPr>
        <w:t>”) and Cantor Fitzgerald &amp; Co. (“</w:t>
      </w:r>
      <w:r>
        <w:rPr>
          <w:rFonts w:ascii="Times New Roman" w:cs="Times New Roman" w:eastAsia="Times New Roman" w:hAnsi="Times New Roman"/>
          <w:sz w:val="17"/>
          <w:szCs w:val="17"/>
          <w:b w:val="1"/>
          <w:bCs w:val="1"/>
          <w:color w:val="auto"/>
        </w:rPr>
        <w:t>Cantor</w:t>
      </w:r>
      <w:r>
        <w:rPr>
          <w:rFonts w:ascii="Times New Roman" w:cs="Times New Roman" w:eastAsia="Times New Roman" w:hAnsi="Times New Roman"/>
          <w:sz w:val="17"/>
          <w:szCs w:val="17"/>
          <w:color w:val="auto"/>
        </w:rPr>
        <w:t>”) as joint lead placement agents (collectively, the “</w:t>
      </w:r>
      <w:r>
        <w:rPr>
          <w:rFonts w:ascii="Times New Roman" w:cs="Times New Roman" w:eastAsia="Times New Roman" w:hAnsi="Times New Roman"/>
          <w:sz w:val="17"/>
          <w:szCs w:val="17"/>
          <w:b w:val="1"/>
          <w:bCs w:val="1"/>
          <w:color w:val="auto"/>
        </w:rPr>
        <w:t>Lead Placement Agents</w:t>
      </w:r>
      <w:r>
        <w:rPr>
          <w:rFonts w:ascii="Times New Roman" w:cs="Times New Roman" w:eastAsia="Times New Roman" w:hAnsi="Times New Roman"/>
          <w:sz w:val="17"/>
          <w:szCs w:val="17"/>
          <w:color w:val="auto"/>
        </w:rPr>
        <w:t>”), and Bloom Burton Securities Inc. as a placement agent (together with the Lead Placement Agents, the “</w:t>
      </w:r>
      <w:r>
        <w:rPr>
          <w:rFonts w:ascii="Times New Roman" w:cs="Times New Roman" w:eastAsia="Times New Roman" w:hAnsi="Times New Roman"/>
          <w:sz w:val="17"/>
          <w:szCs w:val="17"/>
          <w:b w:val="1"/>
          <w:bCs w:val="1"/>
          <w:color w:val="auto"/>
        </w:rPr>
        <w:t>Placement Agents</w:t>
      </w:r>
      <w:r>
        <w:rPr>
          <w:rFonts w:ascii="Times New Roman" w:cs="Times New Roman" w:eastAsia="Times New Roman" w:hAnsi="Times New Roman"/>
          <w:sz w:val="17"/>
          <w:szCs w:val="17"/>
          <w:color w:val="auto"/>
        </w:rPr>
        <w:t>”) are acting as exclusive placement agents for the Corporation in respect of the Offering pursuant to the terms and conditions of a placement agency agreement dated October 27, 2025 between the Corporation and the Placement Agents (the “</w:t>
      </w:r>
      <w:r>
        <w:rPr>
          <w:rFonts w:ascii="Times New Roman" w:cs="Times New Roman" w:eastAsia="Times New Roman" w:hAnsi="Times New Roman"/>
          <w:sz w:val="17"/>
          <w:szCs w:val="17"/>
          <w:b w:val="1"/>
          <w:bCs w:val="1"/>
          <w:color w:val="auto"/>
        </w:rPr>
        <w:t>Agency Agreement</w:t>
      </w:r>
      <w:r>
        <w:rPr>
          <w:rFonts w:ascii="Times New Roman" w:cs="Times New Roman" w:eastAsia="Times New Roman" w:hAnsi="Times New Roman"/>
          <w:sz w:val="17"/>
          <w:szCs w:val="17"/>
          <w:color w:val="auto"/>
        </w:rPr>
        <w:t>”), under which the Placement Agents have agreed to act, on a reasonable efforts basis, as placement agents in connection with the Offering. The Placement Agents are not purchasing or selling any of the Securities offered pursuant to this Prospectus Supplement or the accompanying Base Prospectus, nor are they required to arrange the purchase or sale of any specific number or dollar amount of Securities.</w:t>
      </w:r>
    </w:p>
    <w:p>
      <w:pPr>
        <w:spacing w:after="0" w:line="1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Offering is being made in the United States only as a registered offering under the Corporation’s registration statement on Form F-10 (File No. 333-289139)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which was initially filed with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under the United States Securities Act of 1933, as amended (the “</w:t>
      </w:r>
      <w:r>
        <w:rPr>
          <w:rFonts w:ascii="Times New Roman" w:cs="Times New Roman" w:eastAsia="Times New Roman" w:hAnsi="Times New Roman"/>
          <w:sz w:val="17"/>
          <w:szCs w:val="17"/>
          <w:b w:val="1"/>
          <w:bCs w:val="1"/>
          <w:color w:val="auto"/>
        </w:rPr>
        <w:t>U.S. Securities Act</w:t>
      </w:r>
      <w:r>
        <w:rPr>
          <w:rFonts w:ascii="Times New Roman" w:cs="Times New Roman" w:eastAsia="Times New Roman" w:hAnsi="Times New Roman"/>
          <w:sz w:val="17"/>
          <w:szCs w:val="17"/>
          <w:color w:val="auto"/>
        </w:rPr>
        <w:t>”), on July 31, 2025, as amended on September 17, 2025 (the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xml:space="preserve">”). The Registration Statement became automatically effective upon filing of the Amendment pursuant to Rule 467(a) of the U.S. Securities Act on September 17, 2025. </w:t>
      </w:r>
      <w:r>
        <w:rPr>
          <w:rFonts w:ascii="Times New Roman" w:cs="Times New Roman" w:eastAsia="Times New Roman" w:hAnsi="Times New Roman"/>
          <w:sz w:val="17"/>
          <w:szCs w:val="17"/>
          <w:b w:val="1"/>
          <w:bCs w:val="1"/>
          <w:color w:val="auto"/>
        </w:rPr>
        <w:t>The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are not being offered for sale to the public in Canada under this Prospectus Supplement. </w:t>
      </w:r>
      <w:r>
        <w:rPr>
          <w:rFonts w:ascii="Times New Roman" w:cs="Times New Roman" w:eastAsia="Times New Roman" w:hAnsi="Times New Roman"/>
          <w:sz w:val="17"/>
          <w:szCs w:val="17"/>
          <w:color w:val="auto"/>
        </w:rPr>
        <w:t>This Prospectus Supplement also qualifies the distribution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to eligible investors outside of Canada, including the Pre-Funded Warrant Shares and Warrant Shares issuable upon exercise of the Pre-Funded Warrants and Warrants, respectively.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Corporation has not engaged in the business of trading and advising in securities with respect to the Offering.</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An investment in the Securities is highly speculative and involves significant risks that investors should consider before purchasing such Securities. Investors should carefully review the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section of this Prospectus Supplement, the Base Shelf Prospectus and the documents incorporated by reference herein and therein as well as the information under the heading "</w:t>
      </w:r>
      <w:r>
        <w:rPr>
          <w:rFonts w:ascii="Times New Roman" w:cs="Times New Roman" w:eastAsia="Times New Roman" w:hAnsi="Times New Roman"/>
          <w:sz w:val="17"/>
          <w:szCs w:val="17"/>
          <w:b w:val="1"/>
          <w:bCs w:val="1"/>
          <w:i w:val="1"/>
          <w:iCs w:val="1"/>
          <w:color w:val="auto"/>
        </w:rPr>
        <w:t>Cautionary Note Regarding Forward-Looking Information</w:t>
      </w:r>
      <w:r>
        <w:rPr>
          <w:rFonts w:ascii="Times New Roman" w:cs="Times New Roman" w:eastAsia="Times New Roman" w:hAnsi="Times New Roman"/>
          <w:sz w:val="17"/>
          <w:szCs w:val="17"/>
          <w:b w:val="1"/>
          <w:bCs w:val="1"/>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Placement Agents'</w:t>
            </w:r>
          </w:p>
        </w:tc>
        <w:tc>
          <w:tcPr>
            <w:tcW w:w="1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Net Proceeds to the</w:t>
            </w:r>
          </w:p>
        </w:tc>
      </w:tr>
      <w:tr>
        <w:trPr>
          <w:trHeight w:val="220"/>
        </w:trPr>
        <w:tc>
          <w:tcPr>
            <w:tcW w:w="6720" w:type="dxa"/>
            <w:vAlign w:val="bottom"/>
          </w:tcPr>
          <w:p>
            <w:pPr>
              <w:spacing w:after="0"/>
              <w:rPr>
                <w:sz w:val="19"/>
                <w:szCs w:val="19"/>
                <w:color w:val="auto"/>
              </w:rPr>
            </w:pPr>
          </w:p>
        </w:tc>
        <w:tc>
          <w:tcPr>
            <w:tcW w:w="1580" w:type="dxa"/>
            <w:vAlign w:val="bottom"/>
            <w:gridSpan w:val="2"/>
          </w:tcPr>
          <w:p>
            <w:pPr>
              <w:jc w:val="center"/>
              <w:ind w:right="100"/>
              <w:spacing w:after="0" w:line="220" w:lineRule="exact"/>
              <w:rPr>
                <w:sz w:val="20"/>
                <w:szCs w:val="20"/>
                <w:color w:val="auto"/>
              </w:rPr>
            </w:pPr>
            <w:r>
              <w:rPr>
                <w:rFonts w:ascii="Times New Roman" w:cs="Times New Roman" w:eastAsia="Times New Roman" w:hAnsi="Times New Roman"/>
                <w:sz w:val="14"/>
                <w:szCs w:val="14"/>
                <w:b w:val="1"/>
                <w:bCs w:val="1"/>
                <w:color w:val="auto"/>
              </w:rPr>
              <w:t>Price to the Public</w:t>
            </w:r>
            <w:r>
              <w:rPr>
                <w:rFonts w:ascii="Times New Roman" w:cs="Times New Roman" w:eastAsia="Times New Roman" w:hAnsi="Times New Roman"/>
                <w:sz w:val="23"/>
                <w:szCs w:val="23"/>
                <w:b w:val="1"/>
                <w:bCs w:val="1"/>
                <w:color w:val="auto"/>
                <w:vertAlign w:val="superscript"/>
              </w:rPr>
              <w:t>(1)</w:t>
            </w:r>
          </w:p>
        </w:tc>
        <w:tc>
          <w:tcPr>
            <w:tcW w:w="1480" w:type="dxa"/>
            <w:vAlign w:val="bottom"/>
            <w:gridSpan w:val="2"/>
          </w:tcPr>
          <w:p>
            <w:pPr>
              <w:jc w:val="center"/>
              <w:ind w:right="100"/>
              <w:spacing w:after="0" w:line="220" w:lineRule="exact"/>
              <w:rPr>
                <w:sz w:val="20"/>
                <w:szCs w:val="20"/>
                <w:color w:val="auto"/>
              </w:rPr>
            </w:pPr>
            <w:r>
              <w:rPr>
                <w:rFonts w:ascii="Times New Roman" w:cs="Times New Roman" w:eastAsia="Times New Roman" w:hAnsi="Times New Roman"/>
                <w:sz w:val="14"/>
                <w:szCs w:val="14"/>
                <w:b w:val="1"/>
                <w:bCs w:val="1"/>
                <w:color w:val="auto"/>
                <w:w w:val="87"/>
              </w:rPr>
              <w:t>Fee</w:t>
            </w:r>
            <w:r>
              <w:rPr>
                <w:rFonts w:ascii="Times New Roman" w:cs="Times New Roman" w:eastAsia="Times New Roman" w:hAnsi="Times New Roman"/>
                <w:sz w:val="23"/>
                <w:szCs w:val="23"/>
                <w:b w:val="1"/>
                <w:bCs w:val="1"/>
                <w:color w:val="auto"/>
                <w:w w:val="87"/>
                <w:vertAlign w:val="superscript"/>
              </w:rPr>
              <w:t>(2)</w:t>
            </w:r>
          </w:p>
        </w:tc>
        <w:tc>
          <w:tcPr>
            <w:tcW w:w="1500" w:type="dxa"/>
            <w:vAlign w:val="bottom"/>
          </w:tcPr>
          <w:p>
            <w:pPr>
              <w:jc w:val="center"/>
              <w:ind w:right="28"/>
              <w:spacing w:after="0" w:line="220" w:lineRule="exact"/>
              <w:rPr>
                <w:sz w:val="20"/>
                <w:szCs w:val="20"/>
                <w:color w:val="auto"/>
              </w:rPr>
            </w:pPr>
            <w:r>
              <w:rPr>
                <w:rFonts w:ascii="Times New Roman" w:cs="Times New Roman" w:eastAsia="Times New Roman" w:hAnsi="Times New Roman"/>
                <w:sz w:val="14"/>
                <w:szCs w:val="14"/>
                <w:b w:val="1"/>
                <w:bCs w:val="1"/>
                <w:color w:val="auto"/>
                <w:w w:val="94"/>
              </w:rPr>
              <w:t>Corporation</w:t>
            </w:r>
            <w:r>
              <w:rPr>
                <w:rFonts w:ascii="Times New Roman" w:cs="Times New Roman" w:eastAsia="Times New Roman" w:hAnsi="Times New Roman"/>
                <w:sz w:val="23"/>
                <w:szCs w:val="23"/>
                <w:b w:val="1"/>
                <w:bCs w:val="1"/>
                <w:color w:val="auto"/>
                <w:w w:val="94"/>
                <w:vertAlign w:val="superscript"/>
              </w:rPr>
              <w:t>(3)(4)</w:t>
            </w:r>
          </w:p>
        </w:tc>
      </w:tr>
      <w:tr>
        <w:trPr>
          <w:trHeight w:val="163"/>
        </w:trPr>
        <w:tc>
          <w:tcPr>
            <w:tcW w:w="6720" w:type="dxa"/>
            <w:vAlign w:val="bottom"/>
            <w:tcBorders>
              <w:top w:val="single" w:sz="8" w:color="E6EFFF"/>
            </w:tcBorders>
            <w:shd w:val="clear" w:color="auto" w:fill="E6EFFF"/>
          </w:tcPr>
          <w:p>
            <w:pPr>
              <w:spacing w:after="0"/>
              <w:rPr>
                <w:sz w:val="20"/>
                <w:szCs w:val="20"/>
                <w:color w:val="auto"/>
              </w:rPr>
            </w:pPr>
            <w:r>
              <w:rPr>
                <w:rFonts w:ascii="Times New Roman" w:cs="Times New Roman" w:eastAsia="Times New Roman" w:hAnsi="Times New Roman"/>
                <w:sz w:val="14"/>
                <w:szCs w:val="14"/>
                <w:color w:val="auto"/>
              </w:rPr>
              <w:t>Per Offered Share</w:t>
            </w:r>
          </w:p>
        </w:tc>
        <w:tc>
          <w:tcPr>
            <w:tcW w:w="1380" w:type="dxa"/>
            <w:vAlign w:val="bottom"/>
            <w:tcBorders>
              <w:top w:val="single" w:sz="8" w:color="auto"/>
              <w:bottom w:val="single" w:sz="8" w:color="auto"/>
            </w:tcBorders>
            <w:shd w:val="clear" w:color="auto" w:fill="E6EFFF"/>
          </w:tcPr>
          <w:p>
            <w:pPr>
              <w:jc w:val="center"/>
              <w:ind w:left="28"/>
              <w:spacing w:after="0"/>
              <w:rPr>
                <w:sz w:val="20"/>
                <w:szCs w:val="20"/>
                <w:color w:val="auto"/>
              </w:rPr>
            </w:pPr>
            <w:r>
              <w:rPr>
                <w:rFonts w:ascii="Times New Roman" w:cs="Times New Roman" w:eastAsia="Times New Roman" w:hAnsi="Times New Roman"/>
                <w:sz w:val="14"/>
                <w:szCs w:val="14"/>
                <w:color w:val="auto"/>
              </w:rPr>
              <w:t>US$6.51</w:t>
            </w:r>
          </w:p>
        </w:tc>
        <w:tc>
          <w:tcPr>
            <w:tcW w:w="200" w:type="dxa"/>
            <w:vAlign w:val="bottom"/>
            <w:tcBorders>
              <w:top w:val="single" w:sz="8" w:color="E6EFFF"/>
            </w:tcBorders>
            <w:shd w:val="clear" w:color="auto" w:fill="E6EFFF"/>
          </w:tcPr>
          <w:p>
            <w:pPr>
              <w:spacing w:after="0"/>
              <w:rPr>
                <w:sz w:val="14"/>
                <w:szCs w:val="14"/>
                <w:color w:val="auto"/>
              </w:rPr>
            </w:pPr>
          </w:p>
        </w:tc>
        <w:tc>
          <w:tcPr>
            <w:tcW w:w="1260" w:type="dxa"/>
            <w:vAlign w:val="bottom"/>
            <w:tcBorders>
              <w:top w:val="single" w:sz="8" w:color="auto"/>
              <w:bottom w:val="single" w:sz="8" w:color="auto"/>
            </w:tcBorders>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rPr>
              <w:t>US$0.3627</w:t>
            </w:r>
          </w:p>
        </w:tc>
        <w:tc>
          <w:tcPr>
            <w:tcW w:w="220" w:type="dxa"/>
            <w:vAlign w:val="bottom"/>
            <w:tcBorders>
              <w:top w:val="single" w:sz="8" w:color="E6EFFF"/>
            </w:tcBorders>
            <w:shd w:val="clear" w:color="auto" w:fill="E6EFFF"/>
          </w:tcPr>
          <w:p>
            <w:pPr>
              <w:spacing w:after="0"/>
              <w:rPr>
                <w:sz w:val="14"/>
                <w:szCs w:val="14"/>
                <w:color w:val="auto"/>
              </w:rPr>
            </w:pPr>
          </w:p>
        </w:tc>
        <w:tc>
          <w:tcPr>
            <w:tcW w:w="1500" w:type="dxa"/>
            <w:vAlign w:val="bottom"/>
            <w:tcBorders>
              <w:top w:val="single" w:sz="8" w:color="auto"/>
              <w:bottom w:val="single" w:sz="8" w:color="auto"/>
            </w:tcBorders>
            <w:shd w:val="clear" w:color="auto" w:fill="E6EFFF"/>
          </w:tcPr>
          <w:p>
            <w:pPr>
              <w:jc w:val="center"/>
              <w:ind w:right="28"/>
              <w:spacing w:after="0"/>
              <w:rPr>
                <w:sz w:val="20"/>
                <w:szCs w:val="20"/>
                <w:color w:val="auto"/>
              </w:rPr>
            </w:pPr>
            <w:r>
              <w:rPr>
                <w:rFonts w:ascii="Times New Roman" w:cs="Times New Roman" w:eastAsia="Times New Roman" w:hAnsi="Times New Roman"/>
                <w:sz w:val="14"/>
                <w:szCs w:val="14"/>
                <w:color w:val="auto"/>
              </w:rPr>
              <w:t>US$6.14730</w:t>
            </w:r>
          </w:p>
        </w:tc>
      </w:tr>
      <w:tr>
        <w:trPr>
          <w:trHeight w:val="163"/>
        </w:trPr>
        <w:tc>
          <w:tcPr>
            <w:tcW w:w="6720" w:type="dxa"/>
            <w:vAlign w:val="bottom"/>
            <w:tcBorders>
              <w:bottom w:val="single" w:sz="8" w:color="E6EFFF"/>
            </w:tcBorders>
          </w:tcPr>
          <w:p>
            <w:pPr>
              <w:spacing w:after="0"/>
              <w:rPr>
                <w:sz w:val="20"/>
                <w:szCs w:val="20"/>
                <w:color w:val="auto"/>
              </w:rPr>
            </w:pPr>
            <w:r>
              <w:rPr>
                <w:rFonts w:ascii="Times New Roman" w:cs="Times New Roman" w:eastAsia="Times New Roman" w:hAnsi="Times New Roman"/>
                <w:sz w:val="14"/>
                <w:szCs w:val="14"/>
                <w:color w:val="auto"/>
              </w:rPr>
              <w:t>Per Pre-Funded Warrant</w:t>
            </w:r>
          </w:p>
        </w:tc>
        <w:tc>
          <w:tcPr>
            <w:tcW w:w="13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US$6.50999</w:t>
            </w:r>
          </w:p>
        </w:tc>
        <w:tc>
          <w:tcPr>
            <w:tcW w:w="200" w:type="dxa"/>
            <w:vAlign w:val="bottom"/>
            <w:tcBorders>
              <w:bottom w:val="single" w:sz="8" w:color="E6EFFF"/>
            </w:tcBorders>
          </w:tcPr>
          <w:p>
            <w:pPr>
              <w:spacing w:after="0"/>
              <w:rPr>
                <w:sz w:val="14"/>
                <w:szCs w:val="14"/>
                <w:color w:val="auto"/>
              </w:rPr>
            </w:pPr>
          </w:p>
        </w:tc>
        <w:tc>
          <w:tcPr>
            <w:tcW w:w="126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US$0.3627</w:t>
            </w:r>
          </w:p>
        </w:tc>
        <w:tc>
          <w:tcPr>
            <w:tcW w:w="220" w:type="dxa"/>
            <w:vAlign w:val="bottom"/>
            <w:tcBorders>
              <w:bottom w:val="single" w:sz="8" w:color="E6EFFF"/>
            </w:tcBorders>
          </w:tcPr>
          <w:p>
            <w:pPr>
              <w:spacing w:after="0"/>
              <w:rPr>
                <w:sz w:val="14"/>
                <w:szCs w:val="14"/>
                <w:color w:val="auto"/>
              </w:rPr>
            </w:pPr>
          </w:p>
        </w:tc>
        <w:tc>
          <w:tcPr>
            <w:tcW w:w="15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US$6.14729</w:t>
            </w:r>
          </w:p>
        </w:tc>
      </w:tr>
      <w:tr>
        <w:trPr>
          <w:trHeight w:val="163"/>
        </w:trPr>
        <w:tc>
          <w:tcPr>
            <w:tcW w:w="6720" w:type="dxa"/>
            <w:vAlign w:val="bottom"/>
            <w:shd w:val="clear" w:color="auto" w:fill="E6EFFF"/>
          </w:tcPr>
          <w:p>
            <w:pPr>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shd w:val="clear" w:color="auto" w:fill="E6EFFF"/>
          </w:tcPr>
          <w:p>
            <w:pPr>
              <w:jc w:val="center"/>
              <w:ind w:left="28"/>
              <w:spacing w:after="0"/>
              <w:rPr>
                <w:sz w:val="20"/>
                <w:szCs w:val="20"/>
                <w:color w:val="auto"/>
              </w:rPr>
            </w:pPr>
            <w:r>
              <w:rPr>
                <w:rFonts w:ascii="Times New Roman" w:cs="Times New Roman" w:eastAsia="Times New Roman" w:hAnsi="Times New Roman"/>
                <w:sz w:val="14"/>
                <w:szCs w:val="14"/>
                <w:color w:val="auto"/>
              </w:rPr>
              <w:t>US$175,009,911.45</w:t>
            </w:r>
          </w:p>
        </w:tc>
        <w:tc>
          <w:tcPr>
            <w:tcW w:w="200" w:type="dxa"/>
            <w:vAlign w:val="bottom"/>
            <w:shd w:val="clear" w:color="auto" w:fill="E6EFFF"/>
          </w:tcPr>
          <w:p>
            <w:pPr>
              <w:spacing w:after="0"/>
              <w:rPr>
                <w:sz w:val="14"/>
                <w:szCs w:val="14"/>
                <w:color w:val="auto"/>
              </w:rPr>
            </w:pPr>
          </w:p>
        </w:tc>
        <w:tc>
          <w:tcPr>
            <w:tcW w:w="1260" w:type="dxa"/>
            <w:vAlign w:val="bottom"/>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rPr>
              <w:t>US$9,750,545.04</w:t>
            </w:r>
          </w:p>
        </w:tc>
        <w:tc>
          <w:tcPr>
            <w:tcW w:w="220" w:type="dxa"/>
            <w:vAlign w:val="bottom"/>
            <w:shd w:val="clear" w:color="auto" w:fill="E6EFFF"/>
          </w:tcPr>
          <w:p>
            <w:pPr>
              <w:spacing w:after="0"/>
              <w:rPr>
                <w:sz w:val="14"/>
                <w:szCs w:val="14"/>
                <w:color w:val="auto"/>
              </w:rPr>
            </w:pPr>
          </w:p>
        </w:tc>
        <w:tc>
          <w:tcPr>
            <w:tcW w:w="1500" w:type="dxa"/>
            <w:vAlign w:val="bottom"/>
            <w:shd w:val="clear" w:color="auto" w:fill="E6EFFF"/>
          </w:tcPr>
          <w:p>
            <w:pPr>
              <w:jc w:val="center"/>
              <w:ind w:right="28"/>
              <w:spacing w:after="0"/>
              <w:rPr>
                <w:sz w:val="20"/>
                <w:szCs w:val="20"/>
                <w:color w:val="auto"/>
              </w:rPr>
            </w:pPr>
            <w:r>
              <w:rPr>
                <w:rFonts w:ascii="Times New Roman" w:cs="Times New Roman" w:eastAsia="Times New Roman" w:hAnsi="Times New Roman"/>
                <w:sz w:val="14"/>
                <w:szCs w:val="14"/>
                <w:color w:val="auto"/>
              </w:rPr>
              <w:t>US$165,259,366.41</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142" w:lineRule="exact"/>
        <w:rPr>
          <w:sz w:val="20"/>
          <w:szCs w:val="20"/>
          <w:color w:val="auto"/>
        </w:rPr>
      </w:pPr>
    </w:p>
    <w:p>
      <w:pPr>
        <w:ind w:left="520" w:hanging="342"/>
        <w:spacing w:after="0" w:line="272" w:lineRule="auto"/>
        <w:tabs>
          <w:tab w:leader="none" w:pos="54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Price and the issuance, Warrant Exercise Price and other terms of the Warrants were determined by arm's length negotiation between the Corporation and the Placement Agents with reference to the then-current market price of the Common Shares.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 w:name="page3"/>
    <w:bookmarkEnd w:id="2"/>
    <w:p>
      <w:pPr>
        <w:jc w:val="both"/>
        <w:ind w:left="520" w:hanging="342"/>
        <w:spacing w:after="0" w:line="247" w:lineRule="auto"/>
        <w:tabs>
          <w:tab w:leader="none" w:pos="54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has agreed to pay the Placement Agents a cash commission equal to 6.0% of the total gross proceeds of the Offering (the “</w:t>
      </w:r>
      <w:r>
        <w:rPr>
          <w:rFonts w:ascii="Times New Roman" w:cs="Times New Roman" w:eastAsia="Times New Roman" w:hAnsi="Times New Roman"/>
          <w:sz w:val="17"/>
          <w:szCs w:val="17"/>
          <w:b w:val="1"/>
          <w:bCs w:val="1"/>
          <w:color w:val="auto"/>
        </w:rPr>
        <w:t>Placement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Agents’ Fee</w:t>
      </w:r>
      <w:r>
        <w:rPr>
          <w:rFonts w:ascii="Times New Roman" w:cs="Times New Roman" w:eastAsia="Times New Roman" w:hAnsi="Times New Roman"/>
          <w:sz w:val="17"/>
          <w:szCs w:val="17"/>
          <w:color w:val="auto"/>
        </w:rPr>
        <w:t>”). The Placement Agents’ Fee will be reduced to 3.0% with respect to total gross proceeds received from the sale of Securities to purchasers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identified by the Corporation (the “</w:t>
      </w:r>
      <w:r>
        <w:rPr>
          <w:rFonts w:ascii="Times New Roman" w:cs="Times New Roman" w:eastAsia="Times New Roman" w:hAnsi="Times New Roman"/>
          <w:sz w:val="17"/>
          <w:szCs w:val="17"/>
          <w:b w:val="1"/>
          <w:bCs w:val="1"/>
          <w:color w:val="auto"/>
        </w:rPr>
        <w:t>President’s List</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520" w:hanging="342"/>
        <w:spacing w:after="0" w:line="237" w:lineRule="auto"/>
        <w:tabs>
          <w:tab w:leader="none" w:pos="54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a total of 3,840,500 Offered Shares, representing gross proceeds of US$25,001,655 being purchased under the President’s List. See “</w:t>
      </w:r>
      <w:r>
        <w:rPr>
          <w:rFonts w:ascii="Times New Roman" w:cs="Times New Roman" w:eastAsia="Times New Roman" w:hAnsi="Times New Roman"/>
          <w:sz w:val="17"/>
          <w:szCs w:val="17"/>
          <w:i w:val="1"/>
          <w:iCs w:val="1"/>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w:t>
      </w:r>
      <w:r>
        <w:rPr>
          <w:rFonts w:ascii="Times New Roman" w:cs="Times New Roman" w:eastAsia="Times New Roman" w:hAnsi="Times New Roman"/>
          <w:sz w:val="17"/>
          <w:szCs w:val="17"/>
          <w:color w:val="auto"/>
        </w:rPr>
        <w:t>” for a description of the Placement Agents’ compensation.</w:t>
      </w:r>
    </w:p>
    <w:p>
      <w:pPr>
        <w:spacing w:after="0" w:line="1" w:lineRule="exact"/>
        <w:rPr>
          <w:rFonts w:ascii="Times New Roman" w:cs="Times New Roman" w:eastAsia="Times New Roman" w:hAnsi="Times New Roman"/>
          <w:sz w:val="17"/>
          <w:szCs w:val="17"/>
          <w:color w:val="auto"/>
        </w:rPr>
      </w:pPr>
    </w:p>
    <w:p>
      <w:pPr>
        <w:jc w:val="both"/>
        <w:ind w:left="520" w:hanging="342"/>
        <w:spacing w:after="0" w:line="244" w:lineRule="auto"/>
        <w:tabs>
          <w:tab w:leader="none" w:pos="54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deducting the Placement Agents’ Fee, but before deducting the expenses of the Offering (estimated to be approximately US$1,000,000 which together with the Placement Agents’ Fee, will be paid from the gross proceeds of the Offering). The Placement Agents have also agreed to reimburse the Corporation for certain expenses.</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Closing of the Offering is expected to occur on or about October 31, 2025, or such other date as the Corporation and the Placement Agents may agree (the “</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w:t>
      </w:r>
    </w:p>
    <w:p>
      <w:pPr>
        <w:spacing w:after="0" w:line="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It is expected that the Offered Shares distributed under this Prospectus Supplement will be available for delivery in the book-based system of registration to be registered in the name of CDS Clearing and Depository Services Inc. ("</w:t>
      </w:r>
      <w:r>
        <w:rPr>
          <w:rFonts w:ascii="Times New Roman" w:cs="Times New Roman" w:eastAsia="Times New Roman" w:hAnsi="Times New Roman"/>
          <w:sz w:val="17"/>
          <w:szCs w:val="17"/>
          <w:b w:val="1"/>
          <w:bCs w:val="1"/>
          <w:color w:val="auto"/>
        </w:rPr>
        <w:t>CDS</w:t>
      </w:r>
      <w:r>
        <w:rPr>
          <w:rFonts w:ascii="Times New Roman" w:cs="Times New Roman" w:eastAsia="Times New Roman" w:hAnsi="Times New Roman"/>
          <w:sz w:val="17"/>
          <w:szCs w:val="17"/>
          <w:color w:val="auto"/>
        </w:rPr>
        <w:t>") or its nominee or The Depositary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and deposited with CDS or DTC on the Closing Date. Unless otherwise determined by the Corporation and the Purchasers, the Purchasers of Offered Shares will receive only a customer confirmation from the registered dealer who is a CDS or DTC participant (a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through which the Offered Shares are purchased. For purchasers receiving Offered Shares through CDS's book-based system, CDS will record the Participants who hold Offered Shares on behalf of owners who have purchased Offered Shares in accordance with the book-based system. Certificates representing the Pre-Funded Warrants and Warrants will be in definitive form and available for delivery to Purchasers at the applicable Closing Date of the Offering. The Corporation expects that delivery of the Pre-Funded Warrants will be made against payment therefor on or about the applicable Closing Date.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This Prospectus Supplement is filed pursuant to (i) the Base Shelf Prospectus filed in each of the provinces and territories of Canada, and (ii) the Base Shelf Prospectus as a part of the Corporation's Registration Statement.</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issued and outstanding Common Shares are listed in Canada on Cboe Canada Inc. (“</w:t>
      </w:r>
      <w:r>
        <w:rPr>
          <w:rFonts w:ascii="Times New Roman" w:cs="Times New Roman" w:eastAsia="Times New Roman" w:hAnsi="Times New Roman"/>
          <w:sz w:val="17"/>
          <w:szCs w:val="17"/>
          <w:b w:val="1"/>
          <w:bCs w:val="1"/>
          <w:color w:val="auto"/>
        </w:rPr>
        <w:t>Cboe Canada</w:t>
      </w:r>
      <w:r>
        <w:rPr>
          <w:rFonts w:ascii="Times New Roman" w:cs="Times New Roman" w:eastAsia="Times New Roman" w:hAnsi="Times New Roman"/>
          <w:sz w:val="17"/>
          <w:szCs w:val="17"/>
          <w:color w:val="auto"/>
        </w:rPr>
        <w:t>”) and in the United States on the NYSE American LLC (the “</w:t>
      </w:r>
      <w:r>
        <w:rPr>
          <w:rFonts w:ascii="Times New Roman" w:cs="Times New Roman" w:eastAsia="Times New Roman" w:hAnsi="Times New Roman"/>
          <w:sz w:val="17"/>
          <w:szCs w:val="17"/>
          <w:b w:val="1"/>
          <w:bCs w:val="1"/>
          <w:color w:val="auto"/>
        </w:rPr>
        <w:t>NYSE American</w:t>
      </w:r>
      <w:r>
        <w:rPr>
          <w:rFonts w:ascii="Times New Roman" w:cs="Times New Roman" w:eastAsia="Times New Roman" w:hAnsi="Times New Roman"/>
          <w:sz w:val="17"/>
          <w:szCs w:val="17"/>
          <w:color w:val="auto"/>
        </w:rPr>
        <w:t>”) in each case under the trading symbol “CYBN”. On October 27, 2025, the last trading day prior to the filing of this Prospectus Supplement, the closing prices of the Common Shares listed on Cboe Canada and the NYSE American were C$9.03 and US$6.51, respectively.</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 xml:space="preserve">The Corporation has applied to list the Offered Shares, Warrant Shares and Pre-Funded Warrant Shares offered by this Prospectus Supplement on Cboe Canada and the NYSE American, respectively. Listing will be subject to the Corporation fulfilling all of the listing requirements of Cboe Canada and the NYSE American, as applicable. </w:t>
      </w:r>
      <w:r>
        <w:rPr>
          <w:rFonts w:ascii="Times New Roman" w:cs="Times New Roman" w:eastAsia="Times New Roman" w:hAnsi="Times New Roman"/>
          <w:sz w:val="17"/>
          <w:szCs w:val="17"/>
          <w:b w:val="1"/>
          <w:bCs w:val="1"/>
          <w:color w:val="auto"/>
        </w:rPr>
        <w:t>There will be no market through which the Pre-Funded Warrants or Warrants may be sold and purchasers may not be able to resell the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b w:val="1"/>
          <w:bCs w:val="1"/>
          <w:color w:val="auto"/>
        </w:rPr>
        <w:t>Pre-Funded Warrants or Warrants purchased in the Offering. This may affect the pricing of the Pre-Funded Warrants or the Warrants in the secondary market, the transparency and availability of trading prices, the liquidity of the Pre-Funded Warrants or Warrants and the extent of issuer regulation.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w:t>
      </w:r>
    </w:p>
    <w:p>
      <w:pPr>
        <w:spacing w:after="0" w:line="1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b w:val="1"/>
          <w:bCs w:val="1"/>
          <w:color w:val="auto"/>
        </w:rPr>
        <w:t>Prospective investors should be aware that the acquisition of the Securities described herein may have tax consequences both in Canada and the United States. Such consequences, for investors who are resident in, or citizens of, the United States, may not be described fully in this Prospectus Supplement or the accompanying Prospectus, including the Canadian federal income tax consequences applicable to a foreign controlled Canadian corporation that acquires Securities pursuant to this Offering. Investors should read the tax discussion in this Prospectus Supplement and consult their own tax advisors with respect to their own particular circumstances. See "</w:t>
      </w:r>
      <w:r>
        <w:rPr>
          <w:rFonts w:ascii="Times New Roman" w:cs="Times New Roman" w:eastAsia="Times New Roman" w:hAnsi="Times New Roman"/>
          <w:sz w:val="17"/>
          <w:szCs w:val="17"/>
          <w:b w:val="1"/>
          <w:bCs w:val="1"/>
          <w:i w:val="1"/>
          <w:iCs w:val="1"/>
          <w:color w:val="auto"/>
        </w:rPr>
        <w:t>Certain Canadian Income Tax Considerations</w:t>
      </w: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b w:val="1"/>
          <w:bCs w:val="1"/>
          <w:i w:val="1"/>
          <w:iCs w:val="1"/>
          <w:color w:val="auto"/>
        </w:rPr>
        <w:t>Certain United States Federal Income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Considerations to U.S. Holders</w:t>
      </w:r>
      <w:r>
        <w:rPr>
          <w:rFonts w:ascii="Times New Roman" w:cs="Times New Roman" w:eastAsia="Times New Roman" w:hAnsi="Times New Roman"/>
          <w:sz w:val="17"/>
          <w:szCs w:val="17"/>
          <w:b w:val="1"/>
          <w:bCs w:val="1"/>
          <w:color w:val="auto"/>
        </w:rPr>
        <w:t>" and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Certain legal matters will be passed upon on behalf of the Corporation by Aird &amp; Berlis LLP, with respect to Canadian legal matters and Dorsey &amp; Whitney LLP with respect to United States legal matters, and on behalf of the Placement Agents by Bennett Jones LLP with respect to certain Canadian legal matters, and by Davis Polk &amp; Wardwell LLP with respect to certain United States legal matters.</w:t>
      </w:r>
    </w:p>
    <w:p>
      <w:pPr>
        <w:spacing w:after="0" w:line="1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b w:val="1"/>
          <w:bCs w:val="1"/>
          <w:color w:val="auto"/>
        </w:rPr>
        <w:t>The Offering is being made by a Canadian issuer that is permitted, under the multijurisdictional disclosure system adopted by the United States and Canada ("MJDS"), to prepare this Prospectus Supplement and the accompanying Base Shelf Prospectus in accordance with Canadian disclosure requirements. Prospective investors in the United States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Such financial statements are subject to the standards of the Public Company Accounting Oversight Board (United States) and the SEC independence standards.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 w:name="page4"/>
    <w:bookmarkEnd w:id="3"/>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Securities.</w:t>
      </w:r>
    </w:p>
    <w:p>
      <w:pPr>
        <w:spacing w:after="0" w:line="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Canada, and that the majority of its officers and directors are not residents of the United States, that some or all of the experts named in this Prospectus Supplement and in the accompanying Base Shelf Prospectus are not residents of the United States, and that a substantial portion of the assets of the Corporation and such persons are located outside the United States. See </w:t>
      </w:r>
      <w:r>
        <w:rPr>
          <w:rFonts w:ascii="Times New Roman" w:cs="Times New Roman" w:eastAsia="Times New Roman" w:hAnsi="Times New Roman"/>
          <w:sz w:val="17"/>
          <w:szCs w:val="17"/>
          <w:b w:val="1"/>
          <w:bCs w:val="1"/>
          <w:i w:val="1"/>
          <w:iCs w:val="1"/>
          <w:color w:val="auto"/>
        </w:rPr>
        <w:t>"Enforcement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Civil Liabilities by U.S. Investors"</w:t>
      </w:r>
      <w:r>
        <w:rPr>
          <w:rFonts w:ascii="Times New Roman" w:cs="Times New Roman" w:eastAsia="Times New Roman" w:hAnsi="Times New Roman"/>
          <w:sz w:val="17"/>
          <w:szCs w:val="17"/>
          <w:b w:val="1"/>
          <w:bCs w:val="1"/>
          <w:color w:val="auto"/>
        </w:rPr>
        <w:t>.</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OR REGULATOR HAS APPROVED OR DISAPPROVED THE SECURITIES NOR PASSED UPON THE ACCURACY OR ADEQUACY OF THE PROSPECTUS. ANY REPRESENTATION TO THE CONTRARY IS A CRIMINAL OFFENCE.</w:t>
      </w:r>
    </w:p>
    <w:p>
      <w:pPr>
        <w:spacing w:after="0" w:line="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Except as otherwise indicated, references to "US$" and "$" are to United States dollars and references to "Canadian dollars", or "C$" are to Canadian dollars. See "</w:t>
      </w:r>
      <w:r>
        <w:rPr>
          <w:rFonts w:ascii="Times New Roman" w:cs="Times New Roman" w:eastAsia="Times New Roman" w:hAnsi="Times New Roman"/>
          <w:sz w:val="17"/>
          <w:szCs w:val="17"/>
          <w:i w:val="1"/>
          <w:iCs w:val="1"/>
          <w:color w:val="auto"/>
        </w:rPr>
        <w:t>Currency and Exchange Rate Information</w:t>
      </w:r>
      <w:r>
        <w:rPr>
          <w:rFonts w:ascii="Times New Roman" w:cs="Times New Roman" w:eastAsia="Times New Roman" w:hAnsi="Times New Roman"/>
          <w:sz w:val="17"/>
          <w:szCs w:val="17"/>
          <w:color w:val="auto"/>
        </w:rPr>
        <w:t>". Certain totals, subtotals and percentages may not precisely reconcile due to rounding.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Corporation's head and registered office is located at 100 King Street West, Suite 5600, Toronto, ON M5X 1C9.</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Investors should assume that the information appearing in this Prospectus Supplement, the Base Shelf Prospectus and the documents incorporated by reference herein and therein is accurate only as of the respective dates of the documents in which such information appears, regardless of the time of delivery of this Prospectus Supplement or of any sale of the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Joint Placement Agents</w:t>
      </w:r>
    </w:p>
    <w:p>
      <w:pPr>
        <w:spacing w:after="0" w:line="152"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b w:val="1"/>
          <w:bCs w:val="1"/>
          <w:color w:val="auto"/>
        </w:rPr>
        <w:t>Jefferies</w:t>
        <w:tab/>
        <w:t>TD Cowen</w:t>
        <w:tab/>
        <w:t>Cantor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Bloom Burton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tcBorders>
              <w:right w:val="single" w:sz="8" w:color="EEEEEE"/>
            </w:tcBorders>
            <w:gridSpan w:val="25"/>
            <w:shd w:val="clear" w:color="auto" w:fill="EEEEEE"/>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1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2"/>
                <w:szCs w:val="12"/>
                <w:color w:val="0000EE"/>
                <w:w w:val="71"/>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0000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1140" w:type="dxa"/>
            <w:vAlign w:val="bottom"/>
            <w:gridSpan w:val="25"/>
          </w:tcPr>
          <w:p>
            <w:pPr>
              <w:spacing w:after="0" w:line="140" w:lineRule="exact"/>
              <w:rPr>
                <w:sz w:val="20"/>
                <w:szCs w:val="20"/>
                <w:color w:val="auto"/>
              </w:rPr>
            </w:pPr>
            <w:r>
              <w:rPr>
                <w:rFonts w:ascii="Times New Roman" w:cs="Times New Roman" w:eastAsia="Times New Roman" w:hAnsi="Times New Roman"/>
                <w:sz w:val="14"/>
                <w:szCs w:val="14"/>
                <w:color w:val="0000EE"/>
              </w:rPr>
              <w:t>CAUTIONARY STATEMENT REGARDING FORWARD-LOOKING INFORMATION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0000EE"/>
                <w:w w:val="71"/>
              </w:rPr>
              <w:t>S-1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140" w:type="dxa"/>
            <w:vAlign w:val="bottom"/>
            <w:tcBorders>
              <w:top w:val="single" w:sz="8" w:color="0000EE"/>
            </w:tcBorders>
            <w:gridSpan w:val="23"/>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DOCUMENTS INCORPORATED BY REFERENCE</w:t>
            </w:r>
          </w:p>
        </w:tc>
        <w:tc>
          <w:tcPr>
            <w:tcW w:w="6000" w:type="dxa"/>
            <w:vAlign w:val="bottom"/>
            <w:tcBorders>
              <w:right w:val="single" w:sz="8" w:color="EEEEEE"/>
            </w:tcBorders>
            <w:gridSpan w:val="2"/>
            <w:shd w:val="clear" w:color="auto" w:fill="EEEEEE"/>
          </w:tcPr>
          <w:p>
            <w:pPr>
              <w:spacing w:after="0"/>
              <w:rPr>
                <w:sz w:val="13"/>
                <w:szCs w:val="13"/>
                <w:color w:val="auto"/>
              </w:rPr>
            </w:pPr>
          </w:p>
        </w:tc>
        <w:tc>
          <w:tcPr>
            <w:tcW w:w="140" w:type="dxa"/>
            <w:vAlign w:val="bottom"/>
            <w:tcBorders>
              <w:top w:val="single" w:sz="8" w:color="0000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2"/>
                <w:szCs w:val="12"/>
                <w:color w:val="0000EE"/>
                <w:w w:val="71"/>
              </w:rPr>
              <w:t>S-4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0000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1140" w:type="dxa"/>
            <w:vAlign w:val="bottom"/>
            <w:gridSpan w:val="25"/>
          </w:tcPr>
          <w:p>
            <w:pPr>
              <w:spacing w:after="0" w:line="140" w:lineRule="exact"/>
              <w:rPr>
                <w:sz w:val="20"/>
                <w:szCs w:val="20"/>
                <w:color w:val="auto"/>
              </w:rPr>
            </w:pPr>
            <w:r>
              <w:rPr>
                <w:rFonts w:ascii="Times New Roman" w:cs="Times New Roman" w:eastAsia="Times New Roman" w:hAnsi="Times New Roman"/>
                <w:sz w:val="14"/>
                <w:szCs w:val="14"/>
                <w:color w:val="0000EE"/>
              </w:rPr>
              <w:t>DOCUMENTS FILED AS PART OF THE REGISTRATION STATEMENT</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0000EE"/>
                <w:w w:val="71"/>
              </w:rPr>
              <w:t>S-5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380" w:type="dxa"/>
            <w:vAlign w:val="bottom"/>
            <w:tcBorders>
              <w:top w:val="single" w:sz="8" w:color="0000EE"/>
              <w:bottom w:val="single" w:sz="8" w:color="0000EE"/>
            </w:tcBorders>
            <w:gridSpan w:val="17"/>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CURRENCY AND EXCHANGE RATE INFORMATION</w:t>
            </w:r>
          </w:p>
        </w:tc>
        <w:tc>
          <w:tcPr>
            <w:tcW w:w="1020" w:type="dxa"/>
            <w:vAlign w:val="bottom"/>
            <w:tcBorders>
              <w:top w:val="single" w:sz="8" w:color="0000EE"/>
              <w:bottom w:val="single" w:sz="8" w:color="EEEEEE"/>
            </w:tcBorders>
            <w:gridSpan w:val="4"/>
            <w:shd w:val="clear" w:color="auto" w:fill="EEEEEE"/>
          </w:tcPr>
          <w:p>
            <w:pPr>
              <w:spacing w:after="0"/>
              <w:rPr>
                <w:sz w:val="14"/>
                <w:szCs w:val="14"/>
                <w:color w:val="auto"/>
              </w:rPr>
            </w:pPr>
          </w:p>
        </w:tc>
        <w:tc>
          <w:tcPr>
            <w:tcW w:w="6740" w:type="dxa"/>
            <w:vAlign w:val="bottom"/>
            <w:tcBorders>
              <w:bottom w:val="single" w:sz="8" w:color="EEEEEE"/>
              <w:right w:val="single" w:sz="8" w:color="EEEEEE"/>
            </w:tcBorders>
            <w:gridSpan w:val="4"/>
            <w:shd w:val="clear" w:color="auto" w:fill="EEEEEE"/>
          </w:tcPr>
          <w:p>
            <w:pPr>
              <w:spacing w:after="0"/>
              <w:rPr>
                <w:sz w:val="14"/>
                <w:szCs w:val="14"/>
                <w:color w:val="auto"/>
              </w:rPr>
            </w:pPr>
          </w:p>
        </w:tc>
        <w:tc>
          <w:tcPr>
            <w:tcW w:w="140" w:type="dxa"/>
            <w:vAlign w:val="bottom"/>
            <w:tcBorders>
              <w:top w:val="single" w:sz="8" w:color="0000EE"/>
              <w:bottom w:val="single" w:sz="8" w:color="0000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2"/>
                <w:szCs w:val="12"/>
                <w:color w:val="0000EE"/>
                <w:w w:val="71"/>
              </w:rPr>
              <w:t>S-5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1140" w:type="dxa"/>
            <w:vAlign w:val="bottom"/>
            <w:gridSpan w:val="25"/>
          </w:tcPr>
          <w:p>
            <w:pPr>
              <w:spacing w:after="0" w:line="140" w:lineRule="exact"/>
              <w:rPr>
                <w:sz w:val="20"/>
                <w:szCs w:val="20"/>
                <w:color w:val="auto"/>
              </w:rPr>
            </w:pPr>
            <w:r>
              <w:rPr>
                <w:rFonts w:ascii="Times New Roman" w:cs="Times New Roman" w:eastAsia="Times New Roman" w:hAnsi="Times New Roman"/>
                <w:sz w:val="14"/>
                <w:szCs w:val="14"/>
                <w:color w:val="0000EE"/>
              </w:rPr>
              <w:t>ADDITIONAL INFORMATION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0000EE"/>
                <w:w w:val="71"/>
              </w:rPr>
              <w:t>S-6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20" w:type="dxa"/>
            <w:vAlign w:val="bottom"/>
            <w:tcBorders>
              <w:top w:val="single" w:sz="8" w:color="0000EE"/>
            </w:tcBorders>
            <w:gridSpan w:val="8"/>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THE CORPORATION</w:t>
            </w:r>
          </w:p>
        </w:tc>
        <w:tc>
          <w:tcPr>
            <w:tcW w:w="9220" w:type="dxa"/>
            <w:vAlign w:val="bottom"/>
            <w:tcBorders>
              <w:right w:val="single" w:sz="8" w:color="EEEEEE"/>
            </w:tcBorders>
            <w:gridSpan w:val="17"/>
            <w:shd w:val="clear" w:color="auto" w:fill="EEEEEE"/>
          </w:tcPr>
          <w:p>
            <w:pPr>
              <w:spacing w:after="0"/>
              <w:rPr>
                <w:sz w:val="13"/>
                <w:szCs w:val="13"/>
                <w:color w:val="auto"/>
              </w:rPr>
            </w:pPr>
          </w:p>
        </w:tc>
        <w:tc>
          <w:tcPr>
            <w:tcW w:w="140" w:type="dxa"/>
            <w:vAlign w:val="bottom"/>
            <w:tcBorders>
              <w:top w:val="single" w:sz="8" w:color="0000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2"/>
                <w:szCs w:val="12"/>
                <w:color w:val="0000EE"/>
                <w:w w:val="71"/>
              </w:rPr>
              <w:t>S-6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EEEEEE"/>
          </w:tcPr>
          <w:p>
            <w:pPr>
              <w:spacing w:after="0"/>
              <w:rPr>
                <w:sz w:val="2"/>
                <w:szCs w:val="2"/>
                <w:color w:val="auto"/>
              </w:rPr>
            </w:pPr>
          </w:p>
        </w:tc>
        <w:tc>
          <w:tcPr>
            <w:tcW w:w="280" w:type="dxa"/>
            <w:vAlign w:val="bottom"/>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0000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3360" w:type="dxa"/>
            <w:vAlign w:val="bottom"/>
            <w:tcBorders>
              <w:bottom w:val="single" w:sz="8" w:color="0000EE"/>
            </w:tcBorders>
            <w:gridSpan w:val="16"/>
          </w:tcPr>
          <w:p>
            <w:pPr>
              <w:spacing w:after="0" w:line="140" w:lineRule="exact"/>
              <w:rPr>
                <w:sz w:val="20"/>
                <w:szCs w:val="20"/>
                <w:color w:val="auto"/>
              </w:rPr>
            </w:pPr>
            <w:r>
              <w:rPr>
                <w:rFonts w:ascii="Times New Roman" w:cs="Times New Roman" w:eastAsia="Times New Roman" w:hAnsi="Times New Roman"/>
                <w:sz w:val="14"/>
                <w:szCs w:val="14"/>
                <w:color w:val="0000EE"/>
              </w:rPr>
              <w:t>DESCRIPTION OF SECURITIES BEING DISTRIBUTE</w:t>
            </w:r>
          </w:p>
        </w:tc>
        <w:tc>
          <w:tcPr>
            <w:tcW w:w="7780" w:type="dxa"/>
            <w:vAlign w:val="bottom"/>
            <w:gridSpan w:val="9"/>
          </w:tcPr>
          <w:p>
            <w:pPr>
              <w:spacing w:after="0"/>
              <w:rPr>
                <w:sz w:val="12"/>
                <w:szCs w:val="12"/>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2"/>
                <w:szCs w:val="12"/>
                <w:color w:val="0000EE"/>
                <w:w w:val="71"/>
              </w:rPr>
              <w:t>S-9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1140" w:type="dxa"/>
            <w:vAlign w:val="bottom"/>
            <w:tcBorders>
              <w:right w:val="single" w:sz="8" w:color="EEEEEE"/>
            </w:tcBorders>
            <w:gridSpan w:val="25"/>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USE OF PROCEEDS</w:t>
            </w:r>
          </w:p>
        </w:tc>
        <w:tc>
          <w:tcPr>
            <w:tcW w:w="1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9"/>
                <w:szCs w:val="9"/>
                <w:color w:val="0000EE"/>
                <w:w w:val="70"/>
              </w:rPr>
              <w:t>S-13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280" w:type="dxa"/>
            <w:vAlign w:val="bottom"/>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0000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300" w:type="dxa"/>
            <w:vAlign w:val="bottom"/>
            <w:tcBorders>
              <w:bottom w:val="single" w:sz="8" w:color="0000EE"/>
            </w:tcBorders>
            <w:gridSpan w:val="11"/>
          </w:tcPr>
          <w:p>
            <w:pPr>
              <w:spacing w:after="0" w:line="140" w:lineRule="exact"/>
              <w:rPr>
                <w:sz w:val="20"/>
                <w:szCs w:val="20"/>
                <w:color w:val="auto"/>
              </w:rPr>
            </w:pPr>
            <w:r>
              <w:rPr>
                <w:rFonts w:ascii="Times New Roman" w:cs="Times New Roman" w:eastAsia="Times New Roman" w:hAnsi="Times New Roman"/>
                <w:sz w:val="14"/>
                <w:szCs w:val="14"/>
                <w:color w:val="0000EE"/>
              </w:rPr>
              <w:t>CONSOLIDATED CAPITALIZATION</w:t>
            </w:r>
          </w:p>
        </w:tc>
        <w:tc>
          <w:tcPr>
            <w:tcW w:w="8840" w:type="dxa"/>
            <w:vAlign w:val="bottom"/>
            <w:gridSpan w:val="14"/>
          </w:tcPr>
          <w:p>
            <w:pPr>
              <w:spacing w:after="0"/>
              <w:rPr>
                <w:sz w:val="12"/>
                <w:szCs w:val="12"/>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9"/>
                <w:szCs w:val="9"/>
                <w:color w:val="0000EE"/>
                <w:w w:val="70"/>
              </w:rPr>
              <w:t>S-15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1140" w:type="dxa"/>
            <w:vAlign w:val="bottom"/>
            <w:tcBorders>
              <w:right w:val="single" w:sz="8" w:color="EEEEEE"/>
            </w:tcBorders>
            <w:gridSpan w:val="25"/>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PLAN OF DISTRIBUTION</w:t>
            </w:r>
          </w:p>
        </w:tc>
        <w:tc>
          <w:tcPr>
            <w:tcW w:w="1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9"/>
                <w:szCs w:val="9"/>
                <w:color w:val="0000EE"/>
                <w:w w:val="70"/>
              </w:rPr>
              <w:t>S-16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0000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120" w:type="dxa"/>
            <w:vAlign w:val="bottom"/>
            <w:tcBorders>
              <w:bottom w:val="single" w:sz="8" w:color="0000EE"/>
            </w:tcBorders>
            <w:gridSpan w:val="10"/>
          </w:tcPr>
          <w:p>
            <w:pPr>
              <w:spacing w:after="0" w:line="140" w:lineRule="exact"/>
              <w:rPr>
                <w:sz w:val="20"/>
                <w:szCs w:val="20"/>
                <w:color w:val="auto"/>
              </w:rPr>
            </w:pPr>
            <w:r>
              <w:rPr>
                <w:rFonts w:ascii="Times New Roman" w:cs="Times New Roman" w:eastAsia="Times New Roman" w:hAnsi="Times New Roman"/>
                <w:sz w:val="14"/>
                <w:szCs w:val="14"/>
                <w:color w:val="0000EE"/>
              </w:rPr>
              <w:t>TRADING PRICE AND VOLUME</w:t>
            </w:r>
          </w:p>
        </w:tc>
        <w:tc>
          <w:tcPr>
            <w:tcW w:w="9020" w:type="dxa"/>
            <w:vAlign w:val="bottom"/>
            <w:gridSpan w:val="15"/>
          </w:tcPr>
          <w:p>
            <w:pPr>
              <w:spacing w:after="0"/>
              <w:rPr>
                <w:sz w:val="12"/>
                <w:szCs w:val="12"/>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9"/>
                <w:szCs w:val="9"/>
                <w:color w:val="0000EE"/>
                <w:w w:val="70"/>
              </w:rPr>
              <w:t>S-20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1140" w:type="dxa"/>
            <w:vAlign w:val="bottom"/>
            <w:tcBorders>
              <w:right w:val="single" w:sz="8" w:color="EEEEEE"/>
            </w:tcBorders>
            <w:gridSpan w:val="25"/>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PRIOR SALES</w:t>
            </w:r>
          </w:p>
        </w:tc>
        <w:tc>
          <w:tcPr>
            <w:tcW w:w="1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9"/>
                <w:szCs w:val="9"/>
                <w:color w:val="0000EE"/>
                <w:w w:val="70"/>
              </w:rPr>
              <w:t>S-21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280" w:type="dxa"/>
            <w:vAlign w:val="bottom"/>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0000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1140" w:type="dxa"/>
            <w:vAlign w:val="bottom"/>
            <w:gridSpan w:val="25"/>
          </w:tcPr>
          <w:p>
            <w:pPr>
              <w:spacing w:after="0" w:line="140" w:lineRule="exact"/>
              <w:rPr>
                <w:sz w:val="20"/>
                <w:szCs w:val="20"/>
                <w:color w:val="auto"/>
              </w:rPr>
            </w:pPr>
            <w:r>
              <w:rPr>
                <w:rFonts w:ascii="Times New Roman" w:cs="Times New Roman" w:eastAsia="Times New Roman" w:hAnsi="Times New Roman"/>
                <w:sz w:val="14"/>
                <w:szCs w:val="14"/>
                <w:color w:val="0000EE"/>
              </w:rPr>
              <w:t>RISK FACTORS</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0000EE"/>
                <w:w w:val="70"/>
              </w:rPr>
              <w:t>S-23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00" w:type="dxa"/>
            <w:vAlign w:val="bottom"/>
            <w:tcBorders>
              <w:bottom w:val="single" w:sz="8" w:color="0000EE"/>
            </w:tcBorders>
            <w:gridSpan w:val="19"/>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CERTAIN CANADIAN INCOME TAX CONSIDERATIONS</w:t>
            </w:r>
          </w:p>
        </w:tc>
        <w:tc>
          <w:tcPr>
            <w:tcW w:w="7540" w:type="dxa"/>
            <w:vAlign w:val="bottom"/>
            <w:tcBorders>
              <w:bottom w:val="single" w:sz="8" w:color="EEEEEE"/>
              <w:right w:val="single" w:sz="8" w:color="EEEEEE"/>
            </w:tcBorders>
            <w:gridSpan w:val="6"/>
            <w:shd w:val="clear" w:color="auto" w:fill="EEEEEE"/>
          </w:tcPr>
          <w:p>
            <w:pPr>
              <w:spacing w:after="0"/>
              <w:rPr>
                <w:sz w:val="14"/>
                <w:szCs w:val="14"/>
                <w:color w:val="auto"/>
              </w:rPr>
            </w:pPr>
          </w:p>
        </w:tc>
        <w:tc>
          <w:tcPr>
            <w:tcW w:w="140" w:type="dxa"/>
            <w:vAlign w:val="bottom"/>
            <w:tcBorders>
              <w:bottom w:val="single" w:sz="8" w:color="0000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9"/>
                <w:szCs w:val="9"/>
                <w:color w:val="0000EE"/>
                <w:w w:val="70"/>
              </w:rPr>
              <w:t>S-28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800" w:type="dxa"/>
            <w:vAlign w:val="bottom"/>
            <w:tcBorders>
              <w:bottom w:val="single" w:sz="8" w:color="0000EE"/>
            </w:tcBorders>
            <w:gridSpan w:val="24"/>
          </w:tcPr>
          <w:p>
            <w:pPr>
              <w:spacing w:after="0" w:line="140" w:lineRule="exact"/>
              <w:rPr>
                <w:sz w:val="20"/>
                <w:szCs w:val="20"/>
                <w:color w:val="auto"/>
              </w:rPr>
            </w:pPr>
            <w:r>
              <w:rPr>
                <w:rFonts w:ascii="Times New Roman" w:cs="Times New Roman" w:eastAsia="Times New Roman" w:hAnsi="Times New Roman"/>
                <w:sz w:val="14"/>
                <w:szCs w:val="14"/>
                <w:color w:val="0000EE"/>
              </w:rPr>
              <w:t>CERTAIN UNITED STATES FEDERAL INCOME TAX CONSIDERATIONS TO U.S. HOLDERS</w:t>
            </w:r>
          </w:p>
        </w:tc>
        <w:tc>
          <w:tcPr>
            <w:tcW w:w="5340" w:type="dxa"/>
            <w:vAlign w:val="bottom"/>
          </w:tcPr>
          <w:p>
            <w:pPr>
              <w:spacing w:after="0"/>
              <w:rPr>
                <w:sz w:val="12"/>
                <w:szCs w:val="12"/>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9"/>
                <w:szCs w:val="9"/>
                <w:color w:val="0000EE"/>
                <w:w w:val="70"/>
              </w:rPr>
              <w:t>S-33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1140" w:type="dxa"/>
            <w:vAlign w:val="bottom"/>
            <w:gridSpan w:val="25"/>
          </w:tcPr>
          <w:p>
            <w:pPr>
              <w:spacing w:after="0" w:line="153" w:lineRule="exact"/>
              <w:rPr>
                <w:sz w:val="20"/>
                <w:szCs w:val="20"/>
                <w:color w:val="auto"/>
              </w:rPr>
            </w:pPr>
            <w:r>
              <w:rPr>
                <w:rFonts w:ascii="Times New Roman" w:cs="Times New Roman" w:eastAsia="Times New Roman" w:hAnsi="Times New Roman"/>
                <w:sz w:val="14"/>
                <w:szCs w:val="14"/>
                <w:color w:val="0000EE"/>
              </w:rPr>
              <w:t>LEGAL MATTERS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9"/>
                <w:szCs w:val="9"/>
                <w:color w:val="0000EE"/>
                <w:w w:val="70"/>
              </w:rPr>
              <w:t>S-45</w:t>
            </w: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240" w:type="dxa"/>
            <w:vAlign w:val="bottom"/>
            <w:tcBorders>
              <w:bottom w:val="single" w:sz="8" w:color="0000EE"/>
            </w:tcBorders>
            <w:gridSpan w:val="15"/>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AUDITORS, TRANSFER AGENT AND REGISTRAR</w:t>
            </w:r>
          </w:p>
        </w:tc>
        <w:tc>
          <w:tcPr>
            <w:tcW w:w="7900" w:type="dxa"/>
            <w:vAlign w:val="bottom"/>
            <w:tcBorders>
              <w:bottom w:val="single" w:sz="8" w:color="EEEEEE"/>
              <w:right w:val="single" w:sz="8" w:color="EEEEEE"/>
            </w:tcBorders>
            <w:gridSpan w:val="10"/>
            <w:shd w:val="clear" w:color="auto" w:fill="EEEEEE"/>
          </w:tcPr>
          <w:p>
            <w:pPr>
              <w:spacing w:after="0"/>
              <w:rPr>
                <w:sz w:val="14"/>
                <w:szCs w:val="14"/>
                <w:color w:val="auto"/>
              </w:rPr>
            </w:pPr>
          </w:p>
        </w:tc>
        <w:tc>
          <w:tcPr>
            <w:tcW w:w="140" w:type="dxa"/>
            <w:vAlign w:val="bottom"/>
            <w:tcBorders>
              <w:bottom w:val="single" w:sz="8" w:color="0000EE"/>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9"/>
                <w:szCs w:val="9"/>
                <w:color w:val="0000EE"/>
                <w:w w:val="70"/>
              </w:rPr>
              <w:t>S-45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920" w:type="dxa"/>
            <w:vAlign w:val="bottom"/>
            <w:tcBorders>
              <w:bottom w:val="single" w:sz="8" w:color="0000EE"/>
            </w:tcBorders>
            <w:gridSpan w:val="20"/>
          </w:tcPr>
          <w:p>
            <w:pPr>
              <w:spacing w:after="0" w:line="140" w:lineRule="exact"/>
              <w:rPr>
                <w:sz w:val="20"/>
                <w:szCs w:val="20"/>
                <w:color w:val="auto"/>
              </w:rPr>
            </w:pPr>
            <w:r>
              <w:rPr>
                <w:rFonts w:ascii="Times New Roman" w:cs="Times New Roman" w:eastAsia="Times New Roman" w:hAnsi="Times New Roman"/>
                <w:sz w:val="14"/>
                <w:szCs w:val="14"/>
                <w:color w:val="0000EE"/>
              </w:rPr>
              <w:t>ENFORCEMENT OF CIVIL LIABILITIES BY U.S. INVESTORS</w:t>
            </w:r>
          </w:p>
        </w:tc>
        <w:tc>
          <w:tcPr>
            <w:tcW w:w="7220" w:type="dxa"/>
            <w:vAlign w:val="bottom"/>
            <w:gridSpan w:val="5"/>
          </w:tcPr>
          <w:p>
            <w:pPr>
              <w:spacing w:after="0"/>
              <w:rPr>
                <w:sz w:val="12"/>
                <w:szCs w:val="12"/>
                <w:color w:val="auto"/>
              </w:rPr>
            </w:pPr>
          </w:p>
        </w:tc>
        <w:tc>
          <w:tcPr>
            <w:tcW w:w="14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9"/>
                <w:szCs w:val="9"/>
                <w:color w:val="0000EE"/>
                <w:w w:val="70"/>
              </w:rPr>
              <w:t>S-45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1114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auto"/>
              </w:rPr>
              <w:t>Base Shelf Prospectus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140" w:type="dxa"/>
            <w:vAlign w:val="bottom"/>
            <w:tcBorders>
              <w:right w:val="single" w:sz="8" w:color="EEEEEE"/>
            </w:tcBorders>
            <w:gridSpan w:val="25"/>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GENERAL MATTERS</w:t>
            </w:r>
          </w:p>
        </w:tc>
        <w:tc>
          <w:tcPr>
            <w:tcW w:w="140" w:type="dxa"/>
            <w:vAlign w:val="bottom"/>
            <w:tcBorders>
              <w:right w:val="single" w:sz="8" w:color="EEEEEE"/>
            </w:tcBorders>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EEEE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4700" w:type="dxa"/>
            <w:vAlign w:val="bottom"/>
            <w:gridSpan w:val="22"/>
          </w:tcPr>
          <w:p>
            <w:pPr>
              <w:spacing w:after="0" w:line="140" w:lineRule="exact"/>
              <w:rPr>
                <w:sz w:val="20"/>
                <w:szCs w:val="20"/>
                <w:color w:val="auto"/>
              </w:rPr>
            </w:pPr>
            <w:r>
              <w:rPr>
                <w:rFonts w:ascii="Times New Roman" w:cs="Times New Roman" w:eastAsia="Times New Roman" w:hAnsi="Times New Roman"/>
                <w:sz w:val="14"/>
                <w:szCs w:val="14"/>
                <w:color w:val="0000EE"/>
              </w:rPr>
              <w:t>CAUTIONARY NOTE REGARDING FORWARD LOOKING INFORMATION</w:t>
            </w:r>
          </w:p>
        </w:tc>
        <w:tc>
          <w:tcPr>
            <w:tcW w:w="6440" w:type="dxa"/>
            <w:vAlign w:val="bottom"/>
            <w:gridSpan w:val="3"/>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520" w:type="dxa"/>
            <w:vAlign w:val="bottom"/>
            <w:gridSpan w:val="12"/>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TRADEMARKS AND SERVICE MARKS</w:t>
            </w:r>
          </w:p>
        </w:tc>
        <w:tc>
          <w:tcPr>
            <w:tcW w:w="2180" w:type="dxa"/>
            <w:vAlign w:val="bottom"/>
            <w:gridSpan w:val="10"/>
            <w:shd w:val="clear" w:color="auto" w:fill="EEEEEE"/>
          </w:tcPr>
          <w:p>
            <w:pPr>
              <w:spacing w:after="0"/>
              <w:rPr>
                <w:sz w:val="13"/>
                <w:szCs w:val="13"/>
                <w:color w:val="auto"/>
              </w:rPr>
            </w:pPr>
          </w:p>
        </w:tc>
        <w:tc>
          <w:tcPr>
            <w:tcW w:w="6440" w:type="dxa"/>
            <w:vAlign w:val="bottom"/>
            <w:tcBorders>
              <w:right w:val="single" w:sz="8" w:color="EEEEEE"/>
            </w:tcBorders>
            <w:gridSpan w:val="3"/>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jc w:val="right"/>
              <w:spacing w:after="0" w:line="153"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EEEE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520" w:type="dxa"/>
            <w:vAlign w:val="bottom"/>
            <w:gridSpan w:val="12"/>
          </w:tcPr>
          <w:p>
            <w:pPr>
              <w:spacing w:after="0" w:line="140" w:lineRule="exact"/>
              <w:rPr>
                <w:sz w:val="20"/>
                <w:szCs w:val="20"/>
                <w:color w:val="auto"/>
              </w:rPr>
            </w:pPr>
            <w:r>
              <w:rPr>
                <w:rFonts w:ascii="Times New Roman" w:cs="Times New Roman" w:eastAsia="Times New Roman" w:hAnsi="Times New Roman"/>
                <w:sz w:val="14"/>
                <w:szCs w:val="14"/>
                <w:color w:val="0000EE"/>
              </w:rPr>
              <w:t>MARKETING MATERIALS</w:t>
            </w:r>
          </w:p>
        </w:tc>
        <w:tc>
          <w:tcPr>
            <w:tcW w:w="8620" w:type="dxa"/>
            <w:vAlign w:val="bottom"/>
            <w:gridSpan w:val="13"/>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120" w:type="dxa"/>
            <w:vAlign w:val="bottom"/>
            <w:tcBorders>
              <w:right w:val="single" w:sz="8" w:color="EEEEEE"/>
            </w:tcBorders>
            <w:gridSpan w:val="10"/>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w w:val="99"/>
              </w:rPr>
              <w:t>MARKET AND INDUSTRY DATA</w:t>
            </w:r>
          </w:p>
        </w:tc>
        <w:tc>
          <w:tcPr>
            <w:tcW w:w="9020" w:type="dxa"/>
            <w:vAlign w:val="bottom"/>
            <w:tcBorders>
              <w:right w:val="single" w:sz="8" w:color="EEEEEE"/>
            </w:tcBorders>
            <w:gridSpan w:val="15"/>
            <w:shd w:val="clear" w:color="auto" w:fill="EEEEEE"/>
          </w:tcPr>
          <w:p>
            <w:pPr>
              <w:spacing w:after="0"/>
              <w:rPr>
                <w:sz w:val="13"/>
                <w:szCs w:val="13"/>
                <w:color w:val="auto"/>
              </w:rPr>
            </w:pPr>
          </w:p>
        </w:tc>
        <w:tc>
          <w:tcPr>
            <w:tcW w:w="140" w:type="dxa"/>
            <w:vAlign w:val="bottom"/>
            <w:tcBorders>
              <w:right w:val="single" w:sz="8" w:color="EEEEEE"/>
            </w:tcBorders>
            <w:shd w:val="clear" w:color="auto" w:fill="EEEEEE"/>
          </w:tcPr>
          <w:p>
            <w:pPr>
              <w:jc w:val="right"/>
              <w:spacing w:after="0" w:line="153"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EEEE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1140" w:type="dxa"/>
            <w:vAlign w:val="bottom"/>
            <w:gridSpan w:val="25"/>
          </w:tcPr>
          <w:p>
            <w:pPr>
              <w:spacing w:after="0" w:line="140" w:lineRule="exact"/>
              <w:rPr>
                <w:sz w:val="20"/>
                <w:szCs w:val="20"/>
                <w:color w:val="auto"/>
              </w:rPr>
            </w:pPr>
            <w:r>
              <w:rPr>
                <w:rFonts w:ascii="Times New Roman" w:cs="Times New Roman" w:eastAsia="Times New Roman" w:hAnsi="Times New Roman"/>
                <w:sz w:val="14"/>
                <w:szCs w:val="14"/>
                <w:color w:val="0000EE"/>
              </w:rPr>
              <w:t>DOCUMENTS INCORPORATED BY REFERENCE</w:t>
            </w: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140" w:type="dxa"/>
            <w:vAlign w:val="bottom"/>
            <w:tcBorders>
              <w:right w:val="single" w:sz="8" w:color="EEEEEE"/>
            </w:tcBorders>
            <w:gridSpan w:val="25"/>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DOCUMENTS FILED AS PART OF THE REGISTRATION STATEMENT</w:t>
            </w:r>
          </w:p>
        </w:tc>
        <w:tc>
          <w:tcPr>
            <w:tcW w:w="140" w:type="dxa"/>
            <w:vAlign w:val="bottom"/>
            <w:tcBorders>
              <w:right w:val="single" w:sz="8" w:color="EEEEEE"/>
            </w:tcBorders>
            <w:shd w:val="clear" w:color="auto" w:fill="EEEEEE"/>
          </w:tcPr>
          <w:p>
            <w:pPr>
              <w:jc w:val="right"/>
              <w:spacing w:after="0" w:line="153" w:lineRule="exact"/>
              <w:rPr>
                <w:sz w:val="20"/>
                <w:szCs w:val="20"/>
                <w:color w:val="auto"/>
              </w:rPr>
            </w:pPr>
            <w:r>
              <w:rPr>
                <w:rFonts w:ascii="Times New Roman" w:cs="Times New Roman" w:eastAsia="Times New Roman" w:hAnsi="Times New Roman"/>
                <w:sz w:val="14"/>
                <w:szCs w:val="14"/>
                <w:color w:val="0000EE"/>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EEEE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4400" w:type="dxa"/>
            <w:vAlign w:val="bottom"/>
            <w:gridSpan w:val="21"/>
          </w:tcPr>
          <w:p>
            <w:pPr>
              <w:spacing w:after="0" w:line="140" w:lineRule="exact"/>
              <w:rPr>
                <w:sz w:val="20"/>
                <w:szCs w:val="20"/>
                <w:color w:val="auto"/>
              </w:rPr>
            </w:pPr>
            <w:r>
              <w:rPr>
                <w:rFonts w:ascii="Times New Roman" w:cs="Times New Roman" w:eastAsia="Times New Roman" w:hAnsi="Times New Roman"/>
                <w:sz w:val="14"/>
                <w:szCs w:val="14"/>
                <w:color w:val="0000EE"/>
              </w:rPr>
              <w:t>THE CORPORATION</w:t>
            </w:r>
          </w:p>
        </w:tc>
        <w:tc>
          <w:tcPr>
            <w:tcW w:w="6740" w:type="dxa"/>
            <w:vAlign w:val="bottom"/>
            <w:gridSpan w:val="4"/>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140" w:type="dxa"/>
            <w:vAlign w:val="bottom"/>
            <w:tcBorders>
              <w:right w:val="single" w:sz="8" w:color="EEEEEE"/>
            </w:tcBorders>
            <w:gridSpan w:val="25"/>
            <w:shd w:val="clear" w:color="auto" w:fill="EEEEEE"/>
          </w:tcPr>
          <w:p>
            <w:pPr>
              <w:spacing w:after="0" w:line="153" w:lineRule="exact"/>
              <w:rPr>
                <w:sz w:val="20"/>
                <w:szCs w:val="20"/>
                <w:color w:val="auto"/>
              </w:rPr>
            </w:pPr>
            <w:r>
              <w:rPr>
                <w:rFonts w:ascii="Times New Roman" w:cs="Times New Roman" w:eastAsia="Times New Roman" w:hAnsi="Times New Roman"/>
                <w:sz w:val="14"/>
                <w:szCs w:val="14"/>
                <w:color w:val="0000EE"/>
              </w:rPr>
              <w:t>REGULATORY OVERVIEW</w:t>
            </w:r>
          </w:p>
        </w:tc>
        <w:tc>
          <w:tcPr>
            <w:tcW w:w="140" w:type="dxa"/>
            <w:vAlign w:val="bottom"/>
            <w:tcBorders>
              <w:right w:val="single" w:sz="8" w:color="EEEEEE"/>
            </w:tcBorders>
            <w:shd w:val="clear" w:color="auto" w:fill="EEEEEE"/>
          </w:tcPr>
          <w:p>
            <w:pPr>
              <w:jc w:val="right"/>
              <w:spacing w:after="0" w:line="153" w:lineRule="exact"/>
              <w:rPr>
                <w:sz w:val="20"/>
                <w:szCs w:val="20"/>
                <w:color w:val="auto"/>
              </w:rPr>
            </w:pPr>
            <w:r>
              <w:rPr>
                <w:rFonts w:ascii="Times New Roman" w:cs="Times New Roman" w:eastAsia="Times New Roman" w:hAnsi="Times New Roman"/>
                <w:sz w:val="14"/>
                <w:szCs w:val="14"/>
                <w:color w:val="0000EE"/>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EEEE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1740" w:type="dxa"/>
            <w:vAlign w:val="bottom"/>
            <w:gridSpan w:val="7"/>
          </w:tcPr>
          <w:p>
            <w:pPr>
              <w:spacing w:after="0" w:line="140" w:lineRule="exact"/>
              <w:rPr>
                <w:sz w:val="20"/>
                <w:szCs w:val="20"/>
                <w:color w:val="auto"/>
              </w:rPr>
            </w:pPr>
            <w:r>
              <w:rPr>
                <w:rFonts w:ascii="Times New Roman" w:cs="Times New Roman" w:eastAsia="Times New Roman" w:hAnsi="Times New Roman"/>
                <w:sz w:val="14"/>
                <w:szCs w:val="14"/>
                <w:color w:val="0000EE"/>
              </w:rPr>
              <w:t>COMPLIANCE PROGRAM</w:t>
            </w:r>
          </w:p>
        </w:tc>
        <w:tc>
          <w:tcPr>
            <w:tcW w:w="9400" w:type="dxa"/>
            <w:vAlign w:val="bottom"/>
            <w:gridSpan w:val="18"/>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w w:val="85"/>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2300" w:type="dxa"/>
            <w:vAlign w:val="bottom"/>
            <w:gridSpan w:val="11"/>
            <w:shd w:val="clear" w:color="auto" w:fill="EEEEEE"/>
          </w:tcPr>
          <w:p>
            <w:pPr>
              <w:spacing w:after="0" w:line="146" w:lineRule="exact"/>
              <w:rPr>
                <w:sz w:val="20"/>
                <w:szCs w:val="20"/>
                <w:color w:val="auto"/>
              </w:rPr>
            </w:pPr>
            <w:r>
              <w:rPr>
                <w:rFonts w:ascii="Times New Roman" w:cs="Times New Roman" w:eastAsia="Times New Roman" w:hAnsi="Times New Roman"/>
                <w:sz w:val="14"/>
                <w:szCs w:val="14"/>
                <w:color w:val="0000EE"/>
              </w:rPr>
              <w:t>CONSOLIDATED CAPITALIZATION</w:t>
            </w:r>
          </w:p>
        </w:tc>
        <w:tc>
          <w:tcPr>
            <w:tcW w:w="8840" w:type="dxa"/>
            <w:vAlign w:val="bottom"/>
            <w:tcBorders>
              <w:right w:val="single" w:sz="8" w:color="EEEEEE"/>
            </w:tcBorders>
            <w:gridSpan w:val="14"/>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jc w:val="right"/>
              <w:spacing w:after="0" w:line="146" w:lineRule="exact"/>
              <w:rPr>
                <w:sz w:val="20"/>
                <w:szCs w:val="20"/>
                <w:color w:val="auto"/>
              </w:rPr>
            </w:pPr>
            <w:r>
              <w:rPr>
                <w:rFonts w:ascii="Times New Roman" w:cs="Times New Roman" w:eastAsia="Times New Roman" w:hAnsi="Times New Roman"/>
                <w:sz w:val="14"/>
                <w:szCs w:val="14"/>
                <w:color w:val="0000EE"/>
                <w:w w:val="85"/>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300" w:type="dxa"/>
            <w:vAlign w:val="bottom"/>
            <w:gridSpan w:val="11"/>
          </w:tcPr>
          <w:p>
            <w:pPr>
              <w:spacing w:after="0" w:line="140" w:lineRule="exact"/>
              <w:rPr>
                <w:sz w:val="20"/>
                <w:szCs w:val="20"/>
                <w:color w:val="auto"/>
              </w:rPr>
            </w:pPr>
            <w:r>
              <w:rPr>
                <w:rFonts w:ascii="Times New Roman" w:cs="Times New Roman" w:eastAsia="Times New Roman" w:hAnsi="Times New Roman"/>
                <w:sz w:val="14"/>
                <w:szCs w:val="14"/>
                <w:color w:val="0000EE"/>
              </w:rPr>
              <w:t>USE OF PROCEEDS</w:t>
            </w:r>
          </w:p>
        </w:tc>
        <w:tc>
          <w:tcPr>
            <w:tcW w:w="8840" w:type="dxa"/>
            <w:vAlign w:val="bottom"/>
            <w:gridSpan w:val="14"/>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w w:val="85"/>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1140" w:type="dxa"/>
            <w:vAlign w:val="bottom"/>
            <w:tcBorders>
              <w:right w:val="single" w:sz="8" w:color="EEEEEE"/>
            </w:tcBorders>
            <w:gridSpan w:val="25"/>
            <w:shd w:val="clear" w:color="auto" w:fill="EEEEEE"/>
          </w:tcPr>
          <w:p>
            <w:pPr>
              <w:spacing w:after="0" w:line="146" w:lineRule="exact"/>
              <w:rPr>
                <w:sz w:val="20"/>
                <w:szCs w:val="20"/>
                <w:color w:val="auto"/>
              </w:rPr>
            </w:pPr>
            <w:r>
              <w:rPr>
                <w:rFonts w:ascii="Times New Roman" w:cs="Times New Roman" w:eastAsia="Times New Roman" w:hAnsi="Times New Roman"/>
                <w:sz w:val="14"/>
                <w:szCs w:val="14"/>
                <w:color w:val="0000EE"/>
              </w:rPr>
              <w:t>SELLING SECURITYHOLDERS</w:t>
            </w:r>
          </w:p>
        </w:tc>
        <w:tc>
          <w:tcPr>
            <w:tcW w:w="140" w:type="dxa"/>
            <w:vAlign w:val="bottom"/>
            <w:tcBorders>
              <w:right w:val="single" w:sz="8" w:color="EEEEEE"/>
            </w:tcBorders>
            <w:shd w:val="clear" w:color="auto" w:fill="EEEEEE"/>
          </w:tcPr>
          <w:p>
            <w:pPr>
              <w:jc w:val="right"/>
              <w:spacing w:after="0" w:line="146" w:lineRule="exact"/>
              <w:rPr>
                <w:sz w:val="20"/>
                <w:szCs w:val="20"/>
                <w:color w:val="auto"/>
              </w:rPr>
            </w:pPr>
            <w:r>
              <w:rPr>
                <w:rFonts w:ascii="Times New Roman" w:cs="Times New Roman" w:eastAsia="Times New Roman" w:hAnsi="Times New Roman"/>
                <w:sz w:val="14"/>
                <w:szCs w:val="14"/>
                <w:color w:val="0000EE"/>
                <w:w w:val="85"/>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00" w:type="dxa"/>
            <w:vAlign w:val="bottom"/>
            <w:gridSpan w:val="9"/>
          </w:tcPr>
          <w:p>
            <w:pPr>
              <w:spacing w:after="0" w:line="140" w:lineRule="exact"/>
              <w:rPr>
                <w:sz w:val="20"/>
                <w:szCs w:val="20"/>
                <w:color w:val="auto"/>
              </w:rPr>
            </w:pPr>
            <w:r>
              <w:rPr>
                <w:rFonts w:ascii="Times New Roman" w:cs="Times New Roman" w:eastAsia="Times New Roman" w:hAnsi="Times New Roman"/>
                <w:sz w:val="14"/>
                <w:szCs w:val="14"/>
                <w:color w:val="0000EE"/>
              </w:rPr>
              <w:t>DIVIDEND POLICY</w:t>
            </w:r>
          </w:p>
        </w:tc>
        <w:tc>
          <w:tcPr>
            <w:tcW w:w="9140" w:type="dxa"/>
            <w:vAlign w:val="bottom"/>
            <w:gridSpan w:val="16"/>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w w:val="85"/>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3480" w:type="dxa"/>
            <w:vAlign w:val="bottom"/>
            <w:tcBorders>
              <w:right w:val="single" w:sz="8" w:color="EEEEEE"/>
            </w:tcBorders>
            <w:gridSpan w:val="18"/>
            <w:shd w:val="clear" w:color="auto" w:fill="EEEEEE"/>
          </w:tcPr>
          <w:p>
            <w:pPr>
              <w:spacing w:after="0" w:line="146" w:lineRule="exact"/>
              <w:rPr>
                <w:sz w:val="20"/>
                <w:szCs w:val="20"/>
                <w:color w:val="auto"/>
              </w:rPr>
            </w:pPr>
            <w:r>
              <w:rPr>
                <w:rFonts w:ascii="Times New Roman" w:cs="Times New Roman" w:eastAsia="Times New Roman" w:hAnsi="Times New Roman"/>
                <w:sz w:val="14"/>
                <w:szCs w:val="14"/>
                <w:color w:val="0000EE"/>
              </w:rPr>
              <w:t>DESCRIPTION OF SECURITIES BEING DISTRIBUTED</w:t>
            </w:r>
          </w:p>
        </w:tc>
        <w:tc>
          <w:tcPr>
            <w:tcW w:w="7660" w:type="dxa"/>
            <w:vAlign w:val="bottom"/>
            <w:tcBorders>
              <w:right w:val="single" w:sz="8" w:color="EEEEEE"/>
            </w:tcBorders>
            <w:gridSpan w:val="7"/>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jc w:val="right"/>
              <w:spacing w:after="0" w:line="146" w:lineRule="exact"/>
              <w:rPr>
                <w:sz w:val="20"/>
                <w:szCs w:val="20"/>
                <w:color w:val="auto"/>
              </w:rPr>
            </w:pPr>
            <w:r>
              <w:rPr>
                <w:rFonts w:ascii="Times New Roman" w:cs="Times New Roman" w:eastAsia="Times New Roman" w:hAnsi="Times New Roman"/>
                <w:sz w:val="14"/>
                <w:szCs w:val="14"/>
                <w:color w:val="0000EE"/>
                <w:w w:val="85"/>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EEEEEE"/>
            </w:tcBorders>
            <w:shd w:val="clear" w:color="auto" w:fill="0000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3480" w:type="dxa"/>
            <w:vAlign w:val="bottom"/>
            <w:gridSpan w:val="18"/>
          </w:tcPr>
          <w:p>
            <w:pPr>
              <w:spacing w:after="0" w:line="140" w:lineRule="exact"/>
              <w:rPr>
                <w:sz w:val="20"/>
                <w:szCs w:val="20"/>
                <w:color w:val="auto"/>
              </w:rPr>
            </w:pPr>
            <w:r>
              <w:rPr>
                <w:rFonts w:ascii="Times New Roman" w:cs="Times New Roman" w:eastAsia="Times New Roman" w:hAnsi="Times New Roman"/>
                <w:sz w:val="14"/>
                <w:szCs w:val="14"/>
                <w:color w:val="0000EE"/>
              </w:rPr>
              <w:t>PLAN OF DISTRIBUTION</w:t>
            </w:r>
          </w:p>
        </w:tc>
        <w:tc>
          <w:tcPr>
            <w:tcW w:w="7660" w:type="dxa"/>
            <w:vAlign w:val="bottom"/>
            <w:gridSpan w:val="7"/>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w w:val="85"/>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1640" w:type="dxa"/>
            <w:vAlign w:val="bottom"/>
            <w:gridSpan w:val="6"/>
            <w:shd w:val="clear" w:color="auto" w:fill="EEEEEE"/>
          </w:tcPr>
          <w:p>
            <w:pPr>
              <w:spacing w:after="0" w:line="146" w:lineRule="exact"/>
              <w:rPr>
                <w:sz w:val="20"/>
                <w:szCs w:val="20"/>
                <w:color w:val="auto"/>
              </w:rPr>
            </w:pPr>
            <w:r>
              <w:rPr>
                <w:rFonts w:ascii="Times New Roman" w:cs="Times New Roman" w:eastAsia="Times New Roman" w:hAnsi="Times New Roman"/>
                <w:sz w:val="14"/>
                <w:szCs w:val="14"/>
                <w:color w:val="0000EE"/>
              </w:rPr>
              <w:t>RISK FACTORS</w:t>
            </w:r>
          </w:p>
        </w:tc>
        <w:tc>
          <w:tcPr>
            <w:tcW w:w="9500" w:type="dxa"/>
            <w:vAlign w:val="bottom"/>
            <w:tcBorders>
              <w:left w:val="single" w:sz="8" w:color="EEEEEE"/>
              <w:right w:val="single" w:sz="8" w:color="EEEEEE"/>
            </w:tcBorders>
            <w:gridSpan w:val="19"/>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jc w:val="right"/>
              <w:spacing w:after="0" w:line="146" w:lineRule="exact"/>
              <w:rPr>
                <w:sz w:val="20"/>
                <w:szCs w:val="20"/>
                <w:color w:val="auto"/>
              </w:rPr>
            </w:pPr>
            <w:r>
              <w:rPr>
                <w:rFonts w:ascii="Times New Roman" w:cs="Times New Roman" w:eastAsia="Times New Roman" w:hAnsi="Times New Roman"/>
                <w:sz w:val="14"/>
                <w:szCs w:val="14"/>
                <w:color w:val="0000EE"/>
                <w:w w:val="85"/>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280" w:type="dxa"/>
            <w:vAlign w:val="bottom"/>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3480" w:type="dxa"/>
            <w:vAlign w:val="bottom"/>
            <w:gridSpan w:val="18"/>
          </w:tcPr>
          <w:p>
            <w:pPr>
              <w:spacing w:after="0" w:line="140" w:lineRule="exact"/>
              <w:rPr>
                <w:sz w:val="20"/>
                <w:szCs w:val="20"/>
                <w:color w:val="auto"/>
              </w:rPr>
            </w:pPr>
            <w:r>
              <w:rPr>
                <w:rFonts w:ascii="Times New Roman" w:cs="Times New Roman" w:eastAsia="Times New Roman" w:hAnsi="Times New Roman"/>
                <w:sz w:val="14"/>
                <w:szCs w:val="14"/>
                <w:color w:val="0000EE"/>
              </w:rPr>
              <w:t>CERTAIN FEDERAL INCOME TAX CONSIDERATIONS</w:t>
            </w:r>
          </w:p>
        </w:tc>
        <w:tc>
          <w:tcPr>
            <w:tcW w:w="7660" w:type="dxa"/>
            <w:vAlign w:val="bottom"/>
            <w:gridSpan w:val="7"/>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w w:val="85"/>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3480" w:type="dxa"/>
            <w:vAlign w:val="bottom"/>
            <w:tcBorders>
              <w:right w:val="single" w:sz="8" w:color="EEEEEE"/>
            </w:tcBorders>
            <w:gridSpan w:val="18"/>
            <w:shd w:val="clear" w:color="auto" w:fill="EEEEEE"/>
          </w:tcPr>
          <w:p>
            <w:pPr>
              <w:spacing w:after="0" w:line="146" w:lineRule="exact"/>
              <w:rPr>
                <w:sz w:val="20"/>
                <w:szCs w:val="20"/>
                <w:color w:val="auto"/>
              </w:rPr>
            </w:pPr>
            <w:r>
              <w:rPr>
                <w:rFonts w:ascii="Times New Roman" w:cs="Times New Roman" w:eastAsia="Times New Roman" w:hAnsi="Times New Roman"/>
                <w:sz w:val="14"/>
                <w:szCs w:val="14"/>
                <w:color w:val="0000EE"/>
              </w:rPr>
              <w:t>LEGAL MATTERS</w:t>
            </w:r>
          </w:p>
        </w:tc>
        <w:tc>
          <w:tcPr>
            <w:tcW w:w="7660" w:type="dxa"/>
            <w:vAlign w:val="bottom"/>
            <w:tcBorders>
              <w:right w:val="single" w:sz="8" w:color="EEEEEE"/>
            </w:tcBorders>
            <w:gridSpan w:val="7"/>
            <w:shd w:val="clear" w:color="auto" w:fill="EEEEEE"/>
          </w:tcPr>
          <w:p>
            <w:pPr>
              <w:spacing w:after="0"/>
              <w:rPr>
                <w:sz w:val="12"/>
                <w:szCs w:val="12"/>
                <w:color w:val="auto"/>
              </w:rPr>
            </w:pPr>
          </w:p>
        </w:tc>
        <w:tc>
          <w:tcPr>
            <w:tcW w:w="140" w:type="dxa"/>
            <w:vAlign w:val="bottom"/>
            <w:tcBorders>
              <w:right w:val="single" w:sz="8" w:color="EEEEEE"/>
            </w:tcBorders>
            <w:shd w:val="clear" w:color="auto" w:fill="EEEEEE"/>
          </w:tcPr>
          <w:p>
            <w:pPr>
              <w:jc w:val="right"/>
              <w:spacing w:after="0" w:line="146" w:lineRule="exact"/>
              <w:rPr>
                <w:sz w:val="20"/>
                <w:szCs w:val="20"/>
                <w:color w:val="auto"/>
              </w:rPr>
            </w:pPr>
            <w:r>
              <w:rPr>
                <w:rFonts w:ascii="Times New Roman" w:cs="Times New Roman" w:eastAsia="Times New Roman" w:hAnsi="Times New Roman"/>
                <w:sz w:val="14"/>
                <w:szCs w:val="14"/>
                <w:color w:val="0000EE"/>
                <w:w w:val="85"/>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9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280" w:type="dxa"/>
            <w:vAlign w:val="bottom"/>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2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38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32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3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660" w:type="dxa"/>
            <w:vAlign w:val="bottom"/>
            <w:shd w:val="clear" w:color="auto" w:fill="EEEEEE"/>
          </w:tcPr>
          <w:p>
            <w:pPr>
              <w:spacing w:after="0"/>
              <w:rPr>
                <w:sz w:val="2"/>
                <w:szCs w:val="2"/>
                <w:color w:val="auto"/>
              </w:rPr>
            </w:pPr>
          </w:p>
        </w:tc>
        <w:tc>
          <w:tcPr>
            <w:tcW w:w="5340" w:type="dxa"/>
            <w:vAlign w:val="bottom"/>
            <w:tcBorders>
              <w:right w:val="single" w:sz="8" w:color="EEEEEE"/>
            </w:tcBorders>
            <w:shd w:val="clear" w:color="auto" w:fill="EEEE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3240" w:type="dxa"/>
            <w:vAlign w:val="bottom"/>
            <w:gridSpan w:val="15"/>
          </w:tcPr>
          <w:p>
            <w:pPr>
              <w:spacing w:after="0" w:line="140" w:lineRule="exact"/>
              <w:rPr>
                <w:sz w:val="20"/>
                <w:szCs w:val="20"/>
                <w:color w:val="auto"/>
              </w:rPr>
            </w:pPr>
            <w:r>
              <w:rPr>
                <w:rFonts w:ascii="Times New Roman" w:cs="Times New Roman" w:eastAsia="Times New Roman" w:hAnsi="Times New Roman"/>
                <w:sz w:val="14"/>
                <w:szCs w:val="14"/>
                <w:color w:val="0000EE"/>
              </w:rPr>
              <w:t>AUDITORS, TRANSFER AGENT AND REGISTRAR</w:t>
            </w:r>
          </w:p>
        </w:tc>
        <w:tc>
          <w:tcPr>
            <w:tcW w:w="7900" w:type="dxa"/>
            <w:vAlign w:val="bottom"/>
            <w:gridSpan w:val="10"/>
          </w:tcPr>
          <w:p>
            <w:pPr>
              <w:spacing w:after="0"/>
              <w:rPr>
                <w:sz w:val="12"/>
                <w:szCs w:val="12"/>
                <w:color w:val="auto"/>
              </w:rPr>
            </w:pPr>
          </w:p>
        </w:tc>
        <w:tc>
          <w:tcPr>
            <w:tcW w:w="14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0000EE"/>
                <w:w w:val="85"/>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document consists of two parts. The first part is this Prospectus Supplement, which describes certain terms of the Offering and also adds to and updates certain information contained in the Base Shelf Prospectus and the documents incorporated by reference therein. The second part, the Base Shelf Prospectus, gives more general information, some of which may not apply to the Securities offered hereunder. Defined terms or abbreviations used in this Prospectus Supplement that are not defined herein have the meanings ascribed thereto in the Base Shelf Prospectus.</w:t>
      </w:r>
    </w:p>
    <w:p>
      <w:pPr>
        <w:spacing w:after="0" w:line="1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Corporation has not authorized anyone to provide investors with different or additional information. The Securities may only be sold in those jurisdictions where offers and sales are permitted. This Prospectus Supplement is not an offer to sell or a solicitation of an offer to buy the Securities in any jurisdiction in which it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Corporation filed the Base Shelf Prospectus with the securities commissions in all Canadian provinces and territories (the "</w:t>
      </w:r>
      <w:r>
        <w:rPr>
          <w:rFonts w:ascii="Times New Roman" w:cs="Times New Roman" w:eastAsia="Times New Roman" w:hAnsi="Times New Roman"/>
          <w:sz w:val="17"/>
          <w:szCs w:val="17"/>
          <w:b w:val="1"/>
          <w:bCs w:val="1"/>
          <w:color w:val="auto"/>
        </w:rPr>
        <w:t>Canadian Qualifying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Jurisdictions</w:t>
      </w:r>
      <w:r>
        <w:rPr>
          <w:rFonts w:ascii="Times New Roman" w:cs="Times New Roman" w:eastAsia="Times New Roman" w:hAnsi="Times New Roman"/>
          <w:sz w:val="17"/>
          <w:szCs w:val="17"/>
          <w:color w:val="auto"/>
        </w:rPr>
        <w:t>") in order to qualify the offering of the securities described in the Base Shelf Prospectus in accordance with National Instrument 44-102 -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Shelf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Distributions</w:t>
      </w:r>
      <w:r>
        <w:rPr>
          <w:rFonts w:ascii="Times New Roman" w:cs="Times New Roman" w:eastAsia="Times New Roman" w:hAnsi="Times New Roman"/>
          <w:sz w:val="17"/>
          <w:szCs w:val="17"/>
          <w:color w:val="auto"/>
        </w:rPr>
        <w:t>. The Ontario Securities Commission issued a receipt dated September 17, 2025, in respect of the final Base Shelf Prospectus as the principal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regulatory authority under Multilateral Instrument 11-102 - </w:t>
      </w:r>
      <w:r>
        <w:rPr>
          <w:rFonts w:ascii="Times New Roman" w:cs="Times New Roman" w:eastAsia="Times New Roman" w:hAnsi="Times New Roman"/>
          <w:sz w:val="17"/>
          <w:szCs w:val="17"/>
          <w:i w:val="1"/>
          <w:iCs w:val="1"/>
          <w:color w:val="auto"/>
        </w:rPr>
        <w:t>Passport System</w:t>
      </w:r>
      <w:r>
        <w:rPr>
          <w:rFonts w:ascii="Times New Roman" w:cs="Times New Roman" w:eastAsia="Times New Roman" w:hAnsi="Times New Roman"/>
          <w:sz w:val="17"/>
          <w:szCs w:val="17"/>
          <w:color w:val="auto"/>
        </w:rPr>
        <w:t xml:space="preserve">, and each of the other commissions in the Canadian Qualifying Jurisdictions is deemed to have issued a receipt under National Policy 11-202 - </w:t>
      </w:r>
      <w:r>
        <w:rPr>
          <w:rFonts w:ascii="Times New Roman" w:cs="Times New Roman" w:eastAsia="Times New Roman" w:hAnsi="Times New Roman"/>
          <w:sz w:val="17"/>
          <w:szCs w:val="17"/>
          <w:i w:val="1"/>
          <w:iCs w:val="1"/>
          <w:color w:val="auto"/>
        </w:rPr>
        <w:t>Process for Prospectus Review in Multiple Jurisdictions</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Base Shelf Prospectus also forms part of the Corporation's Registration Statement on Form F-10 (File No. 333-289139), which was initially filed with the SEC, under the U.S. Securities Act on July 31, 2025, as amended on September 17, 2025, utilizing the MJDS. The Registration Statement became automatically effective upon filing of the Amendment pursuant to Rule 467(a) of the U.S. Securities Act on September 17, 2025.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Unless otherwise indicated or the context otherwise indicates or requires, all references in this Prospectus Supplement to "</w:t>
      </w:r>
      <w:r>
        <w:rPr>
          <w:rFonts w:ascii="Times New Roman" w:cs="Times New Roman" w:eastAsia="Times New Roman" w:hAnsi="Times New Roman"/>
          <w:sz w:val="17"/>
          <w:szCs w:val="17"/>
          <w:b w:val="1"/>
          <w:bCs w:val="1"/>
          <w:color w:val="auto"/>
        </w:rPr>
        <w:t>Cybin</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mean Cybin Inc. and its subsidiaries and associated corporations</w:t>
      </w:r>
      <w:r>
        <w:rPr>
          <w:rFonts w:ascii="Times New Roman" w:cs="Times New Roman" w:eastAsia="Times New Roman" w:hAnsi="Times New Roman"/>
          <w:sz w:val="17"/>
          <w:szCs w:val="17"/>
          <w:i w:val="1"/>
          <w:iCs w:val="1"/>
          <w:color w:val="auto"/>
        </w:rPr>
        <w:t>.</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17"/>
          <w:szCs w:val="17"/>
          <w:i w:val="1"/>
          <w:iCs w:val="1"/>
          <w:color w:val="auto"/>
        </w:rPr>
        <w:t>Documents Incorporated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Reference</w:t>
      </w:r>
      <w:r>
        <w:rPr>
          <w:rFonts w:ascii="Times New Roman" w:cs="Times New Roman" w:eastAsia="Times New Roman" w:hAnsi="Times New Roman"/>
          <w:sz w:val="17"/>
          <w:szCs w:val="17"/>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INFORMATION</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Certain statements contained in this Prospectus Supplement, the Base Shelf Prospectus and in certain documents incorporated by reference herein and therein, contain information that constitutes "forward-looking information" and "forward-looking statements," within the meaning of applicable securities laws (collectively, "</w:t>
      </w:r>
      <w:r>
        <w:rPr>
          <w:rFonts w:ascii="Times New Roman" w:cs="Times New Roman" w:eastAsia="Times New Roman" w:hAnsi="Times New Roman"/>
          <w:sz w:val="17"/>
          <w:szCs w:val="17"/>
          <w:b w:val="1"/>
          <w:bCs w:val="1"/>
          <w:color w:val="auto"/>
        </w:rPr>
        <w:t>forward-looking statements</w:t>
      </w:r>
      <w:r>
        <w:rPr>
          <w:rFonts w:ascii="Times New Roman" w:cs="Times New Roman" w:eastAsia="Times New Roman" w:hAnsi="Times New Roman"/>
          <w:sz w:val="17"/>
          <w:szCs w:val="17"/>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7"/>
          <w:szCs w:val="17"/>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 xml:space="preserve">Some of the risks which could affect future results and could cause results to differ materially from those expressed in the forward-looking statements contained herein include: completion of the Offering and receipt of all regulatory and stock exchange approvals; listing of the Offered Shares, Warrant Shares and Pre-Funded Warrant Shares issuable under the Offering; the net proceeds, if any, from sales under this Prospectus Supplement; the Corporation's use of proceeds and business objectives and milestones and the anticipated timing of execution,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decriminalization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litigation risk;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Securities is highly speculative; completion of the Offering; negative operating cash flow; discretion in the use of proceeds; need for additional financing; potential dilution; trading market; positive return not guaranteed; application and interpretation of tax laws; listing of the Offered Shares, Warrant Shares and Pre-Funded Warrant Shares; enforcement of civil liabilities; and the Corporation's expectation that it will be a "passive foreign investment company"; speculative nature of Pre-Funded Warrants and Warrants; no public market for the Warrants and the Pre-Funded Warrants are not transferable; no guarantee of receipt of additional funds upon the exercise of the Pre-Funded Warrants and Warrants; and significant holders or beneficial holders of Common Shares may not be permitted to exercise Pre-Funded Warrants or Warrants.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7"/>
          <w:szCs w:val="17"/>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00" w:lineRule="exact"/>
        <w:rPr>
          <w:sz w:val="20"/>
          <w:szCs w:val="20"/>
          <w:color w:val="auto"/>
        </w:rPr>
      </w:pPr>
    </w:p>
    <w:p>
      <w:pPr>
        <w:ind w:left="520" w:hanging="258"/>
        <w:spacing w:after="0" w:line="249" w:lineRule="auto"/>
        <w:tabs>
          <w:tab w:leader="none" w:pos="5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fluctuation of losses from quarter to quarter and year to year due to numerous external risk factors, and anticipation that the Corporation will continue to incur significant losses in the future;</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as to the Corporation's ability to raise additional funding;</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ability to access additional funding;</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fluctuation of foreign exchange rates;</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pandemics;</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the development of the Corporation's product candidates which are at early stages of development;</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upon industry publications as the Corporation's primary sources for third-party industry data and forecasts;</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to plan, conduct and monitor the Corporation's preclinical studies and clinical trials;</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party contract manufacturers to deliver quality clinical and preclinical materials;</w:t>
      </w:r>
    </w:p>
    <w:p>
      <w:pPr>
        <w:ind w:left="520" w:hanging="258"/>
        <w:spacing w:after="0" w:line="237" w:lineRule="auto"/>
        <w:tabs>
          <w:tab w:leader="none" w:pos="5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17"/>
          <w:szCs w:val="17"/>
          <w:color w:val="auto"/>
        </w:rPr>
      </w:pP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filing investigational new drug applications to commence clinical trials and to continue clinical trials if approved;</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delays and inability to complete clinical trials due to difficulties enrolling patients;</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other biotechnology and pharmaceutical companies;</w:t>
      </w:r>
    </w:p>
    <w:p>
      <w:pPr>
        <w:ind w:left="520" w:hanging="258"/>
        <w:spacing w:after="0" w:line="237" w:lineRule="auto"/>
        <w:tabs>
          <w:tab w:leader="none" w:pos="5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17"/>
          <w:szCs w:val="17"/>
          <w:color w:val="auto"/>
        </w:rPr>
      </w:pP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ability to fully realize the benefits of acquisitions;</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ability to adequately protect the Corporation's intellectual property and trade secrets;</w:t>
      </w:r>
    </w:p>
    <w:p>
      <w:pPr>
        <w:ind w:left="540" w:hanging="278"/>
        <w:spacing w:after="0" w:line="23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patent-related or other litigation; and</w:t>
      </w:r>
    </w:p>
    <w:p>
      <w:pPr>
        <w:ind w:left="520" w:hanging="258"/>
        <w:spacing w:after="0" w:line="250" w:lineRule="auto"/>
        <w:tabs>
          <w:tab w:leader="none" w:pos="5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unforeseen changes to the laws or regulations in the United States, the United Kingdom, Canada, the Netherlands, Ireland and other jurisdictions in which the Corporation operates.</w:t>
      </w:r>
    </w:p>
    <w:p>
      <w:pPr>
        <w:spacing w:after="0" w:line="1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3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In addition to the factors set out above and those identified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Many of these factors are beyond the Corporation's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17"/>
          <w:szCs w:val="17"/>
          <w:color w:val="auto"/>
        </w:rPr>
        <w:t>Investors should read this entire Prospectus, including the Annual Information Form, the documents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9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This Prospectus Supplement is deemed to be incorporated by reference in the Base Shelf Prospectus solely for the purpose of the Offering.</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As at the date hereof, the following documents of the Corporation filed with the securities commissions or similar authorities in Canada are incorporated by reference in this Prospectus Supplement:</w:t>
      </w:r>
    </w:p>
    <w:p>
      <w:pPr>
        <w:spacing w:after="0" w:line="81" w:lineRule="exact"/>
        <w:rPr>
          <w:sz w:val="20"/>
          <w:szCs w:val="20"/>
          <w:color w:val="auto"/>
        </w:rPr>
      </w:pPr>
    </w:p>
    <w:p>
      <w:pPr>
        <w:ind w:left="440" w:hanging="230"/>
        <w:spacing w:after="0"/>
        <w:tabs>
          <w:tab w:leader="none" w:pos="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information form of the Corporation dated June 30, 2025, for the year ended March 31, 2025 (the "</w:t>
      </w:r>
      <w:r>
        <w:rPr>
          <w:rFonts w:ascii="Times New Roman" w:cs="Times New Roman" w:eastAsia="Times New Roman" w:hAnsi="Times New Roman"/>
          <w:sz w:val="17"/>
          <w:szCs w:val="17"/>
          <w:b w:val="1"/>
          <w:bCs w:val="1"/>
          <w:color w:val="auto"/>
        </w:rPr>
        <w:t>Annual Information Form</w:t>
      </w:r>
      <w:r>
        <w:rPr>
          <w:rFonts w:ascii="Times New Roman" w:cs="Times New Roman" w:eastAsia="Times New Roman" w:hAnsi="Times New Roman"/>
          <w:sz w:val="17"/>
          <w:szCs w:val="17"/>
          <w:color w:val="auto"/>
        </w:rPr>
        <w:t>");</w:t>
      </w:r>
    </w:p>
    <w:p>
      <w:pPr>
        <w:spacing w:after="0" w:line="153" w:lineRule="exact"/>
        <w:rPr>
          <w:rFonts w:ascii="Times New Roman" w:cs="Times New Roman" w:eastAsia="Times New Roman" w:hAnsi="Times New Roman"/>
          <w:sz w:val="17"/>
          <w:szCs w:val="17"/>
          <w:color w:val="auto"/>
        </w:rPr>
      </w:pPr>
    </w:p>
    <w:p>
      <w:pPr>
        <w:ind w:left="420" w:hanging="210"/>
        <w:spacing w:after="0" w:line="272" w:lineRule="auto"/>
        <w:tabs>
          <w:tab w:leader="none" w:pos="44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audited consolidated financial statements of the Corporation and the notes thereto as at and for the fiscal years ended March 31, 2025 and 2024, together with the auditor's report thereon;</w:t>
      </w:r>
    </w:p>
    <w:p>
      <w:pPr>
        <w:spacing w:after="0" w:line="84" w:lineRule="exact"/>
        <w:rPr>
          <w:rFonts w:ascii="Times New Roman" w:cs="Times New Roman" w:eastAsia="Times New Roman" w:hAnsi="Times New Roman"/>
          <w:sz w:val="17"/>
          <w:szCs w:val="17"/>
          <w:color w:val="auto"/>
        </w:rPr>
      </w:pPr>
    </w:p>
    <w:p>
      <w:pPr>
        <w:ind w:left="440" w:hanging="230"/>
        <w:spacing w:after="0"/>
        <w:tabs>
          <w:tab w:leader="none" w:pos="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discussion and analysis of the Corporation for the year ended March 31, 2025;</w:t>
      </w:r>
    </w:p>
    <w:p>
      <w:pPr>
        <w:spacing w:after="0" w:line="138" w:lineRule="exact"/>
        <w:rPr>
          <w:rFonts w:ascii="Times New Roman" w:cs="Times New Roman" w:eastAsia="Times New Roman" w:hAnsi="Times New Roman"/>
          <w:sz w:val="17"/>
          <w:szCs w:val="17"/>
          <w:color w:val="auto"/>
        </w:rPr>
      </w:pPr>
    </w:p>
    <w:p>
      <w:pPr>
        <w:ind w:left="420" w:hanging="210"/>
        <w:spacing w:after="0" w:line="272" w:lineRule="auto"/>
        <w:tabs>
          <w:tab w:leader="none" w:pos="44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17"/>
          <w:szCs w:val="17"/>
          <w:b w:val="1"/>
          <w:bCs w:val="1"/>
          <w:color w:val="auto"/>
        </w:rPr>
        <w:t>Interim Financial Statements</w:t>
      </w:r>
      <w:r>
        <w:rPr>
          <w:rFonts w:ascii="Times New Roman" w:cs="Times New Roman" w:eastAsia="Times New Roman" w:hAnsi="Times New Roman"/>
          <w:sz w:val="17"/>
          <w:szCs w:val="17"/>
          <w:color w:val="auto"/>
        </w:rPr>
        <w:t>");</w:t>
      </w:r>
    </w:p>
    <w:p>
      <w:pPr>
        <w:spacing w:after="0" w:line="91" w:lineRule="exact"/>
        <w:rPr>
          <w:rFonts w:ascii="Times New Roman" w:cs="Times New Roman" w:eastAsia="Times New Roman" w:hAnsi="Times New Roman"/>
          <w:sz w:val="17"/>
          <w:szCs w:val="17"/>
          <w:color w:val="auto"/>
        </w:rPr>
      </w:pPr>
    </w:p>
    <w:p>
      <w:pPr>
        <w:ind w:left="440" w:hanging="230"/>
        <w:spacing w:after="0"/>
        <w:tabs>
          <w:tab w:leader="none" w:pos="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discussion and analysis of the Corporation for the three months ended June 30, 2025 (the "</w:t>
      </w:r>
      <w:r>
        <w:rPr>
          <w:rFonts w:ascii="Times New Roman" w:cs="Times New Roman" w:eastAsia="Times New Roman" w:hAnsi="Times New Roman"/>
          <w:sz w:val="17"/>
          <w:szCs w:val="17"/>
          <w:b w:val="1"/>
          <w:bCs w:val="1"/>
          <w:color w:val="auto"/>
        </w:rPr>
        <w:t>Interim MD&amp;A</w:t>
      </w:r>
      <w:r>
        <w:rPr>
          <w:rFonts w:ascii="Times New Roman" w:cs="Times New Roman" w:eastAsia="Times New Roman" w:hAnsi="Times New Roman"/>
          <w:sz w:val="17"/>
          <w:szCs w:val="17"/>
          <w:color w:val="auto"/>
        </w:rPr>
        <w:t>");</w:t>
      </w:r>
    </w:p>
    <w:p>
      <w:pPr>
        <w:spacing w:after="0" w:line="138" w:lineRule="exact"/>
        <w:rPr>
          <w:rFonts w:ascii="Times New Roman" w:cs="Times New Roman" w:eastAsia="Times New Roman" w:hAnsi="Times New Roman"/>
          <w:sz w:val="17"/>
          <w:szCs w:val="17"/>
          <w:color w:val="auto"/>
        </w:rPr>
      </w:pPr>
    </w:p>
    <w:p>
      <w:pPr>
        <w:jc w:val="both"/>
        <w:ind w:left="420" w:hanging="210"/>
        <w:spacing w:after="0" w:line="257" w:lineRule="auto"/>
        <w:tabs>
          <w:tab w:leader="none" w:pos="44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change report dated July 9, 2025, in connection with a private placement (the "</w:t>
      </w:r>
      <w:r>
        <w:rPr>
          <w:rFonts w:ascii="Times New Roman" w:cs="Times New Roman" w:eastAsia="Times New Roman" w:hAnsi="Times New Roman"/>
          <w:sz w:val="17"/>
          <w:szCs w:val="17"/>
          <w:b w:val="1"/>
          <w:bCs w:val="1"/>
          <w:color w:val="auto"/>
        </w:rPr>
        <w:t>June 2025 Private Placement</w:t>
      </w:r>
      <w:r>
        <w:rPr>
          <w:rFonts w:ascii="Times New Roman" w:cs="Times New Roman" w:eastAsia="Times New Roman" w:hAnsi="Times New Roman"/>
          <w:sz w:val="17"/>
          <w:szCs w:val="17"/>
          <w:color w:val="auto"/>
        </w:rPr>
        <w:t>") completed by the Corporation on June 30, 2025, of US$50,000,000 aggregate principal amount of unsecured convertible debentures (the "</w:t>
      </w:r>
      <w:r>
        <w:rPr>
          <w:rFonts w:ascii="Times New Roman" w:cs="Times New Roman" w:eastAsia="Times New Roman" w:hAnsi="Times New Roman"/>
          <w:sz w:val="17"/>
          <w:szCs w:val="17"/>
          <w:b w:val="1"/>
          <w:bCs w:val="1"/>
          <w:color w:val="auto"/>
        </w:rPr>
        <w:t>Convertible Debentures</w:t>
      </w:r>
      <w:r>
        <w:rPr>
          <w:rFonts w:ascii="Times New Roman" w:cs="Times New Roman" w:eastAsia="Times New Roman" w:hAnsi="Times New Roman"/>
          <w:sz w:val="17"/>
          <w:szCs w:val="17"/>
          <w:color w:val="auto"/>
        </w:rPr>
        <w:t>") issued to a single investor pursuant to a securities purchase agreement, dated June 30, 2025, as amended on August 12, 2025 (the "</w:t>
      </w:r>
      <w:r>
        <w:rPr>
          <w:rFonts w:ascii="Times New Roman" w:cs="Times New Roman" w:eastAsia="Times New Roman" w:hAnsi="Times New Roman"/>
          <w:sz w:val="17"/>
          <w:szCs w:val="17"/>
          <w:b w:val="1"/>
          <w:bCs w:val="1"/>
          <w:color w:val="auto"/>
        </w:rPr>
        <w:t>Securities Purchase Agreement</w:t>
      </w:r>
      <w:r>
        <w:rPr>
          <w:rFonts w:ascii="Times New Roman" w:cs="Times New Roman" w:eastAsia="Times New Roman" w:hAnsi="Times New Roman"/>
          <w:sz w:val="17"/>
          <w:szCs w:val="17"/>
          <w:color w:val="auto"/>
        </w:rPr>
        <w:t>");</w:t>
      </w:r>
    </w:p>
    <w:p>
      <w:pPr>
        <w:spacing w:after="0" w:line="97" w:lineRule="exact"/>
        <w:rPr>
          <w:rFonts w:ascii="Times New Roman" w:cs="Times New Roman" w:eastAsia="Times New Roman" w:hAnsi="Times New Roman"/>
          <w:sz w:val="17"/>
          <w:szCs w:val="17"/>
          <w:color w:val="auto"/>
        </w:rPr>
      </w:pPr>
    </w:p>
    <w:p>
      <w:pPr>
        <w:ind w:left="440" w:hanging="230"/>
        <w:spacing w:after="0"/>
        <w:tabs>
          <w:tab w:leader="none" w:pos="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change report dated September 3, 2025, relating to senior leadership changes; and</w:t>
      </w:r>
    </w:p>
    <w:p>
      <w:pPr>
        <w:spacing w:after="0" w:line="149" w:lineRule="exact"/>
        <w:rPr>
          <w:rFonts w:ascii="Times New Roman" w:cs="Times New Roman" w:eastAsia="Times New Roman" w:hAnsi="Times New Roman"/>
          <w:sz w:val="17"/>
          <w:szCs w:val="17"/>
          <w:color w:val="auto"/>
        </w:rPr>
      </w:pPr>
    </w:p>
    <w:p>
      <w:pPr>
        <w:ind w:left="420" w:hanging="210"/>
        <w:spacing w:after="0" w:line="272" w:lineRule="auto"/>
        <w:tabs>
          <w:tab w:leader="none" w:pos="44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information circular of the Corporation dated July 14, 2025 relating to the annual meeting of shareholders of the Corporation held on August 18, 2025.</w:t>
      </w:r>
    </w:p>
    <w:p>
      <w:pPr>
        <w:spacing w:after="0" w:line="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Any document of the type referred to in Section 11.1 of Form 44-101F1 - </w:t>
      </w:r>
      <w:r>
        <w:rPr>
          <w:rFonts w:ascii="Times New Roman" w:cs="Times New Roman" w:eastAsia="Times New Roman" w:hAnsi="Times New Roman"/>
          <w:sz w:val="17"/>
          <w:szCs w:val="17"/>
          <w:i w:val="1"/>
          <w:iCs w:val="1"/>
          <w:color w:val="auto"/>
        </w:rPr>
        <w:t>Short Form Prospectus Distributions</w:t>
      </w:r>
      <w:r>
        <w:rPr>
          <w:rFonts w:ascii="Times New Roman" w:cs="Times New Roman" w:eastAsia="Times New Roman" w:hAnsi="Times New Roman"/>
          <w:sz w:val="17"/>
          <w:szCs w:val="17"/>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to the extent that any document or information incorporated by reference into this Prospectus Supplement is included in any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xml:space="preserve">"), from the date of this Prospectus Supplement and prior to the termination or completion of the Offering, such document or information shall be deemed to be incorporated by reference as exhibits to the Registration Statement of which this Prospectus Supplement and the Base Shelf Prospectus forms a part but, in the case of a report on Form 6-K, only if and to the extent expressly so provided in any such report. In addition, the Corporation may incorporate by reference into the Registration Statement, of which this Prospectus Supplement and the Base Shelf Prospectus form a part, other information from documents that the Corporation will file with or furnish to the SEC pursuant to Section 13(a) or 15(d) of the Exchange Act, if and to the extent expressly provided therein. The Corporation's current reports on Form 6-K and annual reports on Form 40-F are available on EDGAR at </w:t>
      </w:r>
      <w:r>
        <w:rPr>
          <w:rFonts w:ascii="Times New Roman" w:cs="Times New Roman" w:eastAsia="Times New Roman" w:hAnsi="Times New Roman"/>
          <w:sz w:val="17"/>
          <w:szCs w:val="17"/>
          <w:u w:val="single" w:color="auto"/>
          <w:color w:val="auto"/>
        </w:rPr>
        <w:t>www.sec.gov/edgar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-20955</wp:posOffset>
            </wp:positionV>
            <wp:extent cx="2730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05" cy="698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17"/>
          <w:szCs w:val="17"/>
          <w:u w:val="single" w:color="auto"/>
          <w:color w:val="auto"/>
        </w:rPr>
        <w:t>www.sedarplus.ca</w:t>
      </w:r>
      <w:r>
        <w:rPr>
          <w:rFonts w:ascii="Times New Roman" w:cs="Times New Roman" w:eastAsia="Times New Roman" w:hAnsi="Times New Roman"/>
          <w:sz w:val="17"/>
          <w:szCs w:val="17"/>
          <w:color w:val="auto"/>
        </w:rPr>
        <w:t xml:space="preserve">, and from the Corporation's EDGAR profile at </w:t>
      </w:r>
      <w:r>
        <w:rPr>
          <w:rFonts w:ascii="Times New Roman" w:cs="Times New Roman" w:eastAsia="Times New Roman" w:hAnsi="Times New Roman"/>
          <w:sz w:val="17"/>
          <w:szCs w:val="17"/>
          <w:u w:val="single" w:color="auto"/>
          <w:color w:val="auto"/>
        </w:rPr>
        <w:t>www.sec.gov/edgar</w:t>
      </w:r>
      <w:r>
        <w:rPr>
          <w:rFonts w:ascii="Times New Roman" w:cs="Times New Roman" w:eastAsia="Times New Roman" w:hAnsi="Times New Roman"/>
          <w:sz w:val="17"/>
          <w:szCs w:val="17"/>
          <w:color w:val="auto"/>
        </w:rPr>
        <w:t>. The Corporation's filings through SEDAR+ and EDGAR are not incorporated by reference in the Prospectus except as specifically set out herein.</w:t>
      </w:r>
    </w:p>
    <w:p>
      <w:pPr>
        <w:spacing w:after="0" w:line="9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color w:val="auto"/>
        </w:rPr>
        <w:t>Any statement contained in this Prospectus Supplement, the Base Shelf Prospectus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the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The Corporation has not provided or otherwise authorized any other person to provide investors with information other than that contained or incorporated by reference in this Prospectus Supplement or accompanying Base Shelf Prospectus, and the Corporation does not take any responsibility for other information that others may give an investor. If an investor is provided with different or inconsistent information, he or she should not rely on it.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FILED AS PART OF THE REGISTRATION STATEMENT</w:t>
      </w:r>
    </w:p>
    <w:p>
      <w:pPr>
        <w:spacing w:after="0" w:line="13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addition to the documents specified in this Prospectus Supplement and in the accompanying Base Shelf Prospectus under "</w:t>
      </w:r>
      <w:r>
        <w:rPr>
          <w:rFonts w:ascii="Times New Roman" w:cs="Times New Roman" w:eastAsia="Times New Roman" w:hAnsi="Times New Roman"/>
          <w:sz w:val="17"/>
          <w:szCs w:val="17"/>
          <w:i w:val="1"/>
          <w:iCs w:val="1"/>
          <w:color w:val="auto"/>
        </w:rPr>
        <w:t>Documents Incorporated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Reference</w:t>
      </w:r>
      <w:r>
        <w:rPr>
          <w:rFonts w:ascii="Times New Roman" w:cs="Times New Roman" w:eastAsia="Times New Roman" w:hAnsi="Times New Roman"/>
          <w:sz w:val="17"/>
          <w:szCs w:val="17"/>
          <w:color w:val="auto"/>
        </w:rPr>
        <w:t>", the following documents have been or will be filed with the SEC as part of the Registration Statement: (i) powers of attorney from certain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Corporation's directors and officers (included on the signature page of the Registration Statement); (ii) the consent of Zeifmans LLP; (iii) the consent of the Corporation's Canadian counsel, Aird &amp; Berlis LLP; (iv) the form of Purchase Agreement described in this Prospectus Supplement; (v) the Agency Agreement described in this Prospectus Supplement; and (vi) the forms of Pre-Funded Warrant Certificate and Warrant Certificate described in this Prospectus Supplement.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CURRENCY AND EXCHANGE RATE INFORMATION</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this Prospectus Supplement, unless otherwise indicated, all dollar amounts and references to "US$" and "$" are to U.S. dollars and references to "C$" are to Canadian dollars. This Prospectus Supplement contains translations of some Canadian dollar amounts into U.S. dollars solely for convenience.</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following table sets forth, for the periods indicated, the high, low, average and period-end rates of exchange for US$1.00, expressed in Canadian dollars, posted by the Bank of Canada: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4540" w:type="dxa"/>
            <w:vAlign w:val="bottom"/>
          </w:tcPr>
          <w:p>
            <w:pPr>
              <w:spacing w:after="0"/>
              <w:rPr>
                <w:sz w:val="16"/>
                <w:szCs w:val="16"/>
                <w:color w:val="auto"/>
              </w:rPr>
            </w:pPr>
          </w:p>
        </w:tc>
        <w:tc>
          <w:tcPr>
            <w:tcW w:w="4800" w:type="dxa"/>
            <w:vAlign w:val="bottom"/>
          </w:tcPr>
          <w:p>
            <w:pPr>
              <w:jc w:val="center"/>
              <w:ind w:left="2448"/>
              <w:spacing w:after="0"/>
              <w:rPr>
                <w:sz w:val="20"/>
                <w:szCs w:val="20"/>
                <w:color w:val="auto"/>
              </w:rPr>
            </w:pPr>
            <w:r>
              <w:rPr>
                <w:rFonts w:ascii="Times New Roman" w:cs="Times New Roman" w:eastAsia="Times New Roman" w:hAnsi="Times New Roman"/>
                <w:sz w:val="14"/>
                <w:szCs w:val="14"/>
                <w:b w:val="1"/>
                <w:bCs w:val="1"/>
                <w:color w:val="auto"/>
              </w:rPr>
              <w:t>Year Ended March 31, 2025</w:t>
            </w:r>
          </w:p>
        </w:tc>
        <w:tc>
          <w:tcPr>
            <w:tcW w:w="19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73"/>
        </w:trPr>
        <w:tc>
          <w:tcPr>
            <w:tcW w:w="454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4"/>
                <w:szCs w:val="14"/>
                <w:color w:val="auto"/>
              </w:rPr>
              <w:t>Highest rate during the period</w:t>
            </w:r>
          </w:p>
        </w:tc>
        <w:tc>
          <w:tcPr>
            <w:tcW w:w="4800" w:type="dxa"/>
            <w:vAlign w:val="bottom"/>
            <w:shd w:val="clear" w:color="auto" w:fill="E6EFFF"/>
          </w:tcPr>
          <w:p>
            <w:pPr>
              <w:jc w:val="center"/>
              <w:ind w:left="2448"/>
              <w:spacing w:after="0"/>
              <w:rPr>
                <w:sz w:val="20"/>
                <w:szCs w:val="20"/>
                <w:color w:val="auto"/>
              </w:rPr>
            </w:pPr>
            <w:r>
              <w:rPr>
                <w:rFonts w:ascii="Times New Roman" w:cs="Times New Roman" w:eastAsia="Times New Roman" w:hAnsi="Times New Roman"/>
                <w:sz w:val="14"/>
                <w:szCs w:val="14"/>
                <w:color w:val="auto"/>
              </w:rPr>
              <w:t>C$1.4603</w:t>
            </w:r>
          </w:p>
        </w:tc>
        <w:tc>
          <w:tcPr>
            <w:tcW w:w="1940" w:type="dxa"/>
            <w:vAlign w:val="bottom"/>
            <w:shd w:val="clear" w:color="auto" w:fill="E6EFFF"/>
          </w:tcPr>
          <w:p>
            <w:pPr>
              <w:jc w:val="center"/>
              <w:ind w:right="108"/>
              <w:spacing w:after="0"/>
              <w:rPr>
                <w:sz w:val="20"/>
                <w:szCs w:val="20"/>
                <w:color w:val="auto"/>
              </w:rPr>
            </w:pPr>
            <w:r>
              <w:rPr>
                <w:rFonts w:ascii="Times New Roman" w:cs="Times New Roman" w:eastAsia="Times New Roman" w:hAnsi="Times New Roman"/>
                <w:sz w:val="14"/>
                <w:szCs w:val="14"/>
                <w:color w:val="auto"/>
              </w:rPr>
              <w:t>C$1.4348</w:t>
            </w:r>
          </w:p>
        </w:tc>
      </w:tr>
      <w:tr>
        <w:trPr>
          <w:trHeight w:val="17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Lowest rate during the period</w:t>
            </w:r>
          </w:p>
        </w:tc>
        <w:tc>
          <w:tcPr>
            <w:tcW w:w="4800" w:type="dxa"/>
            <w:vAlign w:val="bottom"/>
          </w:tcPr>
          <w:p>
            <w:pPr>
              <w:jc w:val="center"/>
              <w:ind w:left="2448"/>
              <w:spacing w:after="0"/>
              <w:rPr>
                <w:sz w:val="20"/>
                <w:szCs w:val="20"/>
                <w:color w:val="auto"/>
              </w:rPr>
            </w:pPr>
            <w:r>
              <w:rPr>
                <w:rFonts w:ascii="Times New Roman" w:cs="Times New Roman" w:eastAsia="Times New Roman" w:hAnsi="Times New Roman"/>
                <w:sz w:val="14"/>
                <w:szCs w:val="14"/>
                <w:color w:val="auto"/>
              </w:rPr>
              <w:t>C$1.3460</w:t>
            </w:r>
          </w:p>
        </w:tc>
        <w:tc>
          <w:tcPr>
            <w:tcW w:w="19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C$1.3558</w:t>
            </w:r>
          </w:p>
        </w:tc>
      </w:tr>
      <w:tr>
        <w:trPr>
          <w:trHeight w:val="172"/>
        </w:trPr>
        <w:tc>
          <w:tcPr>
            <w:tcW w:w="454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4"/>
                <w:szCs w:val="14"/>
                <w:color w:val="auto"/>
              </w:rPr>
              <w:t>Average rate for the period</w:t>
            </w:r>
          </w:p>
        </w:tc>
        <w:tc>
          <w:tcPr>
            <w:tcW w:w="4800" w:type="dxa"/>
            <w:vAlign w:val="bottom"/>
            <w:shd w:val="clear" w:color="auto" w:fill="E6EFFF"/>
          </w:tcPr>
          <w:p>
            <w:pPr>
              <w:jc w:val="center"/>
              <w:ind w:left="2448"/>
              <w:spacing w:after="0"/>
              <w:rPr>
                <w:sz w:val="20"/>
                <w:szCs w:val="20"/>
                <w:color w:val="auto"/>
              </w:rPr>
            </w:pPr>
            <w:r>
              <w:rPr>
                <w:rFonts w:ascii="Times New Roman" w:cs="Times New Roman" w:eastAsia="Times New Roman" w:hAnsi="Times New Roman"/>
                <w:sz w:val="14"/>
                <w:szCs w:val="14"/>
                <w:color w:val="auto"/>
              </w:rPr>
              <w:t>C$1.3913</w:t>
            </w:r>
          </w:p>
        </w:tc>
        <w:tc>
          <w:tcPr>
            <w:tcW w:w="1940" w:type="dxa"/>
            <w:vAlign w:val="bottom"/>
            <w:shd w:val="clear" w:color="auto" w:fill="E6EFFF"/>
          </w:tcPr>
          <w:p>
            <w:pPr>
              <w:jc w:val="center"/>
              <w:ind w:right="108"/>
              <w:spacing w:after="0"/>
              <w:rPr>
                <w:sz w:val="20"/>
                <w:szCs w:val="20"/>
                <w:color w:val="auto"/>
              </w:rPr>
            </w:pPr>
            <w:r>
              <w:rPr>
                <w:rFonts w:ascii="Times New Roman" w:cs="Times New Roman" w:eastAsia="Times New Roman" w:hAnsi="Times New Roman"/>
                <w:sz w:val="14"/>
                <w:szCs w:val="14"/>
                <w:color w:val="auto"/>
              </w:rPr>
              <w:t>C$1.3807</w:t>
            </w:r>
          </w:p>
        </w:tc>
      </w:tr>
      <w:tr>
        <w:trPr>
          <w:trHeight w:val="18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Rate at the end of the period</w:t>
            </w:r>
          </w:p>
        </w:tc>
        <w:tc>
          <w:tcPr>
            <w:tcW w:w="4800" w:type="dxa"/>
            <w:vAlign w:val="bottom"/>
          </w:tcPr>
          <w:p>
            <w:pPr>
              <w:jc w:val="center"/>
              <w:ind w:left="2448"/>
              <w:spacing w:after="0"/>
              <w:rPr>
                <w:sz w:val="20"/>
                <w:szCs w:val="20"/>
                <w:color w:val="auto"/>
              </w:rPr>
            </w:pPr>
            <w:r>
              <w:rPr>
                <w:rFonts w:ascii="Times New Roman" w:cs="Times New Roman" w:eastAsia="Times New Roman" w:hAnsi="Times New Roman"/>
                <w:sz w:val="14"/>
                <w:szCs w:val="14"/>
                <w:color w:val="auto"/>
              </w:rPr>
              <w:t>C$1.4376</w:t>
            </w:r>
          </w:p>
        </w:tc>
        <w:tc>
          <w:tcPr>
            <w:tcW w:w="19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C$1.3921</w:t>
            </w: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0" w:name="page11"/>
    <w:bookmarkEnd w:id="10"/>
    <w:p>
      <w:pPr>
        <w:jc w:val="both"/>
        <w:spacing w:after="0" w:line="273" w:lineRule="auto"/>
        <w:rPr>
          <w:sz w:val="20"/>
          <w:szCs w:val="20"/>
          <w:color w:val="auto"/>
        </w:rPr>
      </w:pPr>
      <w:r>
        <w:rPr>
          <w:rFonts w:ascii="Times New Roman" w:cs="Times New Roman" w:eastAsia="Times New Roman" w:hAnsi="Times New Roman"/>
          <w:sz w:val="17"/>
          <w:szCs w:val="17"/>
          <w:color w:val="auto"/>
        </w:rPr>
        <w:t>On October 27 2025, the daily average exchange rate posted by the Bank of Canada for conversion of U.S. dollars into Canadian dollars was US$1.00 = C$1.3995 (the “</w:t>
      </w:r>
      <w:r>
        <w:rPr>
          <w:rFonts w:ascii="Times New Roman" w:cs="Times New Roman" w:eastAsia="Times New Roman" w:hAnsi="Times New Roman"/>
          <w:sz w:val="17"/>
          <w:szCs w:val="17"/>
          <w:b w:val="1"/>
          <w:bCs w:val="1"/>
          <w:color w:val="auto"/>
        </w:rPr>
        <w:t>2025 Rate</w:t>
      </w:r>
      <w:r>
        <w:rPr>
          <w:rFonts w:ascii="Times New Roman" w:cs="Times New Roman" w:eastAsia="Times New Roman" w:hAnsi="Times New Roman"/>
          <w:sz w:val="17"/>
          <w:szCs w:val="17"/>
          <w:color w:val="auto"/>
        </w:rPr>
        <w:t>”). Unless otherwise indicated, currency translation in this Prospectus Supplement reflects the 2025 Rate.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 xml:space="preserve">The Corporation has filed with the SEC the Registration Statement under the U.S. Securities Act with respect to the Securities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t>
      </w:r>
      <w:r>
        <w:rPr>
          <w:rFonts w:ascii="Times New Roman" w:cs="Times New Roman" w:eastAsia="Times New Roman" w:hAnsi="Times New Roman"/>
          <w:sz w:val="17"/>
          <w:szCs w:val="17"/>
          <w:u w:val="single" w:color="auto"/>
          <w:color w:val="auto"/>
        </w:rPr>
        <w:t>www.sec.gov/edgar</w:t>
      </w:r>
      <w:r>
        <w:rPr>
          <w:rFonts w:ascii="Times New Roman" w:cs="Times New Roman" w:eastAsia="Times New Roman" w:hAnsi="Times New Roman"/>
          <w:sz w:val="17"/>
          <w:szCs w:val="17"/>
          <w:color w:val="auto"/>
        </w:rPr>
        <w:t>. Reference is also made to the Registration Statement and the exhibits thereto for further information with respect to the Corporation, the Offering and the Securities.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CORPORATION</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This summary does not contain all the information that may be important to an investor in deciding whether to invest in the Securities.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the Business</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w:t>
      </w:r>
    </w:p>
    <w:p>
      <w:pPr>
        <w:spacing w:after="0"/>
        <w:rPr>
          <w:sz w:val="20"/>
          <w:szCs w:val="20"/>
          <w:color w:val="auto"/>
        </w:rPr>
      </w:pPr>
      <w:r>
        <w:rPr>
          <w:rFonts w:ascii="Times New Roman" w:cs="Times New Roman" w:eastAsia="Times New Roman" w:hAnsi="Times New Roman"/>
          <w:sz w:val="17"/>
          <w:szCs w:val="17"/>
          <w:color w:val="auto"/>
        </w:rPr>
        <w:t>innovative drug delivery systems, and novel formulation approaches and treatment regimens.</w:t>
      </w:r>
      <w:r>
        <w:rPr>
          <w:rFonts w:ascii="Times New Roman" w:cs="Times New Roman" w:eastAsia="Times New Roman" w:hAnsi="Times New Roman"/>
          <w:sz w:val="28"/>
          <w:szCs w:val="28"/>
          <w:color w:val="auto"/>
          <w:vertAlign w:val="superscript"/>
        </w:rPr>
        <w:t>1</w:t>
      </w:r>
    </w:p>
    <w:p>
      <w:pPr>
        <w:spacing w:after="0" w:line="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17"/>
          <w:szCs w:val="17"/>
          <w:b w:val="1"/>
          <w:bCs w:val="1"/>
          <w:color w:val="auto"/>
        </w:rPr>
        <w:t>IP</w:t>
      </w:r>
      <w:r>
        <w:rPr>
          <w:rFonts w:ascii="Times New Roman" w:cs="Times New Roman" w:eastAsia="Times New Roman" w:hAnsi="Times New Roman"/>
          <w:sz w:val="17"/>
          <w:szCs w:val="17"/>
          <w:color w:val="auto"/>
        </w:rPr>
        <w:t>") focused on developing the Corporation's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17"/>
          <w:szCs w:val="17"/>
          <w:b w:val="1"/>
          <w:bCs w:val="1"/>
          <w:color w:val="auto"/>
        </w:rPr>
        <w:t>DMT</w:t>
      </w:r>
      <w:r>
        <w:rPr>
          <w:rFonts w:ascii="Times New Roman" w:cs="Times New Roman" w:eastAsia="Times New Roman" w:hAnsi="Times New Roman"/>
          <w:sz w:val="17"/>
          <w:szCs w:val="17"/>
          <w:color w:val="auto"/>
        </w:rPr>
        <w:t>"), CYB005, phenethylamine and tryptamine derivatives, and an expansive list of preclinical molecules to facilitate future drug development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23660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66010" cy="6985"/>
                    </a:xfrm>
                    <a:prstGeom prst="rect">
                      <a:avLst/>
                    </a:prstGeom>
                    <a:noFill/>
                  </pic:spPr>
                </pic:pic>
              </a:graphicData>
            </a:graphic>
          </wp:anchor>
        </w:drawing>
      </w:r>
    </w:p>
    <w:p>
      <w:pPr>
        <w:spacing w:after="0" w:line="224" w:lineRule="exact"/>
        <w:rPr>
          <w:sz w:val="20"/>
          <w:szCs w:val="20"/>
          <w:color w:val="auto"/>
        </w:rPr>
      </w:pPr>
    </w:p>
    <w:p>
      <w:pPr>
        <w:jc w:val="both"/>
        <w:ind w:firstLine="6"/>
        <w:spacing w:after="0" w:line="222" w:lineRule="auto"/>
        <w:tabs>
          <w:tab w:leader="none" w:pos="118"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1" w:name="page12"/>
    <w:bookmarkEnd w:id="11"/>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On October 23, 2023, the Corporation completed a statutory plan of arrangement under the provisions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(the "</w:t>
      </w:r>
      <w:r>
        <w:rPr>
          <w:rFonts w:ascii="Times New Roman" w:cs="Times New Roman" w:eastAsia="Times New Roman" w:hAnsi="Times New Roman"/>
          <w:sz w:val="17"/>
          <w:szCs w:val="17"/>
          <w:b w:val="1"/>
          <w:bCs w:val="1"/>
          <w:color w:val="auto"/>
        </w:rPr>
        <w:t>Arrangement</w:t>
      </w:r>
      <w:r>
        <w:rPr>
          <w:rFonts w:ascii="Times New Roman" w:cs="Times New Roman" w:eastAsia="Times New Roman" w:hAnsi="Times New Roman"/>
          <w:sz w:val="17"/>
          <w:szCs w:val="17"/>
          <w:color w:val="auto"/>
        </w:rPr>
        <w:t>"), pursuant to which Small Pharma Inc. ("</w:t>
      </w:r>
      <w:r>
        <w:rPr>
          <w:rFonts w:ascii="Times New Roman" w:cs="Times New Roman" w:eastAsia="Times New Roman" w:hAnsi="Times New Roman"/>
          <w:sz w:val="17"/>
          <w:szCs w:val="17"/>
          <w:b w:val="1"/>
          <w:bCs w:val="1"/>
          <w:color w:val="auto"/>
        </w:rPr>
        <w:t>Small Pharma</w:t>
      </w:r>
      <w:r>
        <w:rPr>
          <w:rFonts w:ascii="Times New Roman" w:cs="Times New Roman" w:eastAsia="Times New Roman" w:hAnsi="Times New Roman"/>
          <w:sz w:val="17"/>
          <w:szCs w:val="17"/>
          <w:color w:val="auto"/>
        </w:rPr>
        <w:t xml:space="preserve">") became a 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(the "</w:t>
      </w:r>
      <w:r>
        <w:rPr>
          <w:rFonts w:ascii="Times New Roman" w:cs="Times New Roman" w:eastAsia="Times New Roman" w:hAnsi="Times New Roman"/>
          <w:sz w:val="17"/>
          <w:szCs w:val="17"/>
          <w:b w:val="1"/>
          <w:bCs w:val="1"/>
          <w:color w:val="auto"/>
        </w:rPr>
        <w:t>OBCA</w:t>
      </w:r>
      <w:r>
        <w:rPr>
          <w:rFonts w:ascii="Times New Roman" w:cs="Times New Roman" w:eastAsia="Times New Roman" w:hAnsi="Times New Roman"/>
          <w:sz w:val="17"/>
          <w:szCs w:val="17"/>
          <w:color w:val="auto"/>
        </w:rPr>
        <w:t>"), Small Pharma completed a horizontal amalgamation with Cybin Corp., with Cybin Corp. being the resulting entity. As a result of this amalgamation, Cybin UK Ltd is now a wholly-owned subsidiary of Cybin Corp.</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09" w:lineRule="exact"/>
        <w:rPr>
          <w:sz w:val="20"/>
          <w:szCs w:val="20"/>
          <w:color w:val="auto"/>
        </w:rPr>
      </w:pPr>
    </w:p>
    <w:p>
      <w:pPr>
        <w:ind w:right="800"/>
        <w:spacing w:after="0" w:line="409" w:lineRule="auto"/>
        <w:rPr>
          <w:sz w:val="20"/>
          <w:szCs w:val="20"/>
          <w:color w:val="auto"/>
        </w:rPr>
      </w:pPr>
      <w:r>
        <w:rPr>
          <w:rFonts w:ascii="Times New Roman" w:cs="Times New Roman" w:eastAsia="Times New Roman" w:hAnsi="Times New Roman"/>
          <w:sz w:val="17"/>
          <w:szCs w:val="17"/>
          <w:color w:val="auto"/>
        </w:rPr>
        <w:t xml:space="preserve">As a result of the acquisition of Small Pharma under the Arrangement, Cybin currently has over 100 granted patents and over 250 pending applications. </w:t>
      </w:r>
      <w:r>
        <w:rPr>
          <w:rFonts w:ascii="Times New Roman" w:cs="Times New Roman" w:eastAsia="Times New Roman" w:hAnsi="Times New Roman"/>
          <w:sz w:val="17"/>
          <w:szCs w:val="17"/>
          <w:b w:val="1"/>
          <w:bCs w:val="1"/>
          <w:i w:val="1"/>
          <w:iCs w:val="1"/>
          <w:color w:val="auto"/>
        </w:rPr>
        <w:t>Advancement of Mental Healthcare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Corporation is conducting research and development of next-generation therapeutics that aim to address unmet needs in the treatment of mental health and neurological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active pharmaceutical ingredients intended to be delivered through innovative drug delivery systems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via inhalation, via intravenous, and intramuscular, or subcutaneous administration.</w:t>
      </w:r>
      <w:r>
        <w:rPr>
          <w:rFonts w:ascii="Times New Roman" w:cs="Times New Roman" w:eastAsia="Times New Roman" w:hAnsi="Times New Roman"/>
          <w:sz w:val="28"/>
          <w:szCs w:val="28"/>
          <w:color w:val="auto"/>
          <w:vertAlign w:val="superscript"/>
        </w:rPr>
        <w:t>2</w:t>
      </w:r>
    </w:p>
    <w:p>
      <w:pPr>
        <w:spacing w:after="0" w:line="4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The Corporation is also developing compounds that may have the potential to address neuroinflammation, central nervous system disorders, and psychiatric disorders.</w:t>
      </w:r>
      <w:r>
        <w:rPr>
          <w:rFonts w:ascii="Times New Roman" w:cs="Times New Roman" w:eastAsia="Times New Roman" w:hAnsi="Times New Roman"/>
          <w:sz w:val="28"/>
          <w:szCs w:val="28"/>
          <w:color w:val="auto"/>
          <w:vertAlign w:val="superscript"/>
        </w:rPr>
        <w:t>4</w:t>
      </w:r>
    </w:p>
    <w:p>
      <w:pPr>
        <w:spacing w:after="0" w:line="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Further, over the next 12-month period, the Corporation will continue to seek to establish strategic partnerships that advance the Corporation's scientific research and IP for new psychedelic-based compounds and novel delivery mechanisms.</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The Corporation will also continue to sponsor select internal and partner-related clinical trials that advance the understanding of safety and efficacy for various psychedelic agents that target mental health and neurological conditions.</w:t>
      </w:r>
      <w:r>
        <w:rPr>
          <w:rFonts w:ascii="Times New Roman" w:cs="Times New Roman" w:eastAsia="Times New Roman" w:hAnsi="Times New Roman"/>
          <w:sz w:val="28"/>
          <w:szCs w:val="28"/>
          <w:color w:val="auto"/>
          <w:vertAlign w:val="superscript"/>
        </w:rPr>
        <w:t>6</w:t>
      </w:r>
    </w:p>
    <w:p>
      <w:pPr>
        <w:spacing w:after="0" w:line="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For additional information in respect of the Corporation and its operations, please see the Annual Information Form and Interim MD&amp;A incorporated by reference into this Prospectus Supplement.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July 17, 2025, the Corporation announced that it has received approval from the UK Medical and Healthcare Products Regulatory Agency to commence the EMBRACE study. EMBRACE is the second pivotal study in PARADIGM, the Corporation's Phase 3 multinational program evaluating CYB003, its proprietary deuterated psilocin analog.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75565</wp:posOffset>
            </wp:positionV>
            <wp:extent cx="236601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66010" cy="6985"/>
                    </a:xfrm>
                    <a:prstGeom prst="rect">
                      <a:avLst/>
                    </a:prstGeom>
                    <a:noFill/>
                  </pic:spPr>
                </pic:pic>
              </a:graphicData>
            </a:graphic>
          </wp:anchor>
        </w:drawing>
      </w:r>
    </w:p>
    <w:p>
      <w:pPr>
        <w:spacing w:after="0" w:line="109" w:lineRule="exact"/>
        <w:rPr>
          <w:sz w:val="20"/>
          <w:szCs w:val="20"/>
          <w:color w:val="auto"/>
        </w:rPr>
      </w:pPr>
    </w:p>
    <w:p>
      <w:pPr>
        <w:ind w:left="120" w:hanging="114"/>
        <w:spacing w:after="0"/>
        <w:tabs>
          <w:tab w:leader="none" w:pos="1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See footnote 1.</w:t>
      </w:r>
    </w:p>
    <w:p>
      <w:pPr>
        <w:spacing w:after="0" w:line="31" w:lineRule="exact"/>
        <w:rPr>
          <w:rFonts w:ascii="Times New Roman" w:cs="Times New Roman" w:eastAsia="Times New Roman" w:hAnsi="Times New Roman"/>
          <w:sz w:val="29"/>
          <w:szCs w:val="29"/>
          <w:color w:val="auto"/>
          <w:vertAlign w:val="superscript"/>
        </w:rPr>
      </w:pPr>
    </w:p>
    <w:p>
      <w:pPr>
        <w:spacing w:after="0" w:line="183"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7"/>
          <w:szCs w:val="17"/>
          <w:color w:val="auto"/>
        </w:rPr>
        <w:t xml:space="preserve"> See footnote 1.</w:t>
      </w:r>
    </w:p>
    <w:p>
      <w:pPr>
        <w:spacing w:after="0" w:line="183"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17"/>
          <w:szCs w:val="17"/>
          <w:color w:val="auto"/>
        </w:rPr>
        <w:t xml:space="preserve"> See footnote 1.</w:t>
      </w:r>
    </w:p>
    <w:p>
      <w:pPr>
        <w:spacing w:after="0" w:line="183"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7"/>
          <w:szCs w:val="17"/>
          <w:color w:val="auto"/>
        </w:rPr>
        <w:t xml:space="preserve"> See footnote 1.</w:t>
      </w: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See footnote 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2" w:name="page13"/>
    <w:bookmarkEnd w:id="12"/>
    <w:p>
      <w:pPr>
        <w:jc w:val="both"/>
        <w:spacing w:after="0" w:line="273" w:lineRule="auto"/>
        <w:rPr>
          <w:sz w:val="20"/>
          <w:szCs w:val="20"/>
          <w:color w:val="auto"/>
        </w:rPr>
      </w:pPr>
      <w:r>
        <w:rPr>
          <w:rFonts w:ascii="Times New Roman" w:cs="Times New Roman" w:eastAsia="Times New Roman" w:hAnsi="Times New Roman"/>
          <w:sz w:val="17"/>
          <w:szCs w:val="17"/>
          <w:color w:val="auto"/>
        </w:rPr>
        <w:t>On August 7, 2025, the Corporation announced that its Clinical Trial Application has been approved by the Irish Medicines Board, acting as the reference Member state, to initiate the EMBRACE study in Ireland, Poland, and Greece.</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 August 26, 2025, the Corporation announced that it has received approval in Australia to conduct the EMBRACE study. The Corporation has received approval through the Clinical Trial Notification scheme, obtained clearance from multiple Ethics Committees of the Australian Therapeutics Goods Administration, and the study site Research Governance Offices, thus allowing the commencements of the EMBRACE study.</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September 2, 2025, the Corporation announced that, effective September 2, 2025, Douglas Drysdale stepped down as the Corporation's Chief Executive Officer. The Corporation's co-founder and President, Eric So, was appointed as Interim Chief Executive Officer by the Board of Directors.</w:t>
      </w:r>
    </w:p>
    <w:p>
      <w:pPr>
        <w:spacing w:after="0" w:line="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September 8, 2025, the Corporation announced completion of enrollment in its Phase 2 study evaluating CYB004, a proprietary DMT program, for the treatment of Generalized Anxiety Disorder ("</w:t>
      </w:r>
      <w:r>
        <w:rPr>
          <w:rFonts w:ascii="Times New Roman" w:cs="Times New Roman" w:eastAsia="Times New Roman" w:hAnsi="Times New Roman"/>
          <w:sz w:val="17"/>
          <w:szCs w:val="17"/>
          <w:b w:val="1"/>
          <w:bCs w:val="1"/>
          <w:color w:val="auto"/>
        </w:rPr>
        <w:t>GAD</w:t>
      </w:r>
      <w:r>
        <w:rPr>
          <w:rFonts w:ascii="Times New Roman" w:cs="Times New Roman" w:eastAsia="Times New Roman" w:hAnsi="Times New Roman"/>
          <w:sz w:val="17"/>
          <w:szCs w:val="17"/>
          <w:color w:val="auto"/>
        </w:rPr>
        <w:t>") and reaffirmed top line data guidance expected in the first quarter of 2026.</w:t>
      </w:r>
      <w:r>
        <w:rPr>
          <w:rFonts w:ascii="Times New Roman" w:cs="Times New Roman" w:eastAsia="Times New Roman" w:hAnsi="Times New Roman"/>
          <w:sz w:val="28"/>
          <w:szCs w:val="28"/>
          <w:color w:val="auto"/>
          <w:vertAlign w:val="superscript"/>
        </w:rPr>
        <w:t>7</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On September 23, 2025, the Corporation highlighted certain clinical and regulatory milestones for its Deuterated Psilocin Program CYB003 and its Deuterated Dimethyltryptamine Program CYB004. The Corporation expects to provide topline efficacy data from the Phase 3 study, APPROACH in Q4 2026, expects</w:t>
      </w:r>
    </w:p>
    <w:p>
      <w:pPr>
        <w:jc w:val="both"/>
        <w:spacing w:after="0" w:line="203" w:lineRule="auto"/>
        <w:rPr>
          <w:sz w:val="20"/>
          <w:szCs w:val="20"/>
          <w:color w:val="auto"/>
        </w:rPr>
      </w:pPr>
      <w:r>
        <w:rPr>
          <w:rFonts w:ascii="Times New Roman" w:cs="Times New Roman" w:eastAsia="Times New Roman" w:hAnsi="Times New Roman"/>
          <w:sz w:val="17"/>
          <w:szCs w:val="17"/>
          <w:color w:val="auto"/>
        </w:rPr>
        <w:t>initiation of enrollment in its second Phase 3 study, EMBRACE in Q4 2025</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and has begun patient rollovers on its EXTEND long-term extension study. Further, the Corporation noted that it continues to expect topline data from its CYB004 GAD study in Q1 2026.</w:t>
      </w:r>
    </w:p>
    <w:p>
      <w:pPr>
        <w:spacing w:after="0" w:line="1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On September 26, 2025, the board of directors of the Corporation authorized the Corporation to enter into amended consulting agreements with the Corporation's President and Interim Chief Executive Officer, Eric So, and Chief Growth Officer, Paul Glavine (each, an "</w:t>
      </w:r>
      <w:r>
        <w:rPr>
          <w:rFonts w:ascii="Times New Roman" w:cs="Times New Roman" w:eastAsia="Times New Roman" w:hAnsi="Times New Roman"/>
          <w:sz w:val="17"/>
          <w:szCs w:val="17"/>
          <w:b w:val="1"/>
          <w:bCs w:val="1"/>
          <w:color w:val="auto"/>
        </w:rPr>
        <w:t>Executive</w:t>
      </w:r>
      <w:r>
        <w:rPr>
          <w:rFonts w:ascii="Times New Roman" w:cs="Times New Roman" w:eastAsia="Times New Roman" w:hAnsi="Times New Roman"/>
          <w:sz w:val="17"/>
          <w:szCs w:val="17"/>
          <w:color w:val="auto"/>
        </w:rPr>
        <w:t>"), through their respective consulting corporation, pursuant to which each Executive would be entitled to receive, subject to the approval of the board of directors of the Corporation and the terms of the Corporation's equity incentive plan (the "</w:t>
      </w:r>
      <w:r>
        <w:rPr>
          <w:rFonts w:ascii="Times New Roman" w:cs="Times New Roman" w:eastAsia="Times New Roman" w:hAnsi="Times New Roman"/>
          <w:sz w:val="17"/>
          <w:szCs w:val="17"/>
          <w:b w:val="1"/>
          <w:bCs w:val="1"/>
          <w:color w:val="auto"/>
        </w:rPr>
        <w:t>Equity Incentive Plan</w:t>
      </w:r>
      <w:r>
        <w:rPr>
          <w:rFonts w:ascii="Times New Roman" w:cs="Times New Roman" w:eastAsia="Times New Roman" w:hAnsi="Times New Roman"/>
          <w:sz w:val="17"/>
          <w:szCs w:val="17"/>
          <w:color w:val="auto"/>
        </w:rPr>
        <w:t>"), performance-based awards within the available equity pool on or prior to December 31, 2026 or cash payments in lieu thereof. Such performance awards would vest into common shares over a three-year period following the grant date, subject to acceleration upon satisfaction of certain performance-related conditions or other customary events.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Updates</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Corporation previously disclosed in the Interim MD&amp;A that, on October 31, 2023, it announced its Phase 2a interim results for CYB003, which demonstrated a reduction in symptoms of depression three weeks following a single 12mg dose compared to placebo, in participants with moderate to severe major depressive disorder ("</w:t>
      </w:r>
      <w:r>
        <w:rPr>
          <w:rFonts w:ascii="Times New Roman" w:cs="Times New Roman" w:eastAsia="Times New Roman" w:hAnsi="Times New Roman"/>
          <w:sz w:val="17"/>
          <w:szCs w:val="17"/>
          <w:b w:val="1"/>
          <w:bCs w:val="1"/>
          <w:color w:val="auto"/>
        </w:rPr>
        <w:t>MDD</w:t>
      </w:r>
      <w:r>
        <w:rPr>
          <w:rFonts w:ascii="Times New Roman" w:cs="Times New Roman" w:eastAsia="Times New Roman" w:hAnsi="Times New Roman"/>
          <w:sz w:val="17"/>
          <w:szCs w:val="17"/>
          <w:color w:val="auto"/>
        </w:rPr>
        <w:t>"). The Corporation noted the reduction in MDD symptoms at the 3-week primary efficacy endpoint, defined as change from baseline in the MADRS total score, being superior in participants assigned to CYB003 compared to the participants who received placebo by 14.08 points (p=0.0005, Cohen's d=2.15), which the Corporation has updated to a change from base line in the MADRS total score of 14.1 points (p=0.0001, Cohen's d=2.31).</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 previously disclosed in the Interim MD&amp;A that, on November 30, 2023, it announced its Phase 2a topline results for CYB003, which demonstrated improvements in symptoms of depression after single doses of CYB003 with an average 13.75 point difference in MADRS score reduction between CYB003 and placebo which was statistically significant at 3 weeks (p&lt;0.0001), which the Corporation has updated to a 13 point difference in MADRS score reduction (p=0.0080, Cohen's d=2.54).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236601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66010" cy="6985"/>
                    </a:xfrm>
                    <a:prstGeom prst="rect">
                      <a:avLst/>
                    </a:prstGeom>
                    <a:noFill/>
                  </pic:spPr>
                </pic:pic>
              </a:graphicData>
            </a:graphic>
          </wp:anchor>
        </w:drawing>
      </w:r>
    </w:p>
    <w:p>
      <w:pPr>
        <w:spacing w:after="0" w:line="107" w:lineRule="exact"/>
        <w:rPr>
          <w:sz w:val="20"/>
          <w:szCs w:val="20"/>
          <w:color w:val="auto"/>
        </w:rPr>
      </w:pPr>
    </w:p>
    <w:p>
      <w:pPr>
        <w:ind w:left="120" w:hanging="114"/>
        <w:spacing w:after="0"/>
        <w:tabs>
          <w:tab w:leader="none" w:pos="12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There is no assurance that this timeline will be met. See footnote 1.</w:t>
      </w:r>
    </w:p>
    <w:p>
      <w:pPr>
        <w:spacing w:after="0" w:line="21" w:lineRule="exact"/>
        <w:rPr>
          <w:sz w:val="20"/>
          <w:szCs w:val="20"/>
          <w:color w:val="auto"/>
        </w:rPr>
      </w:pPr>
    </w:p>
    <w:p>
      <w:pPr>
        <w:jc w:val="both"/>
        <w:ind w:firstLine="6"/>
        <w:spacing w:after="0" w:line="210" w:lineRule="auto"/>
        <w:tabs>
          <w:tab w:leader="none" w:pos="115"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The Corporation has updated the anticipated timeline for completion of this milestone. The Corporation had previously expected it would complete this milestone mid-year 2025. The revised timing reflects a change in how the milestone is defined. Previously, initiation was marked by the first site initiation visit; it is now defined as the initiation of enrollment. Anticipated timelines regarding drug development are based on reasonable assumptions informed by current knowledge and information available to the Corporation at the time.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Intercorporate Relationships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107950</wp:posOffset>
            </wp:positionV>
            <wp:extent cx="3392170" cy="2249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92170" cy="2249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DESCRIPTION OF SECURITIES BEING DISTRIBUTED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Offering consists of a distribution of 22,277,750 Common Shares, 4,605,500 Pre-Funded Warrants, and 9,409,138 Warrants.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Offered Shares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Corporation is authorized to issue an unlimited number of Common Shares and an unlimited number of preferred shares. As at October 27, 2025, the Corporation had 27,616,381 Common Shares and nil preferred shares issued and outstanding. On September 19, 2024, the outstanding Common Shares were consolidated on the basis of one new Common Share for every 38 existing Common Shares (the “</w:t>
      </w:r>
      <w:r>
        <w:rPr>
          <w:rFonts w:ascii="Times New Roman" w:cs="Times New Roman" w:eastAsia="Times New Roman" w:hAnsi="Times New Roman"/>
          <w:sz w:val="17"/>
          <w:szCs w:val="17"/>
          <w:b w:val="1"/>
          <w:bCs w:val="1"/>
          <w:color w:val="auto"/>
        </w:rPr>
        <w:t>Consolidation</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Each Common Share (including the Offered Shares, Warrant Shares and Pre-Funded Warrant Shares)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 Common Shares are issued only as fully paid and are non-assessable.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Pre-Funded Warrants</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Pre-Funded Warrants issued under the Offering will be issued in certificated form, as individual warrant agreements, to the purchasers. The following description is subject to the detailed provisions of the form of certificate for the Pre-Funded Warrants (the "</w:t>
      </w:r>
      <w:r>
        <w:rPr>
          <w:rFonts w:ascii="Times New Roman" w:cs="Times New Roman" w:eastAsia="Times New Roman" w:hAnsi="Times New Roman"/>
          <w:sz w:val="17"/>
          <w:szCs w:val="17"/>
          <w:b w:val="1"/>
          <w:bCs w:val="1"/>
          <w:color w:val="auto"/>
        </w:rPr>
        <w:t>Pre-Funded Warrant Certificate</w:t>
      </w:r>
      <w:r>
        <w:rPr>
          <w:rFonts w:ascii="Times New Roman" w:cs="Times New Roman" w:eastAsia="Times New Roman" w:hAnsi="Times New Roman"/>
          <w:sz w:val="17"/>
          <w:szCs w:val="17"/>
          <w:color w:val="auto"/>
        </w:rPr>
        <w:t>"), which will be filed as an exhibit to a report on Form 6-K that the Corporation expects to file with the SEC. Reference should be made to the Pre-Funded Warrant Certificate for the full text of attributes of the Pre-Funded Warrants.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4" w:name="page15"/>
    <w:bookmarkEnd w:id="14"/>
    <w:p>
      <w:pPr>
        <w:jc w:val="both"/>
        <w:spacing w:after="0" w:line="245" w:lineRule="auto"/>
        <w:rPr>
          <w:sz w:val="20"/>
          <w:szCs w:val="20"/>
          <w:color w:val="auto"/>
        </w:rPr>
      </w:pPr>
      <w:r>
        <w:rPr>
          <w:rFonts w:ascii="Times New Roman" w:cs="Times New Roman" w:eastAsia="Times New Roman" w:hAnsi="Times New Roman"/>
          <w:sz w:val="17"/>
          <w:szCs w:val="17"/>
          <w:color w:val="auto"/>
        </w:rPr>
        <w:t>Each Pre-Funded Warrant will entitle the holder to acquire, subject to adjustment as summarized below, one Pre-Funded Warrant Share. The Pre-Funded Warrants have a nominal exercise price of US$0.00001 per Pre-Funded Warrant (the “</w:t>
      </w:r>
      <w:r>
        <w:rPr>
          <w:rFonts w:ascii="Times New Roman" w:cs="Times New Roman" w:eastAsia="Times New Roman" w:hAnsi="Times New Roman"/>
          <w:sz w:val="17"/>
          <w:szCs w:val="17"/>
          <w:b w:val="1"/>
          <w:bCs w:val="1"/>
          <w:color w:val="auto"/>
        </w:rPr>
        <w:t>Pre-Funded Warrant Exercise Price</w:t>
      </w:r>
      <w:r>
        <w:rPr>
          <w:rFonts w:ascii="Times New Roman" w:cs="Times New Roman" w:eastAsia="Times New Roman" w:hAnsi="Times New Roman"/>
          <w:sz w:val="17"/>
          <w:szCs w:val="17"/>
          <w:color w:val="auto"/>
        </w:rPr>
        <w:t>”). The Pre-Funded Warrants will be exercisable, at the option of each holder, in whole or in part, by delivering to the Corporation a duly executed exercise notice, thereby canceling all or a portion of such holder’s Pre-Funded Warrants. The Pre-Funded Warrants may be exercised by payment of the exercise price in cash or on a “net” or “cashless” basis. If the holder elects a “net” or “cashless” exercise in lieu of making a cash payment, the holder will receive upon such exercise the net number of Warrant Shares determined according to the formula set forth in the Pre-Funded Warrant Certificate. The Pre-Funded Warrants will not expire until they are exercised in full.</w:t>
      </w:r>
    </w:p>
    <w:p>
      <w:pPr>
        <w:spacing w:after="0" w:line="1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Pre-Funded Warrant Certificate provides for certain adjustments in the number of Pre-Funded Warrant Shares issuable upon the exercise of the Pre-Funded Warrants and/or the exercise price per Pre-Funded Warrant Share upon the occurrence of certain events, including, but not limited to (i) stock dividends, (ii) subdivision of the outstanding Common Shares into a larger number of shares, (iii) combination (including by way of reverse stock split) of the outstanding Common Shares into a smaller number of shares, (iv) reclassification of the outstanding Common Shares into any shares in the capital of the Corporation, (v) subsequent rights offerings, and (vi) pro-rata distributions. If the Corporation reorganizes, consolidates, amalgamates or merges with any other corporate body, or reclassifies, reorganizes or recapitalizes its Common Shares, or the Common Shares are effectively converted or exchanged for other securities, cash or property (other than a subdivision, consolidation or share dividend resulting in an adjustment as described above), or if holders of more than 50% of the outstanding Common Shares tender their shares in a take-over bid, tender offer, exchange offer or pursuant to a stock purchase agreement or other business combination with another Person or group of Persons (as defined in the Pre-Funded Warrant Certificate) whereby such other Person or group acquires more than 50% of the outstanding Common Shares, or if the Corporation transfers all or substantially all of its assets (in each case, and as may be described in further detail in the terms of the Pre-Funded Warrant Certificate, a “</w:t>
      </w:r>
      <w:r>
        <w:rPr>
          <w:rFonts w:ascii="Times New Roman" w:cs="Times New Roman" w:eastAsia="Times New Roman" w:hAnsi="Times New Roman"/>
          <w:sz w:val="17"/>
          <w:szCs w:val="17"/>
          <w:b w:val="1"/>
          <w:bCs w:val="1"/>
          <w:color w:val="auto"/>
        </w:rPr>
        <w:t>Fundamental Transaction</w:t>
      </w:r>
      <w:r>
        <w:rPr>
          <w:rFonts w:ascii="Times New Roman" w:cs="Times New Roman" w:eastAsia="Times New Roman" w:hAnsi="Times New Roman"/>
          <w:sz w:val="17"/>
          <w:szCs w:val="17"/>
          <w:color w:val="auto"/>
        </w:rPr>
        <w:t>”), then a holder of Pre-Funded Warrants, upon exercise of the Pre-Funded Warrants and subject to the prior approval of Cboe Canada and NYSE American (or any other stock exchange that the Common Shares are listed on), shall have the right to receive, for each Pre-Funded Warrant Share that would have been issuable upon such exercise immediately prior to the occurrence of such Fundamental Transaction, at the option of the holder of Pre-Funded Warrants (without regard to any restrictions on exercise of the Pre-Funded Warrants as described below), the number of common shares of the successor or acquiring corporation or of the Corporation, if it is the surviving corporation, and any additional consideration receivable as a result of such Fundamental Transaction by a holder of the number of Common Shares for which the Pre-Funded Warrant is exercisable immediately prior to such Fundamental Transaction (without regard to any restrictions on exercise of the Pre-Funded Warrants as described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 w:name="page16"/>
    <w:bookmarkEnd w:id="15"/>
    <w:p>
      <w:pPr>
        <w:jc w:val="both"/>
        <w:spacing w:after="0" w:line="249" w:lineRule="auto"/>
        <w:rPr>
          <w:sz w:val="20"/>
          <w:szCs w:val="20"/>
          <w:color w:val="auto"/>
        </w:rPr>
      </w:pPr>
      <w:r>
        <w:rPr>
          <w:rFonts w:ascii="Times New Roman" w:cs="Times New Roman" w:eastAsia="Times New Roman" w:hAnsi="Times New Roman"/>
          <w:sz w:val="17"/>
          <w:szCs w:val="17"/>
          <w:color w:val="auto"/>
        </w:rPr>
        <w:t>The Pre-Funded Warrant Certificate will also provide that, during the period in which the Pre-Funded Warrants are exercisable, the Corporation will give notice to holders of Pre-Funded Warrants of certain stated events, including events that would result in an adjustment to the exercise price for the Pre-Funded Warrants or the number of Pre-Funded Warrant Shares issuable upon exercise of the Pre-Funded Warrants, at least five (5) business days prior to the record date or effective date, as the case may be, of such events.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Neither the Pre-Funded Warrants nor the rights under the Pre-Funded Warrants are transferable.</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 xml:space="preserve">The Pre-Funded Warrant Certificate will provide that notwithstanding any other terms thereof, the Corporation shall not effect the exercise of any portion of the Pre-Funded Warrants, and the holder of Pre-Funded Warrants shall not have the right to exercise any portion of the Pre-Funded Warrants, and any such exercise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treated as if the exercise had not been made, to the extent that after giving effect to such exercise, the holder of the Pre-Funded Warrants, together with its affiliates and other "attribution parties" as may be defined in the Pre-Funded Warrant Certificate, beneficially owns or would beneficially own a number of Common Shares in excess of a specified percentage (typically 4.99% or 9.99%, to be determined at the Closing Date) (the "</w:t>
      </w:r>
      <w:r>
        <w:rPr>
          <w:rFonts w:ascii="Times New Roman" w:cs="Times New Roman" w:eastAsia="Times New Roman" w:hAnsi="Times New Roman"/>
          <w:sz w:val="17"/>
          <w:szCs w:val="17"/>
          <w:b w:val="1"/>
          <w:bCs w:val="1"/>
          <w:color w:val="auto"/>
        </w:rPr>
        <w:t>Specified Percentage</w:t>
      </w:r>
      <w:r>
        <w:rPr>
          <w:rFonts w:ascii="Times New Roman" w:cs="Times New Roman" w:eastAsia="Times New Roman" w:hAnsi="Times New Roman"/>
          <w:sz w:val="17"/>
          <w:szCs w:val="17"/>
          <w:color w:val="auto"/>
        </w:rPr>
        <w:t>") of the number of Common Shares outstanding immediately after giving effect to the issuance of Common Shares upon exercise of such Pre-Funded Warrants. Notwithstanding the foregoing, subject to applicable Cboe Canada policies, a holder of Pre-Funded Warrants, upon notice to the Corporation at least 61 days in advance, may increase or decrease the Specified Percentage subject to certain restrictions. These restrictions include the requirement that a holder wishing to increase the Specified Percentage above 9.99% shall be required to deliver personal information form(s) as required by Cboe Canada and such personal information form(s) must have been approved by Cboe Canada. In addition, the Specified Percentage may not exceed 19.99% of the number of Common Shares outstanding immediately after giving effect to the issuance of Common Shares upon exercise of such Pre-Funded Warrants unless the requisite shareholder approval has been obtained in accordance with applicable Cboe Canada and NYSE American policies or the policies of such exchange(s) on which the Common Shares are listed at the relevant time.</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No fractional Pre-Funded Warrant Shares will be issuable upon the exercise of any Pre-Funded Warrants. In lieu of any fractional shares that would otherwise be issuable, the number of Pre-Funded Warrant Shares to be issued shall be rounded up to the next whole number or the Corporation shall pay the holder a cash adjustment in respect of such final fraction in an amount equal to such fraction multiplied by the Pre-Funded Warrant Exercise Price. Holders of Pre-Funded Warrants will not have any voting or pre-emptive rights or any other rights which a holder of Common Shares would have.</w:t>
      </w:r>
    </w:p>
    <w:p>
      <w:pPr>
        <w:spacing w:after="0" w:line="1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The Corporation has not applied and does not intend to apply to list the Pre-Funded Warrants on any securities exchange. The Pre-Funded Warrants are non-transferrable and there will be no market through which the Pre-Funded Warrants may be sold.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Offered Shares or Pre-Funded Warrants and the Warrants will separate immediately following the closing of the Offering. The Warrants issued under the Offering will be issued in certificated form. The following description is subject to the detailed provisions of the form of certificate for the Warrants (the “</w:t>
      </w:r>
      <w:r>
        <w:rPr>
          <w:rFonts w:ascii="Times New Roman" w:cs="Times New Roman" w:eastAsia="Times New Roman" w:hAnsi="Times New Roman"/>
          <w:sz w:val="17"/>
          <w:szCs w:val="17"/>
          <w:b w:val="1"/>
          <w:bCs w:val="1"/>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Certificate</w:t>
      </w:r>
      <w:r>
        <w:rPr>
          <w:rFonts w:ascii="Times New Roman" w:cs="Times New Roman" w:eastAsia="Times New Roman" w:hAnsi="Times New Roman"/>
          <w:sz w:val="17"/>
          <w:szCs w:val="17"/>
          <w:color w:val="auto"/>
        </w:rPr>
        <w:t>”), which will be filed as an exhibit to a report on Form 6-K that the Corporation expects to file with the SEC. Reference should be made to the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for the full text of attributes of the Warrants.</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Each Warrant will entitle the holder thereof to acquire, subject to adjustment in certain circumstances, one Warrant Share at the Warrant Exercise Price at any time until the Warrant Expiry Date. Until the Warrant Expiry Date, upon any consecutive five (5) day trading period that the Common Shares on the NYSE American (or such other principal exchange or market on which the Common Shares are listed and posted for trading) trade at a volume-weighted average price that is equal to or greater than US$19.53 per Common Share for each of such trading day, the Corporation shall have the right, but not the obligation, to accelerate the Warrant Expiry Date to the date that is thirty (30) days following the issuance of a press release giving notice to the holders of the Warrants (the “</w:t>
      </w:r>
      <w:r>
        <w:rPr>
          <w:rFonts w:ascii="Times New Roman" w:cs="Times New Roman" w:eastAsia="Times New Roman" w:hAnsi="Times New Roman"/>
          <w:sz w:val="17"/>
          <w:szCs w:val="17"/>
          <w:b w:val="1"/>
          <w:bCs w:val="1"/>
          <w:color w:val="auto"/>
        </w:rPr>
        <w:t>Acceleration Notice</w:t>
      </w:r>
      <w:r>
        <w:rPr>
          <w:rFonts w:ascii="Times New Roman" w:cs="Times New Roman" w:eastAsia="Times New Roman" w:hAnsi="Times New Roman"/>
          <w:sz w:val="17"/>
          <w:szCs w:val="17"/>
          <w:color w:val="auto"/>
        </w:rPr>
        <w:t>”), pursuant to the terms of the Warrant Certificate (the “</w:t>
      </w:r>
      <w:r>
        <w:rPr>
          <w:rFonts w:ascii="Times New Roman" w:cs="Times New Roman" w:eastAsia="Times New Roman" w:hAnsi="Times New Roman"/>
          <w:sz w:val="17"/>
          <w:szCs w:val="17"/>
          <w:b w:val="1"/>
          <w:bCs w:val="1"/>
          <w:color w:val="auto"/>
        </w:rPr>
        <w:t>Acceleration Right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 w:name="page17"/>
    <w:bookmarkEnd w:id="16"/>
    <w:p>
      <w:pPr>
        <w:jc w:val="both"/>
        <w:spacing w:after="0" w:line="241" w:lineRule="auto"/>
        <w:rPr>
          <w:sz w:val="20"/>
          <w:szCs w:val="20"/>
          <w:color w:val="auto"/>
        </w:rPr>
      </w:pPr>
      <w:r>
        <w:rPr>
          <w:rFonts w:ascii="Times New Roman" w:cs="Times New Roman" w:eastAsia="Times New Roman" w:hAnsi="Times New Roman"/>
          <w:sz w:val="17"/>
          <w:szCs w:val="17"/>
          <w:color w:val="auto"/>
        </w:rPr>
        <w:t>The Warrant Certificate provides for certain adjustments in the number of Warrant Shares issuable upon the exercise of the Warrants and/or the exercise price per Warrant Share upon the occurrence of certain events, including, but not limited to (i) stock dividends, (ii) subdivision of the outstanding Common Shares into a larger number of shares, (iii) combination (including by way of reverse stock split) of the outstanding Common Shares into a smaller number of shares, (iv) reclassification of the outstanding Common Shares into any shares in the capital of the Corporation, (v) subsequent rights offerings, and (vi) pro-rata distributions. The Warrant Certificate provides that, in the case of a Fundamental Transaction, a holder of Warrants, upon exercise of the Warrants and subject to the prior approval of Cboe Canada and NYSE American (or any other stock exchange that the Common Shares are listed on), shall have the right to receive, for each Warrant Share that would have been issuable upon such exercise immediately prior to the occurrence of such Fundamental Transaction, at the option of the holder of Warrants (without regard to any restrictions on exercise of the Warrants as described above), the number of common shares of the successor or acquiring corporation or of the Corporation, if it is the surviving corporation, and any additional consideration receivable as a result of such Fundamental Transaction by a holder of the number of Common Shares for which the Warrant is exercisable immediately prior to such Fundamental Transaction (without regard to any restrictions on exercise of the Warrants as described above).</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Warrant Certificate will also provide that, during the period in which the Warrants are exercisable, the Corporation will give notice to holders of Warrants of certain stated events, including events that would result in an adjustment to the exercise price for the Warrants or the number of Warrant Shares issuable upon exercise of the Warrants, at least five (5) business days prior to the record date or effective date, as the case may be, of such events.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applicable laws, the Warrants may be transferred at the option of the holders upon surrender of the warrant certificates to the Corporation.</w:t>
      </w:r>
    </w:p>
    <w:p>
      <w:pPr>
        <w:spacing w:after="0" w:line="1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 xml:space="preserve">The Warrant Certificate will provide that notwithstanding any other terms thereof, the Corporation shall not effect the exercise of any portion of the Warrants, and the holder of Warrants shall not have the right to exercise any portion of the Warrants, and any such exercise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treated as if the exercise had not been made, to the extent that immediately prior to or following such exercise, the holder of the Warrants, together with its affiliates and other “attribution parties” as may be defined in the Warrant Certificate, beneficially owns or would beneficially own a number of Common Shares in excess of the Specified Percentage of the number of Common Shares outstanding immediately after giving effect to the issuance of Common Shares upon exercise of such Warrants. Notwithstanding the foregoing, subject to applicable Cboe Canada policies, a holder of Warrants, upon notice to the Corporation at least 61 days in advance, may increase or decrease the Specified Percentage subject to certain restrictions. In no event shall the Specified Percentage exceed 9.99% of the number of Common Shares outstanding immediately after giving effect to the issuance of Common Shares upon exercise of such Warrants.</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No fractional Common Shares will be issuable to any holder of Warrants upon the exercise thereof. As to any fraction of a Common Share which the holder would otherwise be entitled to purchase upon such exercise, the Corporation shall, at its election, either pay a cash adjustment in respect of such fraction in an amount equal to such fraction multiplied by the Warrant Exercise Price or round up to the next whole Common Share. The holding of Warrants will not make the holder thereof a shareholder of the Corporation or entitle such holder to any right or interest in respect of the Warrants except as expressly provided in the Warrant Certificate. Holders of Warrants will not have any voting or pre-emptive rights or any other rights of a holder of Common Shares.</w:t>
      </w:r>
    </w:p>
    <w:p>
      <w:pPr>
        <w:spacing w:after="0" w:line="1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no event may the exercise price of or the number of Warrant Shares subject to any Warrant be amended, nor may the right to exercise that Warrant be waived, without the written consent of the holder of that Warrant.</w:t>
      </w:r>
    </w:p>
    <w:p>
      <w:pPr>
        <w:spacing w:after="0" w:line="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The Corporation has not applied and does not intend to apply to list the Warrants on any securities exchange. There will be no market through which the Warrants may be sold and Purchasers may not be able to resell the Warrants purchased in the Offering. This may affect the pricing of the Warrants in the secondary market, the transparency and availability of trading prices, the liquidity of the Pre-Funded Warrants, and the extent of issuer regulation.</w:t>
      </w:r>
    </w:p>
    <w:p>
      <w:pPr>
        <w:spacing w:after="0" w:line="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In connection with the exercise of the Pre-Funded Warrants and Warrants, holders of Common Shares may incur substantial dilution. Please see "</w:t>
      </w:r>
      <w:r>
        <w:rPr>
          <w:rFonts w:ascii="Times New Roman" w:cs="Times New Roman" w:eastAsia="Times New Roman" w:hAnsi="Times New Roman"/>
          <w:sz w:val="17"/>
          <w:szCs w:val="17"/>
          <w:b w:val="1"/>
          <w:bCs w:val="1"/>
          <w:i w:val="1"/>
          <w:iCs w:val="1"/>
          <w:color w:val="auto"/>
        </w:rPr>
        <w:t>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Factors - Risk Factors Related to the Offering and the Offered Shares and Pre-Funded Warrants</w:t>
      </w:r>
      <w:r>
        <w:rPr>
          <w:rFonts w:ascii="Times New Roman" w:cs="Times New Roman" w:eastAsia="Times New Roman" w:hAnsi="Times New Roman"/>
          <w:sz w:val="17"/>
          <w:szCs w:val="17"/>
          <w:b w:val="1"/>
          <w:bCs w:val="1"/>
          <w:color w:val="auto"/>
        </w:rPr>
        <w: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net proceeds to the Corporation from the Offering are estimated to be approximately US$164,259,366.41, after deducting the Placement Agents’ Fee of US$9,750,545.04 and estimated expenses of this Offering of US$1,000,000, assuming a total of 3,840,500 Offered Shares are sold to purchasers on the President’s List.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 intends to use the net proceeds from the Offering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99"/>
        </w:trPr>
        <w:tc>
          <w:tcPr>
            <w:tcW w:w="4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422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4"/>
                <w:szCs w:val="14"/>
                <w:b w:val="1"/>
                <w:bCs w:val="1"/>
                <w:color w:val="auto"/>
              </w:rPr>
              <w:t>Offering Amount</w:t>
            </w:r>
          </w:p>
        </w:tc>
      </w:tr>
      <w:tr>
        <w:trPr>
          <w:trHeight w:val="185"/>
        </w:trPr>
        <w:tc>
          <w:tcPr>
            <w:tcW w:w="48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4"/>
                <w:szCs w:val="14"/>
                <w:color w:val="auto"/>
              </w:rPr>
              <w:t>Offering (Gross Proceeds Raised)</w:t>
            </w:r>
          </w:p>
        </w:tc>
        <w:tc>
          <w:tcPr>
            <w:tcW w:w="4220" w:type="dxa"/>
            <w:vAlign w:val="bottom"/>
            <w:shd w:val="clear" w:color="auto" w:fill="E6EFFF"/>
          </w:tcPr>
          <w:p>
            <w:pPr>
              <w:ind w:left="2700"/>
              <w:spacing w:after="0"/>
              <w:rPr>
                <w:sz w:val="20"/>
                <w:szCs w:val="20"/>
                <w:color w:val="auto"/>
              </w:rPr>
            </w:pPr>
            <w:r>
              <w:rPr>
                <w:rFonts w:ascii="Times New Roman" w:cs="Times New Roman" w:eastAsia="Times New Roman" w:hAnsi="Times New Roman"/>
                <w:sz w:val="14"/>
                <w:szCs w:val="14"/>
                <w:color w:val="auto"/>
              </w:rPr>
              <w:t>US$175,009,911.45</w:t>
            </w:r>
          </w:p>
        </w:tc>
      </w:tr>
      <w:tr>
        <w:trPr>
          <w:trHeight w:val="205"/>
        </w:trPr>
        <w:tc>
          <w:tcPr>
            <w:tcW w:w="4800" w:type="dxa"/>
            <w:vAlign w:val="bottom"/>
          </w:tcPr>
          <w:p>
            <w:pPr>
              <w:ind w:left="60"/>
              <w:spacing w:after="0" w:line="204" w:lineRule="exact"/>
              <w:rPr>
                <w:sz w:val="20"/>
                <w:szCs w:val="20"/>
                <w:color w:val="auto"/>
              </w:rPr>
            </w:pPr>
            <w:r>
              <w:rPr>
                <w:rFonts w:ascii="Times New Roman" w:cs="Times New Roman" w:eastAsia="Times New Roman" w:hAnsi="Times New Roman"/>
                <w:sz w:val="14"/>
                <w:szCs w:val="14"/>
                <w:color w:val="auto"/>
              </w:rPr>
              <w:t>Placement Agents' Fee</w:t>
            </w:r>
            <w:r>
              <w:rPr>
                <w:rFonts w:ascii="Times New Roman" w:cs="Times New Roman" w:eastAsia="Times New Roman" w:hAnsi="Times New Roman"/>
                <w:sz w:val="23"/>
                <w:szCs w:val="23"/>
                <w:color w:val="auto"/>
                <w:vertAlign w:val="superscript"/>
              </w:rPr>
              <w:t>(1)</w:t>
            </w:r>
          </w:p>
        </w:tc>
        <w:tc>
          <w:tcPr>
            <w:tcW w:w="422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US$9,750,545.04</w:t>
            </w:r>
          </w:p>
        </w:tc>
      </w:tr>
      <w:tr>
        <w:trPr>
          <w:trHeight w:val="194"/>
        </w:trPr>
        <w:tc>
          <w:tcPr>
            <w:tcW w:w="4800" w:type="dxa"/>
            <w:vAlign w:val="bottom"/>
            <w:shd w:val="clear" w:color="auto" w:fill="E6EFFF"/>
          </w:tcPr>
          <w:p>
            <w:pPr>
              <w:ind w:left="60"/>
              <w:spacing w:after="0"/>
              <w:rPr>
                <w:sz w:val="20"/>
                <w:szCs w:val="20"/>
                <w:color w:val="auto"/>
              </w:rPr>
            </w:pPr>
            <w:r>
              <w:rPr>
                <w:rFonts w:ascii="Times New Roman" w:cs="Times New Roman" w:eastAsia="Times New Roman" w:hAnsi="Times New Roman"/>
                <w:sz w:val="14"/>
                <w:szCs w:val="14"/>
                <w:color w:val="auto"/>
              </w:rPr>
              <w:t>Estimated expenses of the Offering</w:t>
            </w:r>
          </w:p>
        </w:tc>
        <w:tc>
          <w:tcPr>
            <w:tcW w:w="4220" w:type="dxa"/>
            <w:vAlign w:val="bottom"/>
            <w:shd w:val="clear" w:color="auto" w:fill="E6EFFF"/>
          </w:tcPr>
          <w:p>
            <w:pPr>
              <w:ind w:left="2700"/>
              <w:spacing w:after="0"/>
              <w:rPr>
                <w:sz w:val="20"/>
                <w:szCs w:val="20"/>
                <w:color w:val="auto"/>
              </w:rPr>
            </w:pPr>
            <w:r>
              <w:rPr>
                <w:rFonts w:ascii="Times New Roman" w:cs="Times New Roman" w:eastAsia="Times New Roman" w:hAnsi="Times New Roman"/>
                <w:sz w:val="14"/>
                <w:szCs w:val="14"/>
                <w:color w:val="auto"/>
              </w:rPr>
              <w:t>US$1,000,000</w:t>
            </w:r>
          </w:p>
        </w:tc>
      </w:tr>
      <w:tr>
        <w:trPr>
          <w:trHeight w:val="194"/>
        </w:trPr>
        <w:tc>
          <w:tcPr>
            <w:tcW w:w="4800" w:type="dxa"/>
            <w:vAlign w:val="bottom"/>
          </w:tcPr>
          <w:p>
            <w:pPr>
              <w:spacing w:after="0"/>
              <w:rPr>
                <w:sz w:val="16"/>
                <w:szCs w:val="16"/>
                <w:color w:val="auto"/>
              </w:rPr>
            </w:pPr>
          </w:p>
        </w:tc>
        <w:tc>
          <w:tcPr>
            <w:tcW w:w="4220" w:type="dxa"/>
            <w:vAlign w:val="bottom"/>
          </w:tcPr>
          <w:p>
            <w:pPr>
              <w:spacing w:after="0"/>
              <w:rPr>
                <w:sz w:val="16"/>
                <w:szCs w:val="16"/>
                <w:color w:val="auto"/>
              </w:rPr>
            </w:pPr>
          </w:p>
        </w:tc>
      </w:tr>
      <w:tr>
        <w:trPr>
          <w:trHeight w:val="205"/>
        </w:trPr>
        <w:tc>
          <w:tcPr>
            <w:tcW w:w="4800" w:type="dxa"/>
            <w:vAlign w:val="bottom"/>
            <w:shd w:val="clear" w:color="auto" w:fill="E6EFFF"/>
          </w:tcPr>
          <w:p>
            <w:pPr>
              <w:ind w:left="60"/>
              <w:spacing w:after="0" w:line="204" w:lineRule="exact"/>
              <w:rPr>
                <w:sz w:val="20"/>
                <w:szCs w:val="20"/>
                <w:color w:val="auto"/>
              </w:rPr>
            </w:pPr>
            <w:r>
              <w:rPr>
                <w:rFonts w:ascii="Times New Roman" w:cs="Times New Roman" w:eastAsia="Times New Roman" w:hAnsi="Times New Roman"/>
                <w:sz w:val="14"/>
                <w:szCs w:val="14"/>
                <w:b w:val="1"/>
                <w:bCs w:val="1"/>
                <w:color w:val="auto"/>
              </w:rPr>
              <w:t>Net Proceeds</w:t>
            </w:r>
            <w:r>
              <w:rPr>
                <w:rFonts w:ascii="Times New Roman" w:cs="Times New Roman" w:eastAsia="Times New Roman" w:hAnsi="Times New Roman"/>
                <w:sz w:val="23"/>
                <w:szCs w:val="23"/>
                <w:b w:val="1"/>
                <w:bCs w:val="1"/>
                <w:color w:val="auto"/>
                <w:vertAlign w:val="superscript"/>
              </w:rPr>
              <w:t>(2)</w:t>
            </w:r>
          </w:p>
        </w:tc>
        <w:tc>
          <w:tcPr>
            <w:tcW w:w="4220" w:type="dxa"/>
            <w:vAlign w:val="bottom"/>
            <w:shd w:val="clear" w:color="auto" w:fill="E6EFFF"/>
          </w:tcPr>
          <w:p>
            <w:pPr>
              <w:ind w:left="2700"/>
              <w:spacing w:after="0"/>
              <w:rPr>
                <w:sz w:val="20"/>
                <w:szCs w:val="20"/>
                <w:color w:val="auto"/>
              </w:rPr>
            </w:pPr>
            <w:r>
              <w:rPr>
                <w:rFonts w:ascii="Times New Roman" w:cs="Times New Roman" w:eastAsia="Times New Roman" w:hAnsi="Times New Roman"/>
                <w:sz w:val="14"/>
                <w:szCs w:val="14"/>
                <w:color w:val="auto"/>
              </w:rPr>
              <w:t>US$164,259,366.41</w:t>
            </w:r>
          </w:p>
        </w:tc>
      </w:tr>
      <w:tr>
        <w:trPr>
          <w:trHeight w:val="410"/>
        </w:trPr>
        <w:tc>
          <w:tcPr>
            <w:tcW w:w="4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Use of Proceeds</w:t>
            </w:r>
            <w:r>
              <w:rPr>
                <w:rFonts w:ascii="Times New Roman" w:cs="Times New Roman" w:eastAsia="Times New Roman" w:hAnsi="Times New Roman"/>
                <w:sz w:val="23"/>
                <w:szCs w:val="23"/>
                <w:b w:val="1"/>
                <w:bCs w:val="1"/>
                <w:color w:val="auto"/>
                <w:vertAlign w:val="superscript"/>
              </w:rPr>
              <w:t>(2)</w:t>
            </w:r>
          </w:p>
        </w:tc>
        <w:tc>
          <w:tcPr>
            <w:tcW w:w="4220" w:type="dxa"/>
            <w:vAlign w:val="bottom"/>
          </w:tcPr>
          <w:p>
            <w:pPr>
              <w:ind w:left="3120"/>
              <w:spacing w:after="0"/>
              <w:rPr>
                <w:sz w:val="20"/>
                <w:szCs w:val="20"/>
                <w:color w:val="auto"/>
              </w:rPr>
            </w:pPr>
            <w:r>
              <w:rPr>
                <w:rFonts w:ascii="Times New Roman" w:cs="Times New Roman" w:eastAsia="Times New Roman" w:hAnsi="Times New Roman"/>
                <w:sz w:val="14"/>
                <w:szCs w:val="14"/>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-6985</wp:posOffset>
            </wp:positionV>
            <wp:extent cx="5723890" cy="136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23890" cy="136525"/>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p>
      <w:pPr>
        <w:ind w:left="1200"/>
        <w:spacing w:after="0" w:line="185" w:lineRule="auto"/>
        <w:rPr>
          <w:sz w:val="20"/>
          <w:szCs w:val="20"/>
          <w:color w:val="auto"/>
        </w:rPr>
      </w:pPr>
      <w:r>
        <w:rPr>
          <w:rFonts w:ascii="Times New Roman" w:cs="Times New Roman" w:eastAsia="Times New Roman" w:hAnsi="Times New Roman"/>
          <w:sz w:val="14"/>
          <w:szCs w:val="14"/>
          <w:color w:val="auto"/>
        </w:rPr>
        <w:t>Repayment of Indebtedness</w:t>
      </w:r>
      <w:r>
        <w:rPr>
          <w:rFonts w:ascii="Times New Roman" w:cs="Times New Roman" w:eastAsia="Times New Roman" w:hAnsi="Times New Roman"/>
          <w:sz w:val="23"/>
          <w:szCs w:val="23"/>
          <w:color w:val="auto"/>
          <w:vertAlign w:val="superscript"/>
        </w:rPr>
        <w:t>(3)</w:t>
      </w:r>
    </w:p>
    <w:p>
      <w:pPr>
        <w:ind w:left="1200"/>
        <w:spacing w:after="0" w:line="206" w:lineRule="auto"/>
        <w:rPr>
          <w:sz w:val="20"/>
          <w:szCs w:val="20"/>
          <w:color w:val="auto"/>
        </w:rPr>
      </w:pPr>
      <w:r>
        <w:rPr>
          <w:rFonts w:ascii="Times New Roman" w:cs="Times New Roman" w:eastAsia="Times New Roman" w:hAnsi="Times New Roman"/>
          <w:sz w:val="14"/>
          <w:szCs w:val="14"/>
          <w:color w:val="auto"/>
        </w:rPr>
        <w:t>Deuterated Psilocin Program (CYB003)</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-13970</wp:posOffset>
            </wp:positionV>
            <wp:extent cx="5723890" cy="123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3890" cy="123190"/>
                    </a:xfrm>
                    <a:prstGeom prst="rect">
                      <a:avLst/>
                    </a:prstGeom>
                    <a:noFill/>
                  </pic:spPr>
                </pic:pic>
              </a:graphicData>
            </a:graphic>
          </wp:anchor>
        </w:drawing>
      </w:r>
    </w:p>
    <w:p>
      <w:pPr>
        <w:ind w:left="1500" w:right="1860"/>
        <w:spacing w:after="0" w:line="280" w:lineRule="auto"/>
        <w:rPr>
          <w:sz w:val="20"/>
          <w:szCs w:val="20"/>
          <w:color w:val="auto"/>
        </w:rPr>
      </w:pPr>
      <w:r>
        <w:rPr>
          <w:rFonts w:ascii="Times New Roman" w:cs="Times New Roman" w:eastAsia="Times New Roman" w:hAnsi="Times New Roman"/>
          <w:sz w:val="14"/>
          <w:szCs w:val="14"/>
          <w:color w:val="auto"/>
        </w:rPr>
        <w:t>Provide topline efficacy data readout from the first Phase 3 study, APPROACH Initiation of enrollment in the second Phase 3 study, EMBRACE Progression of the second Phase 3 study, EMBRACE Progression of the third Phase 3 study, EXTEND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-244475</wp:posOffset>
            </wp:positionV>
            <wp:extent cx="5723890" cy="123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23890" cy="123190"/>
                    </a:xfrm>
                    <a:prstGeom prst="rect">
                      <a:avLst/>
                    </a:prstGeom>
                    <a:noFill/>
                  </pic:spPr>
                </pic:pic>
              </a:graphicData>
            </a:graphic>
          </wp:anchor>
        </w:drawing>
      </w:r>
    </w:p>
    <w:p>
      <w:pPr>
        <w:ind w:left="1200"/>
        <w:spacing w:after="0" w:line="207" w:lineRule="auto"/>
        <w:rPr>
          <w:sz w:val="20"/>
          <w:szCs w:val="20"/>
          <w:color w:val="auto"/>
        </w:rPr>
      </w:pPr>
      <w:r>
        <w:rPr>
          <w:rFonts w:ascii="Times New Roman" w:cs="Times New Roman" w:eastAsia="Times New Roman" w:hAnsi="Times New Roman"/>
          <w:sz w:val="14"/>
          <w:szCs w:val="14"/>
          <w:color w:val="auto"/>
        </w:rPr>
        <w:t>Deuterated Dimethyltryptamine Program (CYB004)</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-143510</wp:posOffset>
            </wp:positionV>
            <wp:extent cx="5723890" cy="130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23890" cy="130175"/>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4"/>
          <w:szCs w:val="14"/>
          <w:color w:val="auto"/>
        </w:rPr>
        <w:t>Complete the Phase 2 GAD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6350</wp:posOffset>
            </wp:positionV>
            <wp:extent cx="5723890" cy="123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23890" cy="123190"/>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4"/>
          <w:szCs w:val="14"/>
          <w:color w:val="auto"/>
        </w:rPr>
        <w:t>Provide topline data readout from the Phase 2 GAD study</w:t>
      </w:r>
    </w:p>
    <w:p>
      <w:pPr>
        <w:ind w:left="1200"/>
        <w:spacing w:after="0" w:line="230" w:lineRule="auto"/>
        <w:rPr>
          <w:sz w:val="20"/>
          <w:szCs w:val="20"/>
          <w:color w:val="auto"/>
        </w:rPr>
      </w:pPr>
      <w:r>
        <w:rPr>
          <w:rFonts w:ascii="Times New Roman" w:cs="Times New Roman" w:eastAsia="Times New Roman" w:hAnsi="Times New Roman"/>
          <w:sz w:val="14"/>
          <w:szCs w:val="14"/>
          <w:color w:val="auto"/>
        </w:rPr>
        <w:t>Phenethylamine and Tryptamine Derivatives Program (CYB005)</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-13970</wp:posOffset>
            </wp:positionV>
            <wp:extent cx="5723890" cy="123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23890" cy="123190"/>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4"/>
          <w:szCs w:val="14"/>
          <w:color w:val="auto"/>
        </w:rPr>
        <w:t>Deliver a drug development candidate</w:t>
      </w:r>
    </w:p>
    <w:p>
      <w:pPr>
        <w:ind w:left="1200"/>
        <w:spacing w:after="0" w:line="215" w:lineRule="auto"/>
        <w:rPr>
          <w:sz w:val="20"/>
          <w:szCs w:val="20"/>
          <w:color w:val="auto"/>
        </w:rPr>
      </w:pPr>
      <w:r>
        <w:rPr>
          <w:rFonts w:ascii="Times New Roman" w:cs="Times New Roman" w:eastAsia="Times New Roman" w:hAnsi="Times New Roman"/>
          <w:sz w:val="14"/>
          <w:szCs w:val="14"/>
          <w:color w:val="auto"/>
        </w:rPr>
        <w:t>Working Capital, and General Corporate Purposes</w:t>
      </w:r>
      <w:r>
        <w:rPr>
          <w:rFonts w:ascii="Times New Roman" w:cs="Times New Roman" w:eastAsia="Times New Roman" w:hAnsi="Times New Roman"/>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-13335</wp:posOffset>
            </wp:positionV>
            <wp:extent cx="5723890" cy="123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23890" cy="123190"/>
                    </a:xfrm>
                    <a:prstGeom prst="rect">
                      <a:avLst/>
                    </a:prstGeom>
                    <a:noFill/>
                  </pic:spPr>
                </pic:pic>
              </a:graphicData>
            </a:graphic>
          </wp:anchor>
        </w:drawing>
      </w:r>
    </w:p>
    <w:p>
      <w:pPr>
        <w:ind w:left="120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US$22,765,000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US$30,305,000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US$1,196,000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US$42,781,000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US$28,285,000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US$1,292,000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US$810,000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US$337,000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US$36,488,366.41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US$164,259,366.41</w:t>
      </w:r>
    </w:p>
    <w:p>
      <w:pPr>
        <w:spacing w:after="0" w:line="164" w:lineRule="exact"/>
        <w:rPr>
          <w:sz w:val="20"/>
          <w:szCs w:val="20"/>
          <w:color w:val="auto"/>
        </w:rPr>
      </w:pPr>
    </w:p>
    <w:p>
      <w:pPr>
        <w:sectPr>
          <w:pgSz w:w="11900" w:h="16838" w:orient="portrait"/>
          <w:cols w:equalWidth="0" w:num="2">
            <w:col w:w="7920" w:space="720"/>
            <w:col w:w="2640"/>
          </w:cols>
          <w:pgMar w:left="300" w:top="449"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142" w:lineRule="exact"/>
        <w:rPr>
          <w:sz w:val="20"/>
          <w:szCs w:val="20"/>
          <w:color w:val="auto"/>
        </w:rPr>
      </w:pPr>
    </w:p>
    <w:p>
      <w:pPr>
        <w:ind w:left="820" w:hanging="297"/>
        <w:spacing w:after="0"/>
        <w:tabs>
          <w:tab w:leader="none" w:pos="8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US$25,001,655 of purchasers under the President’s List.</w:t>
      </w:r>
    </w:p>
    <w:p>
      <w:pPr>
        <w:spacing w:after="0" w:line="16" w:lineRule="exact"/>
        <w:rPr>
          <w:rFonts w:ascii="Times New Roman" w:cs="Times New Roman" w:eastAsia="Times New Roman" w:hAnsi="Times New Roman"/>
          <w:sz w:val="17"/>
          <w:szCs w:val="17"/>
          <w:color w:val="auto"/>
        </w:rPr>
      </w:pPr>
    </w:p>
    <w:p>
      <w:pPr>
        <w:ind w:left="780" w:hanging="257"/>
        <w:spacing w:after="0" w:line="237" w:lineRule="auto"/>
        <w:tabs>
          <w:tab w:leader="none" w:pos="81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17"/>
          <w:szCs w:val="17"/>
          <w:color w:val="auto"/>
        </w:rPr>
      </w:pPr>
    </w:p>
    <w:p>
      <w:pPr>
        <w:jc w:val="both"/>
        <w:ind w:left="780" w:hanging="257"/>
        <w:spacing w:after="0"/>
        <w:tabs>
          <w:tab w:leader="none" w:pos="81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intends to use a portion of the proceeds from the Offering to repay, on or about October 31, 2025, an amount up to US$22,765,000 of outstanding indebtedness and prepayment premiums under the Convertible Debentures as at the date hereof. The remaining proceeds from the issuance of the Convertible Debentures, totaling approximately US$29,850,000, were used by the Corporation for working capital and general corporate purposes.</w:t>
      </w:r>
    </w:p>
    <w:p>
      <w:pPr>
        <w:spacing w:after="0" w:line="188" w:lineRule="exact"/>
        <w:rPr>
          <w:rFonts w:ascii="Times New Roman" w:cs="Times New Roman" w:eastAsia="Times New Roman" w:hAnsi="Times New Roman"/>
          <w:sz w:val="17"/>
          <w:szCs w:val="17"/>
          <w:color w:val="auto"/>
        </w:rPr>
      </w:pPr>
    </w:p>
    <w:p>
      <w:pPr>
        <w:jc w:val="both"/>
        <w:ind w:left="780" w:hanging="257"/>
        <w:spacing w:after="0"/>
        <w:tabs>
          <w:tab w:leader="none" w:pos="81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The Corporation intends to provide the topline data readout from its first Phase 3 study APPROACH in Q4 2026, and initiation of enrollment in the second Phase 3 study EMBRACE in Q4 2025.</w:t>
      </w:r>
      <w:r>
        <w:rPr>
          <w:rFonts w:ascii="Times New Roman" w:cs="Times New Roman" w:eastAsia="Times New Roman" w:hAnsi="Times New Roman"/>
          <w:sz w:val="28"/>
          <w:szCs w:val="28"/>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236601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66010" cy="6985"/>
                    </a:xfrm>
                    <a:prstGeom prst="rect">
                      <a:avLst/>
                    </a:prstGeom>
                    <a:noFill/>
                  </pic:spPr>
                </pic:pic>
              </a:graphicData>
            </a:graphic>
          </wp:anchor>
        </w:drawing>
      </w:r>
    </w:p>
    <w:p>
      <w:pPr>
        <w:spacing w:after="0" w:line="42"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See footnote 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type w:val="continuous"/>
        </w:sectPr>
      </w:pPr>
    </w:p>
    <w:bookmarkStart w:id="18" w:name="page19"/>
    <w:bookmarkEnd w:id="18"/>
    <w:p>
      <w:pPr>
        <w:ind w:left="520"/>
        <w:spacing w:after="0"/>
        <w:rPr>
          <w:sz w:val="20"/>
          <w:szCs w:val="20"/>
          <w:color w:val="auto"/>
        </w:rPr>
      </w:pPr>
      <w:r>
        <w:rPr>
          <w:rFonts w:ascii="Times New Roman" w:cs="Times New Roman" w:eastAsia="Times New Roman" w:hAnsi="Times New Roman"/>
          <w:sz w:val="17"/>
          <w:szCs w:val="17"/>
          <w:color w:val="auto"/>
        </w:rPr>
        <w:t>(5) The Corporation anticipates completing the Phase 2 GAD study in December 2025, updated from the previously anticipated timeline of mid-year 2025</w:t>
      </w:r>
    </w:p>
    <w:p>
      <w:pPr>
        <w:ind w:left="780"/>
        <w:spacing w:after="0" w:line="189" w:lineRule="auto"/>
        <w:rPr>
          <w:sz w:val="20"/>
          <w:szCs w:val="20"/>
          <w:color w:val="auto"/>
        </w:rPr>
      </w:pPr>
      <w:r>
        <w:rPr>
          <w:rFonts w:ascii="Times New Roman" w:cs="Times New Roman" w:eastAsia="Times New Roman" w:hAnsi="Times New Roman"/>
          <w:sz w:val="17"/>
          <w:szCs w:val="17"/>
          <w:color w:val="auto"/>
        </w:rPr>
        <w:t>due to updates to the study, and provide the topline data readout from the Phase 2 GAD study in Q1 2026.</w:t>
      </w:r>
      <w:r>
        <w:rPr>
          <w:rFonts w:ascii="Times New Roman" w:cs="Times New Roman" w:eastAsia="Times New Roman" w:hAnsi="Times New Roman"/>
          <w:sz w:val="28"/>
          <w:szCs w:val="28"/>
          <w:color w:val="auto"/>
          <w:vertAlign w:val="superscript"/>
        </w:rPr>
        <w:t>10</w:t>
      </w:r>
    </w:p>
    <w:p>
      <w:pPr>
        <w:spacing w:after="0" w:line="1" w:lineRule="exact"/>
        <w:rPr>
          <w:sz w:val="20"/>
          <w:szCs w:val="20"/>
          <w:color w:val="auto"/>
        </w:rPr>
      </w:pPr>
    </w:p>
    <w:p>
      <w:pPr>
        <w:ind w:left="780" w:hanging="258"/>
        <w:spacing w:after="0" w:line="199" w:lineRule="auto"/>
        <w:rPr>
          <w:sz w:val="20"/>
          <w:szCs w:val="20"/>
          <w:color w:val="auto"/>
        </w:rPr>
      </w:pPr>
      <w:r>
        <w:rPr>
          <w:rFonts w:ascii="Times New Roman" w:cs="Times New Roman" w:eastAsia="Times New Roman" w:hAnsi="Times New Roman"/>
          <w:sz w:val="17"/>
          <w:szCs w:val="17"/>
          <w:color w:val="auto"/>
        </w:rPr>
        <w:t>(6) The Corporation anticipates delivering a drug development candidate in Q3 2026, updated from the previously anticipated timeline of Q1 2026 due to the expansion of this program, which previously was focused only on phenethylamine molecules and now also includes tryptamine molecules.</w:t>
      </w:r>
      <w:r>
        <w:rPr>
          <w:rFonts w:ascii="Times New Roman" w:cs="Times New Roman" w:eastAsia="Times New Roman" w:hAnsi="Times New Roman"/>
          <w:sz w:val="28"/>
          <w:szCs w:val="28"/>
          <w:color w:val="auto"/>
          <w:vertAlign w:val="superscript"/>
        </w:rPr>
        <w:t>11</w:t>
      </w:r>
    </w:p>
    <w:p>
      <w:pPr>
        <w:spacing w:after="0" w:line="2" w:lineRule="exact"/>
        <w:rPr>
          <w:sz w:val="20"/>
          <w:szCs w:val="20"/>
          <w:color w:val="auto"/>
        </w:rPr>
      </w:pPr>
    </w:p>
    <w:p>
      <w:pPr>
        <w:jc w:val="both"/>
        <w:ind w:left="780" w:hanging="257"/>
        <w:spacing w:after="0" w:line="244" w:lineRule="auto"/>
        <w:tabs>
          <w:tab w:leader="none" w:pos="81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pacing w:after="0" w:line="1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Corporation believes it is prudent, particularly at the Corporation's stage of development and the competitive industry landscape, to secure capital for general corporate and working capital purposes to ensure that the Corporation maintains sufficient liquidity and capital resources in the near to medium term. At any given time, the Corporation may be engaged in discussions and activities in respect of potential growth initiatives and other strategic opportunities that are complementary or accretive to the Corporation's business, which may include acquisitions or other investments. Some of the suppliers and services providers of the Corporation may be associated or affiliated with parties who have invested in the Corporation from time to time. As of the date of this Prospectus Supplement, the Corporation has not identified any specific investments or projects, nor any probable or significant acquisitions it wishes to undertake; however, it is important for the Corporation to have funds available to quickly and opportunistically pursue such opportunities as they arise.</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The use of the net proceeds is subject to change due to the influence of many evolving variables, including those as described under </w:t>
      </w:r>
      <w:r>
        <w:rPr>
          <w:rFonts w:ascii="Times New Roman" w:cs="Times New Roman" w:eastAsia="Times New Roman" w:hAnsi="Times New Roman"/>
          <w:sz w:val="17"/>
          <w:szCs w:val="17"/>
          <w:i w:val="1"/>
          <w:iCs w:val="1"/>
          <w:color w:val="auto"/>
        </w:rPr>
        <w:t xml:space="preserve">"Stage of Development - Non-Revenue Generating Projects" </w:t>
      </w:r>
      <w:r>
        <w:rPr>
          <w:rFonts w:ascii="Times New Roman" w:cs="Times New Roman" w:eastAsia="Times New Roman" w:hAnsi="Times New Roman"/>
          <w:sz w:val="17"/>
          <w:szCs w:val="17"/>
          <w:color w:val="auto"/>
        </w:rPr>
        <w:t>in the Interim MD&amp;A and in the Annual Information Form, any changes in legislation and regulations, applications for licenses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receipt of required licenses, renewals and other regulatory approvals. As a result, the Corporation cannot provide definitive details with respect to timing or specific uses of the net proceeds of the Offering. Such decisions will depend on market and competitive factors, as described herein, as they evolve over time. See </w:t>
      </w:r>
      <w:r>
        <w:rPr>
          <w:rFonts w:ascii="Times New Roman" w:cs="Times New Roman" w:eastAsia="Times New Roman" w:hAnsi="Times New Roman"/>
          <w:sz w:val="17"/>
          <w:szCs w:val="17"/>
          <w:i w:val="1"/>
          <w:iCs w:val="1"/>
          <w:color w:val="auto"/>
        </w:rPr>
        <w:t xml:space="preserve">"Cautionary Statement Regarding Forward-Looking Information"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"Risk Factors"</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There may be circumstances where for sound business reasons, the Corporation reallocates the use of proceeds depending on the amount of proceeds raised, the time periods in which the proceeds are raised, developments in relation to potential growth initiatives and other strategic opportunities or unforeseen events, see </w:t>
      </w:r>
      <w:r>
        <w:rPr>
          <w:rFonts w:ascii="Times New Roman" w:cs="Times New Roman" w:eastAsia="Times New Roman" w:hAnsi="Times New Roman"/>
          <w:sz w:val="17"/>
          <w:szCs w:val="17"/>
          <w:i w:val="1"/>
          <w:iCs w:val="1"/>
          <w:color w:val="auto"/>
        </w:rPr>
        <w:t>"Risk Factors - Risk Factors Related to the Offering - Discretion in the Use of Proceeds"</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 inception, the Corporation has financed its operations primarily from the issuance of equity and interest income on funds available for investment. To date,</w:t>
      </w:r>
    </w:p>
    <w:p>
      <w:pPr>
        <w:spacing w:after="0" w:line="2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the Corporation has raised approximately US$383,000,000</w:t>
      </w:r>
      <w:r>
        <w:rPr>
          <w:rFonts w:ascii="Times New Roman" w:cs="Times New Roman" w:eastAsia="Times New Roman" w:hAnsi="Times New Roman"/>
          <w:sz w:val="28"/>
          <w:szCs w:val="28"/>
          <w:color w:val="auto"/>
          <w:vertAlign w:val="superscript"/>
        </w:rPr>
        <w:t>14</w:t>
      </w:r>
      <w:r>
        <w:rPr>
          <w:rFonts w:ascii="Times New Roman" w:cs="Times New Roman" w:eastAsia="Times New Roman" w:hAnsi="Times New Roman"/>
          <w:sz w:val="17"/>
          <w:szCs w:val="17"/>
          <w:color w:val="auto"/>
        </w:rPr>
        <w:t xml:space="preserve"> in gross proceeds through private placement and prospectus offerings. The Corporation has experienced operating losses and cash outflows from operations since incorporation and will require ongoing financing to continue its research and development activities.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17"/>
          <w:szCs w:val="17"/>
          <w:i w:val="1"/>
          <w:iCs w:val="1"/>
          <w:color w:val="auto"/>
        </w:rPr>
        <w:t>"Risk Factors - Risk Factors Related to the Offering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Negative 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90805</wp:posOffset>
            </wp:positionV>
            <wp:extent cx="23660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66010" cy="698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right="10040" w:firstLine="6"/>
        <w:spacing w:after="0" w:line="215" w:lineRule="auto"/>
        <w:tabs>
          <w:tab w:leader="none" w:pos="115"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 xml:space="preserve">See footnote 1. </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6"/>
          <w:szCs w:val="16"/>
          <w:color w:val="auto"/>
        </w:rPr>
        <w:t xml:space="preserve"> See footnote 1. </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6"/>
          <w:szCs w:val="16"/>
          <w:color w:val="auto"/>
        </w:rPr>
        <w:t xml:space="preserve"> See footnote 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717931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9" w:name="page20"/>
    <w:bookmarkEnd w:id="19"/>
    <w:p>
      <w:pPr>
        <w:jc w:val="both"/>
        <w:spacing w:after="0" w:line="273" w:lineRule="auto"/>
        <w:rPr>
          <w:sz w:val="20"/>
          <w:szCs w:val="20"/>
          <w:color w:val="auto"/>
        </w:rPr>
      </w:pPr>
      <w:r>
        <w:rPr>
          <w:rFonts w:ascii="Times New Roman" w:cs="Times New Roman" w:eastAsia="Times New Roman" w:hAnsi="Times New Roman"/>
          <w:sz w:val="17"/>
          <w:szCs w:val="17"/>
          <w:color w:val="auto"/>
        </w:rPr>
        <w:t>Until applied, the net proceeds will be held as cash balances in the Corporation's bank account or invested in certificates of deposit and other instruments issued by banks or obligations of or guaranteed by the Government of Canada or any province thereof in accordance with the Corporation's investment policies.</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For detailed information in respect of the Corporation's business objectives and milestones, sources and use of capital, and the application of proceeds from prior offerings by the Corporation, prospective purchasers should carefully consider the information described in the Base Shelf Prospectus, the Annual Information Form and the Interim MD&amp;A, to which there has been no material changes since the date of the applicable document that have not otherwise been disclosed 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CAPITALIZATION</w:t>
      </w:r>
    </w:p>
    <w:p>
      <w:pPr>
        <w:spacing w:after="0" w:line="142" w:lineRule="exact"/>
        <w:rPr>
          <w:sz w:val="20"/>
          <w:szCs w:val="20"/>
          <w:color w:val="auto"/>
        </w:rPr>
      </w:pPr>
    </w:p>
    <w:p>
      <w:pPr>
        <w:jc w:val="both"/>
        <w:ind w:left="60"/>
        <w:spacing w:after="0" w:line="272" w:lineRule="auto"/>
        <w:rPr>
          <w:sz w:val="20"/>
          <w:szCs w:val="20"/>
          <w:color w:val="auto"/>
        </w:rPr>
      </w:pPr>
      <w:r>
        <w:rPr>
          <w:rFonts w:ascii="Times New Roman" w:cs="Times New Roman" w:eastAsia="Times New Roman" w:hAnsi="Times New Roman"/>
          <w:sz w:val="17"/>
          <w:szCs w:val="17"/>
          <w:color w:val="auto"/>
        </w:rPr>
        <w:t>As of October 27, 2025, the Corporation had 27,616,381 Common Shares issued and outstanding. There have been no material changes in the Corporation’s share or loan capitalization on a consolidated basis since the date of the Interim Financial Statements, other than as described further below under “</w:t>
      </w:r>
      <w:r>
        <w:rPr>
          <w:rFonts w:ascii="Times New Roman" w:cs="Times New Roman" w:eastAsia="Times New Roman" w:hAnsi="Times New Roman"/>
          <w:sz w:val="17"/>
          <w:szCs w:val="17"/>
          <w:i w:val="1"/>
          <w:iCs w:val="1"/>
          <w:color w:val="auto"/>
        </w:rPr>
        <w:t>Prior Sales</w:t>
      </w:r>
      <w:r>
        <w:rPr>
          <w:rFonts w:ascii="Times New Roman" w:cs="Times New Roman" w:eastAsia="Times New Roman" w:hAnsi="Times New Roman"/>
          <w:sz w:val="17"/>
          <w:szCs w:val="17"/>
          <w:color w:val="auto"/>
        </w:rPr>
        <w:t>”.</w:t>
      </w:r>
    </w:p>
    <w:p>
      <w:pPr>
        <w:spacing w:after="0" w:line="85" w:lineRule="exact"/>
        <w:rPr>
          <w:sz w:val="20"/>
          <w:szCs w:val="20"/>
          <w:color w:val="auto"/>
        </w:rPr>
      </w:pPr>
    </w:p>
    <w:p>
      <w:pPr>
        <w:jc w:val="both"/>
        <w:ind w:left="60"/>
        <w:spacing w:after="0" w:line="255" w:lineRule="auto"/>
        <w:rPr>
          <w:sz w:val="20"/>
          <w:szCs w:val="20"/>
          <w:color w:val="auto"/>
        </w:rPr>
      </w:pPr>
      <w:r>
        <w:rPr>
          <w:rFonts w:ascii="Times New Roman" w:cs="Times New Roman" w:eastAsia="Times New Roman" w:hAnsi="Times New Roman"/>
          <w:sz w:val="17"/>
          <w:szCs w:val="17"/>
          <w:color w:val="auto"/>
        </w:rPr>
        <w:t>The following table sets forth the Corporation's cash, indebtedness and shareholders' equity as of June 30, 2025: (a) on an actual basis; and (b) after giving effect to the Offering. This table should be read in conjunction with the Interim Financial Statements and Interim MD&amp;A. All figures in the table below related to securities are presented on a post-Consolidation basis.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As at June 30, 2025, after giving effect to</w:t>
            </w:r>
          </w:p>
        </w:tc>
      </w:tr>
      <w:tr>
        <w:trPr>
          <w:trHeight w:val="170"/>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the Offering, and the transactions</w:t>
            </w:r>
          </w:p>
        </w:tc>
      </w:tr>
      <w:tr>
        <w:trPr>
          <w:trHeight w:val="190"/>
        </w:trPr>
        <w:tc>
          <w:tcPr>
            <w:tcW w:w="5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Capital</w:t>
            </w:r>
          </w:p>
        </w:tc>
        <w:tc>
          <w:tcPr>
            <w:tcW w:w="180" w:type="dxa"/>
            <w:vAlign w:val="bottom"/>
            <w:tcBorders>
              <w:bottom w:val="single" w:sz="8" w:color="E6EF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00" w:type="dxa"/>
            <w:vAlign w:val="bottom"/>
            <w:tcBorders>
              <w:bottom w:val="single" w:sz="8" w:color="E6EFFF"/>
            </w:tcBorders>
          </w:tcPr>
          <w:p>
            <w:pPr>
              <w:spacing w:after="0"/>
              <w:rPr>
                <w:sz w:val="16"/>
                <w:szCs w:val="16"/>
                <w:color w:val="auto"/>
              </w:rPr>
            </w:pPr>
          </w:p>
        </w:tc>
        <w:tc>
          <w:tcPr>
            <w:tcW w:w="2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outlined under "</w:t>
            </w:r>
            <w:r>
              <w:rPr>
                <w:rFonts w:ascii="Times New Roman" w:cs="Times New Roman" w:eastAsia="Times New Roman" w:hAnsi="Times New Roman"/>
                <w:sz w:val="14"/>
                <w:szCs w:val="14"/>
                <w:b w:val="1"/>
                <w:bCs w:val="1"/>
                <w:i w:val="1"/>
                <w:iCs w:val="1"/>
                <w:color w:val="auto"/>
              </w:rPr>
              <w:t>Prior Sales</w:t>
            </w:r>
            <w:r>
              <w:rPr>
                <w:rFonts w:ascii="Times New Roman" w:cs="Times New Roman" w:eastAsia="Times New Roman" w:hAnsi="Times New Roman"/>
                <w:sz w:val="14"/>
                <w:szCs w:val="14"/>
                <w:b w:val="1"/>
                <w:bCs w:val="1"/>
                <w:color w:val="auto"/>
              </w:rPr>
              <w:t>"</w:t>
            </w:r>
          </w:p>
        </w:tc>
      </w:tr>
      <w:tr>
        <w:trPr>
          <w:trHeight w:val="196"/>
        </w:trPr>
        <w:tc>
          <w:tcPr>
            <w:tcW w:w="5260" w:type="dxa"/>
            <w:vAlign w:val="bottom"/>
            <w:shd w:val="clear" w:color="auto" w:fill="E6EFFF"/>
          </w:tcPr>
          <w:p>
            <w:pPr>
              <w:ind w:left="60"/>
              <w:spacing w:after="0" w:line="196" w:lineRule="exact"/>
              <w:rPr>
                <w:sz w:val="20"/>
                <w:szCs w:val="20"/>
                <w:color w:val="auto"/>
              </w:rPr>
            </w:pPr>
            <w:r>
              <w:rPr>
                <w:rFonts w:ascii="Times New Roman" w:cs="Times New Roman" w:eastAsia="Times New Roman" w:hAnsi="Times New Roman"/>
                <w:sz w:val="14"/>
                <w:szCs w:val="14"/>
                <w:color w:val="auto"/>
              </w:rPr>
              <w:t>Cash and Cash Equivalents</w:t>
            </w:r>
            <w:r>
              <w:rPr>
                <w:rFonts w:ascii="Times New Roman" w:cs="Times New Roman" w:eastAsia="Times New Roman" w:hAnsi="Times New Roman"/>
                <w:sz w:val="22"/>
                <w:szCs w:val="22"/>
                <w:color w:val="auto"/>
                <w:vertAlign w:val="superscript"/>
              </w:rPr>
              <w:t>(1)</w:t>
            </w:r>
          </w:p>
        </w:tc>
        <w:tc>
          <w:tcPr>
            <w:tcW w:w="180" w:type="dxa"/>
            <w:vAlign w:val="bottom"/>
            <w:shd w:val="clear" w:color="auto" w:fill="E6EFFF"/>
          </w:tcPr>
          <w:p>
            <w:pPr>
              <w:spacing w:after="0"/>
              <w:rPr>
                <w:sz w:val="17"/>
                <w:szCs w:val="17"/>
                <w:color w:val="auto"/>
              </w:rPr>
            </w:pPr>
          </w:p>
        </w:tc>
        <w:tc>
          <w:tcPr>
            <w:tcW w:w="1920" w:type="dxa"/>
            <w:vAlign w:val="bottom"/>
            <w:gridSpan w:val="2"/>
            <w:shd w:val="clear" w:color="auto" w:fill="E6EFFF"/>
          </w:tcPr>
          <w:p>
            <w:pPr>
              <w:jc w:val="center"/>
              <w:ind w:right="200"/>
              <w:spacing w:after="0"/>
              <w:rPr>
                <w:sz w:val="20"/>
                <w:szCs w:val="20"/>
                <w:color w:val="auto"/>
              </w:rPr>
            </w:pPr>
            <w:r>
              <w:rPr>
                <w:rFonts w:ascii="Times New Roman" w:cs="Times New Roman" w:eastAsia="Times New Roman" w:hAnsi="Times New Roman"/>
                <w:sz w:val="14"/>
                <w:szCs w:val="14"/>
                <w:color w:val="auto"/>
              </w:rPr>
              <w:t>US$118,692,000</w:t>
            </w:r>
          </w:p>
        </w:tc>
        <w:tc>
          <w:tcPr>
            <w:tcW w:w="2780" w:type="dxa"/>
            <w:vAlign w:val="bottom"/>
            <w:shd w:val="clear" w:color="auto" w:fill="E6EFFF"/>
          </w:tcPr>
          <w:p>
            <w:pPr>
              <w:jc w:val="center"/>
              <w:ind w:right="28"/>
              <w:spacing w:after="0"/>
              <w:rPr>
                <w:sz w:val="20"/>
                <w:szCs w:val="20"/>
                <w:color w:val="auto"/>
              </w:rPr>
            </w:pPr>
            <w:r>
              <w:rPr>
                <w:rFonts w:ascii="Times New Roman" w:cs="Times New Roman" w:eastAsia="Times New Roman" w:hAnsi="Times New Roman"/>
                <w:sz w:val="14"/>
                <w:szCs w:val="14"/>
                <w:color w:val="auto"/>
              </w:rPr>
              <w:t>US$283,951,366.41</w:t>
            </w:r>
          </w:p>
        </w:tc>
      </w:tr>
      <w:tr>
        <w:trPr>
          <w:trHeight w:val="205"/>
        </w:trPr>
        <w:tc>
          <w:tcPr>
            <w:tcW w:w="5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Loans and Borrowings</w:t>
            </w:r>
          </w:p>
        </w:tc>
        <w:tc>
          <w:tcPr>
            <w:tcW w:w="1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US$50,000,000</w:t>
            </w:r>
          </w:p>
        </w:tc>
        <w:tc>
          <w:tcPr>
            <w:tcW w:w="2780" w:type="dxa"/>
            <w:vAlign w:val="bottom"/>
          </w:tcPr>
          <w:p>
            <w:pPr>
              <w:jc w:val="center"/>
              <w:ind w:right="28"/>
              <w:spacing w:after="0" w:line="204" w:lineRule="exact"/>
              <w:rPr>
                <w:sz w:val="20"/>
                <w:szCs w:val="20"/>
                <w:color w:val="auto"/>
              </w:rPr>
            </w:pPr>
            <w:r>
              <w:rPr>
                <w:rFonts w:ascii="Times New Roman" w:cs="Times New Roman" w:eastAsia="Times New Roman" w:hAnsi="Times New Roman"/>
                <w:sz w:val="14"/>
                <w:szCs w:val="14"/>
                <w:color w:val="auto"/>
                <w:w w:val="98"/>
              </w:rPr>
              <w:t>US$20,150,000</w:t>
            </w:r>
            <w:r>
              <w:rPr>
                <w:rFonts w:ascii="Times New Roman" w:cs="Times New Roman" w:eastAsia="Times New Roman" w:hAnsi="Times New Roman"/>
                <w:sz w:val="23"/>
                <w:szCs w:val="23"/>
                <w:color w:val="auto"/>
                <w:w w:val="98"/>
                <w:vertAlign w:val="superscript"/>
              </w:rPr>
              <w:t>(2)</w:t>
            </w:r>
          </w:p>
        </w:tc>
      </w:tr>
      <w:tr>
        <w:trPr>
          <w:trHeight w:val="205"/>
        </w:trPr>
        <w:tc>
          <w:tcPr>
            <w:tcW w:w="54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4"/>
                <w:szCs w:val="14"/>
                <w:color w:val="auto"/>
              </w:rPr>
              <w:t>Common Shares</w:t>
            </w:r>
          </w:p>
        </w:tc>
        <w:tc>
          <w:tcPr>
            <w:tcW w:w="17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23,023,631</w:t>
            </w:r>
          </w:p>
        </w:tc>
        <w:tc>
          <w:tcPr>
            <w:tcW w:w="200" w:type="dxa"/>
            <w:vAlign w:val="bottom"/>
            <w:shd w:val="clear" w:color="auto" w:fill="E6EFFF"/>
          </w:tcPr>
          <w:p>
            <w:pPr>
              <w:spacing w:after="0"/>
              <w:rPr>
                <w:sz w:val="17"/>
                <w:szCs w:val="17"/>
                <w:color w:val="auto"/>
              </w:rPr>
            </w:pPr>
          </w:p>
        </w:tc>
        <w:tc>
          <w:tcPr>
            <w:tcW w:w="2780" w:type="dxa"/>
            <w:vAlign w:val="bottom"/>
            <w:shd w:val="clear" w:color="auto" w:fill="E6EFFF"/>
          </w:tcPr>
          <w:p>
            <w:pPr>
              <w:jc w:val="center"/>
              <w:ind w:right="28"/>
              <w:spacing w:after="0" w:line="204" w:lineRule="exact"/>
              <w:rPr>
                <w:sz w:val="20"/>
                <w:szCs w:val="20"/>
                <w:color w:val="auto"/>
              </w:rPr>
            </w:pPr>
            <w:r>
              <w:rPr>
                <w:rFonts w:ascii="Times New Roman" w:cs="Times New Roman" w:eastAsia="Times New Roman" w:hAnsi="Times New Roman"/>
                <w:sz w:val="14"/>
                <w:szCs w:val="14"/>
                <w:color w:val="auto"/>
                <w:w w:val="98"/>
              </w:rPr>
              <w:t>49,894,131</w:t>
            </w:r>
            <w:r>
              <w:rPr>
                <w:rFonts w:ascii="Times New Roman" w:cs="Times New Roman" w:eastAsia="Times New Roman" w:hAnsi="Times New Roman"/>
                <w:sz w:val="23"/>
                <w:szCs w:val="23"/>
                <w:color w:val="auto"/>
                <w:w w:val="98"/>
                <w:vertAlign w:val="superscript"/>
              </w:rPr>
              <w:t>(3)</w:t>
            </w:r>
          </w:p>
        </w:tc>
      </w:tr>
      <w:tr>
        <w:trPr>
          <w:trHeight w:val="205"/>
        </w:trPr>
        <w:tc>
          <w:tcPr>
            <w:tcW w:w="5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Stock options</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3,945,916</w:t>
            </w:r>
          </w:p>
        </w:tc>
        <w:tc>
          <w:tcPr>
            <w:tcW w:w="200" w:type="dxa"/>
            <w:vAlign w:val="bottom"/>
          </w:tcPr>
          <w:p>
            <w:pPr>
              <w:spacing w:after="0"/>
              <w:rPr>
                <w:sz w:val="17"/>
                <w:szCs w:val="17"/>
                <w:color w:val="auto"/>
              </w:rPr>
            </w:pPr>
          </w:p>
        </w:tc>
        <w:tc>
          <w:tcPr>
            <w:tcW w:w="2780" w:type="dxa"/>
            <w:vAlign w:val="bottom"/>
          </w:tcPr>
          <w:p>
            <w:pPr>
              <w:jc w:val="center"/>
              <w:ind w:right="28"/>
              <w:spacing w:after="0" w:line="204" w:lineRule="exact"/>
              <w:rPr>
                <w:sz w:val="20"/>
                <w:szCs w:val="20"/>
                <w:color w:val="auto"/>
              </w:rPr>
            </w:pPr>
            <w:r>
              <w:rPr>
                <w:rFonts w:ascii="Times New Roman" w:cs="Times New Roman" w:eastAsia="Times New Roman" w:hAnsi="Times New Roman"/>
                <w:sz w:val="14"/>
                <w:szCs w:val="14"/>
                <w:color w:val="auto"/>
                <w:w w:val="97"/>
              </w:rPr>
              <w:t>4,286,822</w:t>
            </w:r>
            <w:r>
              <w:rPr>
                <w:rFonts w:ascii="Times New Roman" w:cs="Times New Roman" w:eastAsia="Times New Roman" w:hAnsi="Times New Roman"/>
                <w:sz w:val="23"/>
                <w:szCs w:val="23"/>
                <w:color w:val="auto"/>
                <w:w w:val="97"/>
                <w:vertAlign w:val="superscript"/>
              </w:rPr>
              <w:t>(4)</w:t>
            </w:r>
          </w:p>
        </w:tc>
      </w:tr>
      <w:tr>
        <w:trPr>
          <w:trHeight w:val="205"/>
        </w:trPr>
        <w:tc>
          <w:tcPr>
            <w:tcW w:w="54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4"/>
                <w:szCs w:val="14"/>
                <w:color w:val="auto"/>
              </w:rPr>
              <w:t>Restricted share units</w:t>
            </w:r>
          </w:p>
        </w:tc>
        <w:tc>
          <w:tcPr>
            <w:tcW w:w="1920" w:type="dxa"/>
            <w:vAlign w:val="bottom"/>
            <w:gridSpan w:val="2"/>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Nil</w:t>
            </w:r>
          </w:p>
        </w:tc>
        <w:tc>
          <w:tcPr>
            <w:tcW w:w="2780" w:type="dxa"/>
            <w:vAlign w:val="bottom"/>
            <w:shd w:val="clear" w:color="auto" w:fill="E6EFFF"/>
          </w:tcPr>
          <w:p>
            <w:pPr>
              <w:jc w:val="center"/>
              <w:ind w:right="28"/>
              <w:spacing w:after="0" w:line="204" w:lineRule="exact"/>
              <w:rPr>
                <w:sz w:val="20"/>
                <w:szCs w:val="20"/>
                <w:color w:val="auto"/>
              </w:rPr>
            </w:pPr>
            <w:r>
              <w:rPr>
                <w:rFonts w:ascii="Times New Roman" w:cs="Times New Roman" w:eastAsia="Times New Roman" w:hAnsi="Times New Roman"/>
                <w:sz w:val="14"/>
                <w:szCs w:val="14"/>
                <w:color w:val="auto"/>
                <w:w w:val="94"/>
              </w:rPr>
              <w:t>600,000</w:t>
            </w:r>
            <w:r>
              <w:rPr>
                <w:rFonts w:ascii="Times New Roman" w:cs="Times New Roman" w:eastAsia="Times New Roman" w:hAnsi="Times New Roman"/>
                <w:sz w:val="23"/>
                <w:szCs w:val="23"/>
                <w:color w:val="auto"/>
                <w:w w:val="94"/>
                <w:vertAlign w:val="superscript"/>
              </w:rPr>
              <w:t>(5)</w:t>
            </w:r>
          </w:p>
        </w:tc>
      </w:tr>
      <w:tr>
        <w:trPr>
          <w:trHeight w:val="205"/>
        </w:trPr>
        <w:tc>
          <w:tcPr>
            <w:tcW w:w="5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Common Share purchase warrants</w:t>
            </w:r>
          </w:p>
        </w:tc>
        <w:tc>
          <w:tcPr>
            <w:tcW w:w="1720" w:type="dxa"/>
            <w:vAlign w:val="bottom"/>
          </w:tcPr>
          <w:p>
            <w:pPr>
              <w:jc w:val="center"/>
              <w:spacing w:after="0" w:line="204" w:lineRule="exact"/>
              <w:rPr>
                <w:sz w:val="20"/>
                <w:szCs w:val="20"/>
                <w:color w:val="auto"/>
              </w:rPr>
            </w:pPr>
            <w:r>
              <w:rPr>
                <w:rFonts w:ascii="Times New Roman" w:cs="Times New Roman" w:eastAsia="Times New Roman" w:hAnsi="Times New Roman"/>
                <w:sz w:val="14"/>
                <w:szCs w:val="14"/>
                <w:color w:val="auto"/>
                <w:w w:val="97"/>
              </w:rPr>
              <w:t>2,796,197</w:t>
            </w:r>
            <w:r>
              <w:rPr>
                <w:rFonts w:ascii="Times New Roman" w:cs="Times New Roman" w:eastAsia="Times New Roman" w:hAnsi="Times New Roman"/>
                <w:sz w:val="23"/>
                <w:szCs w:val="23"/>
                <w:color w:val="auto"/>
                <w:w w:val="97"/>
                <w:vertAlign w:val="superscript"/>
              </w:rPr>
              <w:t>(3)</w:t>
            </w:r>
          </w:p>
        </w:tc>
        <w:tc>
          <w:tcPr>
            <w:tcW w:w="200" w:type="dxa"/>
            <w:vAlign w:val="bottom"/>
          </w:tcPr>
          <w:p>
            <w:pPr>
              <w:spacing w:after="0"/>
              <w:rPr>
                <w:sz w:val="17"/>
                <w:szCs w:val="17"/>
                <w:color w:val="auto"/>
              </w:rPr>
            </w:pPr>
          </w:p>
        </w:tc>
        <w:tc>
          <w:tcPr>
            <w:tcW w:w="2780" w:type="dxa"/>
            <w:vAlign w:val="bottom"/>
          </w:tcPr>
          <w:p>
            <w:pPr>
              <w:jc w:val="center"/>
              <w:ind w:right="28"/>
              <w:spacing w:after="0" w:line="204" w:lineRule="exact"/>
              <w:rPr>
                <w:sz w:val="20"/>
                <w:szCs w:val="20"/>
                <w:color w:val="auto"/>
              </w:rPr>
            </w:pPr>
            <w:r>
              <w:rPr>
                <w:rFonts w:ascii="Times New Roman" w:cs="Times New Roman" w:eastAsia="Times New Roman" w:hAnsi="Times New Roman"/>
                <w:sz w:val="14"/>
                <w:szCs w:val="14"/>
                <w:color w:val="auto"/>
                <w:w w:val="98"/>
              </w:rPr>
              <w:t>12,205,335</w:t>
            </w:r>
            <w:r>
              <w:rPr>
                <w:rFonts w:ascii="Times New Roman" w:cs="Times New Roman" w:eastAsia="Times New Roman" w:hAnsi="Times New Roman"/>
                <w:sz w:val="23"/>
                <w:szCs w:val="23"/>
                <w:color w:val="auto"/>
                <w:w w:val="98"/>
                <w:vertAlign w:val="superscript"/>
              </w:rPr>
              <w:t>(6)</w:t>
            </w:r>
          </w:p>
        </w:tc>
      </w:tr>
      <w:tr>
        <w:trPr>
          <w:trHeight w:val="172"/>
        </w:trPr>
        <w:tc>
          <w:tcPr>
            <w:tcW w:w="5440" w:type="dxa"/>
            <w:vAlign w:val="bottom"/>
            <w:gridSpan w:val="2"/>
            <w:shd w:val="clear" w:color="auto" w:fill="E6EFFF"/>
          </w:tcPr>
          <w:p>
            <w:pPr>
              <w:ind w:left="60"/>
              <w:spacing w:after="0"/>
              <w:rPr>
                <w:sz w:val="20"/>
                <w:szCs w:val="20"/>
                <w:color w:val="auto"/>
              </w:rPr>
            </w:pPr>
            <w:r>
              <w:rPr>
                <w:rFonts w:ascii="Times New Roman" w:cs="Times New Roman" w:eastAsia="Times New Roman" w:hAnsi="Times New Roman"/>
                <w:sz w:val="14"/>
                <w:szCs w:val="14"/>
                <w:color w:val="auto"/>
              </w:rPr>
              <w:t>Pre-Funded Warrants</w:t>
            </w:r>
          </w:p>
        </w:tc>
        <w:tc>
          <w:tcPr>
            <w:tcW w:w="1920" w:type="dxa"/>
            <w:vAlign w:val="bottom"/>
            <w:gridSpan w:val="2"/>
            <w:shd w:val="clear" w:color="auto" w:fill="E6EFFF"/>
          </w:tcPr>
          <w:p>
            <w:pPr>
              <w:ind w:left="760"/>
              <w:spacing w:after="0"/>
              <w:rPr>
                <w:sz w:val="20"/>
                <w:szCs w:val="20"/>
                <w:color w:val="auto"/>
              </w:rPr>
            </w:pPr>
            <w:r>
              <w:rPr>
                <w:rFonts w:ascii="Times New Roman" w:cs="Times New Roman" w:eastAsia="Times New Roman" w:hAnsi="Times New Roman"/>
                <w:sz w:val="14"/>
                <w:szCs w:val="14"/>
                <w:color w:val="auto"/>
              </w:rPr>
              <w:t>Nil</w:t>
            </w:r>
          </w:p>
        </w:tc>
        <w:tc>
          <w:tcPr>
            <w:tcW w:w="2780" w:type="dxa"/>
            <w:vAlign w:val="bottom"/>
            <w:shd w:val="clear" w:color="auto" w:fill="E6EFFF"/>
          </w:tcPr>
          <w:p>
            <w:pPr>
              <w:jc w:val="center"/>
              <w:ind w:right="28"/>
              <w:spacing w:after="0"/>
              <w:rPr>
                <w:sz w:val="20"/>
                <w:szCs w:val="20"/>
                <w:color w:val="auto"/>
              </w:rPr>
            </w:pPr>
            <w:r>
              <w:rPr>
                <w:rFonts w:ascii="Times New Roman" w:cs="Times New Roman" w:eastAsia="Times New Roman" w:hAnsi="Times New Roman"/>
                <w:sz w:val="14"/>
                <w:szCs w:val="14"/>
                <w:color w:val="auto"/>
                <w:w w:val="99"/>
              </w:rPr>
              <w:t>4,605,500</w:t>
            </w:r>
          </w:p>
        </w:tc>
      </w:tr>
    </w:tbl>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142" w:lineRule="exact"/>
        <w:rPr>
          <w:sz w:val="20"/>
          <w:szCs w:val="20"/>
          <w:color w:val="auto"/>
        </w:rPr>
      </w:pPr>
    </w:p>
    <w:p>
      <w:pPr>
        <w:ind w:left="520" w:hanging="342"/>
        <w:spacing w:after="0" w:line="249" w:lineRule="auto"/>
        <w:tabs>
          <w:tab w:leader="none" w:pos="54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the Offering are before deducting expenses but are net proceeds after deducting the Placement Agents’ Fee, assuming US$25,001,655 of purchasers under the President’s List.</w:t>
      </w:r>
    </w:p>
    <w:p>
      <w:pPr>
        <w:ind w:left="560" w:hanging="382"/>
        <w:spacing w:after="0" w:line="237" w:lineRule="auto"/>
        <w:tabs>
          <w:tab w:leader="none" w:pos="5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Principal amount of the Convertible Debentures issued and outstanding.</w:t>
      </w:r>
    </w:p>
    <w:p>
      <w:pPr>
        <w:ind w:left="520" w:hanging="342"/>
        <w:spacing w:after="0" w:line="237" w:lineRule="auto"/>
        <w:tabs>
          <w:tab w:leader="none" w:pos="54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Since the date of the Interim Financial Statements, the Corporation has issued: (a) 4,584,856 Common Shares on conversion of the Convertible Debentures; and (b) </w:t>
      </w:r>
      <w:r>
        <w:rPr>
          <w:rFonts w:ascii="Times New Roman" w:cs="Times New Roman" w:eastAsia="Times New Roman" w:hAnsi="Times New Roman"/>
          <w:sz w:val="17"/>
          <w:szCs w:val="17"/>
          <w:b w:val="1"/>
          <w:bCs w:val="1"/>
          <w:color w:val="auto"/>
        </w:rPr>
        <w:t>7,894</w:t>
      </w:r>
      <w:r>
        <w:rPr>
          <w:rFonts w:ascii="Times New Roman" w:cs="Times New Roman" w:eastAsia="Times New Roman" w:hAnsi="Times New Roman"/>
          <w:sz w:val="17"/>
          <w:szCs w:val="17"/>
          <w:color w:val="auto"/>
        </w:rPr>
        <w:t xml:space="preserve"> Common Shares upon exercise of certain options to purchase Common Shares. See “</w:t>
      </w:r>
      <w:r>
        <w:rPr>
          <w:rFonts w:ascii="Times New Roman" w:cs="Times New Roman" w:eastAsia="Times New Roman" w:hAnsi="Times New Roman"/>
          <w:sz w:val="17"/>
          <w:szCs w:val="17"/>
          <w:i w:val="1"/>
          <w:iCs w:val="1"/>
          <w:color w:val="auto"/>
        </w:rPr>
        <w:t>Prior Sales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jc w:val="both"/>
        <w:ind w:left="520" w:hanging="342"/>
        <w:spacing w:after="0" w:line="237" w:lineRule="auto"/>
        <w:tabs>
          <w:tab w:leader="none" w:pos="54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15, 2025, options to purchase an aggregate of 53,800 Common Shares at an exercise price of C$10.00 per Common Share and options to purchase an aggregate of 80,000 Common Shares at an exercise price of C$11.00 per Common Share were granted under the Equity Incentive Plan. On August 28, 2025, options to purchase an aggregate of 7,894 Common Shares at an exercise price of C$9.50 were exercised by holders. On August 29, 2025, options to purchase an aggregate of 15,000 Common Shares at an exercise price of C$11.00 per Common Share were granted under the Equity Incentive Plan. On October 1, 2025, options to purchase an aggregate of 200,000 Common Shares at an exercise price of C$8.39 were granted under the Equity Incentive Plan. See “</w:t>
      </w:r>
      <w:r>
        <w:rPr>
          <w:rFonts w:ascii="Times New Roman" w:cs="Times New Roman" w:eastAsia="Times New Roman" w:hAnsi="Times New Roman"/>
          <w:sz w:val="17"/>
          <w:szCs w:val="17"/>
          <w:i w:val="1"/>
          <w:iCs w:val="1"/>
          <w:color w:val="auto"/>
        </w:rPr>
        <w:t>Prior Sales</w:t>
      </w:r>
      <w:r>
        <w:rPr>
          <w:rFonts w:ascii="Times New Roman" w:cs="Times New Roman" w:eastAsia="Times New Roman" w:hAnsi="Times New Roman"/>
          <w:sz w:val="17"/>
          <w:szCs w:val="17"/>
          <w:color w:val="auto"/>
        </w:rPr>
        <w:t>”.</w:t>
      </w:r>
    </w:p>
    <w:p>
      <w:pPr>
        <w:spacing w:after="0" w:line="4" w:lineRule="exact"/>
        <w:rPr>
          <w:rFonts w:ascii="Times New Roman" w:cs="Times New Roman" w:eastAsia="Times New Roman" w:hAnsi="Times New Roman"/>
          <w:sz w:val="17"/>
          <w:szCs w:val="17"/>
          <w:color w:val="auto"/>
        </w:rPr>
      </w:pPr>
    </w:p>
    <w:p>
      <w:pPr>
        <w:ind w:left="560" w:hanging="382"/>
        <w:spacing w:after="0"/>
        <w:tabs>
          <w:tab w:leader="none" w:pos="5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1, 2025, 600,000 restricted share units were granted under the Equity Incentive Plan. See “</w:t>
      </w:r>
      <w:r>
        <w:rPr>
          <w:rFonts w:ascii="Times New Roman" w:cs="Times New Roman" w:eastAsia="Times New Roman" w:hAnsi="Times New Roman"/>
          <w:sz w:val="17"/>
          <w:szCs w:val="17"/>
          <w:i w:val="1"/>
          <w:iCs w:val="1"/>
          <w:color w:val="auto"/>
        </w:rPr>
        <w:t>Prior Sales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0" w:name="page21"/>
    <w:bookmarkEnd w:id="20"/>
    <w:p>
      <w:pPr>
        <w:jc w:val="both"/>
        <w:ind w:left="520" w:hanging="342"/>
        <w:spacing w:after="0" w:line="255" w:lineRule="auto"/>
        <w:tabs>
          <w:tab w:leader="none" w:pos="54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is offering 22,277,750 Offered Shares, 4,605,500 Pre-Funded Warrant and 9,409,138 Warrants in a registered offering to Purchasers pursuant to this Prospectus Supplement and the accompanying Base Prospectus. The Securities were offered directly to the Purchasers.</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Offering is being made pursuant to this Prospectus Supplement. Each Purchaser has entered or will enter into a Purchase Agreement with the Corporation, and the Corporation will only sell Securities to Purchasers who have executed such an agreement.</w:t>
      </w:r>
    </w:p>
    <w:p>
      <w:pPr>
        <w:spacing w:after="0" w:line="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Offering is being conducted only in the United States as a registered offering under the Corporation’s Registration Statement. The Securities will be offered in the United States directly to the Purchasers. The Securities are not being offered to the public in Canada under this Prospectus Supplement. Subject to applicable law and the terms of the Purchase Agreement, the Offering may also be made in certain jurisdictions outside of Canada and the United States, provided such sales comply with the relevant rules and regulations of those jurisdictions. This Prospectus Supplement also qualifies the distribution of the Securities to eligible investors outside of Canada, including the Pre-Funded Warrant Shares and Warrant Shares issuable upon exercise of the Pre-Funded Warrants and Warrants, respectively.</w:t>
      </w:r>
    </w:p>
    <w:p>
      <w:pPr>
        <w:spacing w:after="0" w:line="3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 has retained the Placement Agents to act as the Corporation’s exclusive placement agents, on a reasonable efforts basis, in connection with the Offering subject, to the terms and conditions of the Agency Agreement. The Placement Agents are not purchasing or selling any of the Securities offered pursuant to this Prospectus Supplement or the accompanying Base Prospectus, nor are they required to arrange the purchase or sale of any specific number or dollar amount of Securities.</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Corporation currently anticipates that closing of this Offering will occur on or about October 31, 2025, or such other date as the Corporation and the Placement Agents may agree. Purchasers will also be informed of the date and manner in which they must transmit the Offering Price for their Securities purchased. The Corporation’s obligation to issue and sell Securities to the Purchasers is subject to the conditions set forth in the Purchase Agreements, which may be waived by the Corporation at its discretion. A Purchaser’s obligation to purchase Securities is subject to the conditions set forth in the Purchase Agreement as well, which may also be waived. There is no requirement that any minimum number or dollar amount of Securities be sold in this Offering, and there can be no assurance that the Corporation will sell all or any of the Securities being offered.</w:t>
      </w:r>
    </w:p>
    <w:p>
      <w:pPr>
        <w:spacing w:after="0" w:line="1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Agency Agreement provides that the Placement Agents' obligations thereunder depends on the satisfaction of the conditions contained in the Agency Agreement, including:</w:t>
      </w:r>
    </w:p>
    <w:p>
      <w:pPr>
        <w:spacing w:after="0" w:line="117"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the representations and warranties made by the Corporation to the Purchasers in the Purchase Agreement are true in all material respects, and the Placement Agents are entitled to rely, as express third-party beneficiaries, on the representations, warranties and covenants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5"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the obligations, covenants and agreements of the Corporation required to be performed at or prior to the Closing Date, under the Agency Agreement and the Purchase Agreement, shall have been performed;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Corporation delivers customary closing documents to the Placement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consideration for the Placement Agents’ services with respect to the Offering, the Corporation shall pay the Placement Agents’ Fee equal to 6.0% of the aggregate gross proceeds of the Offering, payable on the closing of the Offering. The Placement Agents’ Fee shall be reduced to 3.0% of the aggregate gross proceeds raised from purchasers on the President’s List in connection with the Offering. The Corporation has also agreed to reimburse the Placement Agents for their reasonable out-of-pocket fees and expenses, including the fees and expenses of its legal counsel, up to a maximum amount of US$250,000. The Placement Agents have also agreed to reimburse the Corporation for certain expenses.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1" w:name="page22"/>
    <w:bookmarkEnd w:id="21"/>
    <w:p>
      <w:pPr>
        <w:jc w:val="both"/>
        <w:spacing w:after="0" w:line="273" w:lineRule="auto"/>
        <w:rPr>
          <w:sz w:val="20"/>
          <w:szCs w:val="20"/>
          <w:color w:val="auto"/>
        </w:rPr>
      </w:pPr>
      <w:r>
        <w:rPr>
          <w:rFonts w:ascii="Times New Roman" w:cs="Times New Roman" w:eastAsia="Times New Roman" w:hAnsi="Times New Roman"/>
          <w:sz w:val="17"/>
          <w:szCs w:val="17"/>
          <w:color w:val="auto"/>
        </w:rPr>
        <w:t>The Purchase Agreement provides that the Purchasers’ obligation to purchase the Securities depends on the satisfaction of the conditions contained in the Purchase Agreement including:</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representations and warranties made by the Corporation to the Purchasers are true in all material respects, subject to a typical materiality scrape;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-74930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obligations, covenants and agreements of the Corporation required to be performed at or prior to the Closing Date shall have been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-74930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all required approvals, including the conditional approval of Cboe Canada and the authorization of the NYSE American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-74930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is no material adverse effect with respect to the Corporation;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-74930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Corporation delivers customary closing documents to the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-74930</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Offering Price and the issuance, Warrant Exercise Price and other terms of the Warrants were determined by arm’s length negotiations between the Corporation and the Placement Agents with reference to the then market price of the Common Shares, prevailing market conditions, the historical performance and capital structure of the Corporation, the Placement Agents’ estimate of the business potential and earnings prospects of the Corporation, the availability of comparable investments, an overall assessment of management of the Corporation and the consideration of the foregoing factors in relation to market valuation of companies in related businesses.</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The issued and outstanding Common Shares are listed and posted for trading on Cboe Canada and the NYSE American, in each case under the trading symbol “CYBN”. On October 27, 2025, the last trading day prior to the filing of this Prospectus Supplement, the closing prices of the Common Shares listed on Cboe Canada and the NYSE American were C$9.03 and US$6.51, respectively. The Corporation has applied to list the Offered Shares, Warrant Shares and Pre-Funded Warrant Shares on Cboe Canada and the NYSE American. Listing is subject to the approval of Cboe Canada and the NYSE American in accordance with applicable listing requirements. </w:t>
      </w:r>
      <w:r>
        <w:rPr>
          <w:rFonts w:ascii="Times New Roman" w:cs="Times New Roman" w:eastAsia="Times New Roman" w:hAnsi="Times New Roman"/>
          <w:sz w:val="17"/>
          <w:szCs w:val="17"/>
          <w:b w:val="1"/>
          <w:bCs w:val="1"/>
          <w:color w:val="auto"/>
        </w:rPr>
        <w:t>The Corporation does not intend to apply to list the Pre-Funded Warrants or Warrants on any securities exchange.</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Placement Agents may engage in transactions with, or perform other services for, the Corporation in the ordinary course of business. The Placement Agents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Agents and their affiliates have, from time to time, performed, and may in the future perform, various financial advisory and investment banking services for the Corporation, for which they received or will receive customary fees and expenses.</w:t>
      </w:r>
    </w:p>
    <w:p>
      <w:pPr>
        <w:spacing w:after="0" w:line="1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addition, in the ordinary course of their various business activities, the Placement Agents and their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the Corporation's securities and instruments. The Placement Agents and their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Each Pre-Funded Warrant will entitle the holder thereof to acquire, subject to adjustment in certain circumstances, one Pre-Funded Warrant Share at a nominal exercise price of US$0.00001. The Pre-Funded Warrants will not expire. The Pre-Funded Warrants will be created and issued pursuant to the terms of the Pre-Funded Warrant Certificates to be dated as of the date of issuance thereof and issued by the Corporation. The Pre-Funded Warrant Certificates will contain provisions designed to protect holders of the Pre-Funded Warrants against dilution upon the happening of certain events. No fractional Pre-Funded Warrants will be issued and no cash consideration will be paid in lieu of fractional shares. See "</w:t>
      </w:r>
      <w:r>
        <w:rPr>
          <w:rFonts w:ascii="Times New Roman" w:cs="Times New Roman" w:eastAsia="Times New Roman" w:hAnsi="Times New Roman"/>
          <w:sz w:val="17"/>
          <w:szCs w:val="17"/>
          <w:i w:val="1"/>
          <w:iCs w:val="1"/>
          <w:color w:val="auto"/>
        </w:rPr>
        <w:t>Description of Securities Being Distributed - Pre-Funded Warrants</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There is currently no market through which the Pre-Funded Warrants may be sold and purchasers may not be able to resell the Pre-Funded Warrants purchased under this Prospectus Supplement. This may affect the pricing of the securities in the secondary market, the transparency and availability of trading prices, the liquidity of the securities, and the extent of issuer regulation.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w:t>
      </w:r>
    </w:p>
    <w:p>
      <w:pPr>
        <w:spacing w:after="0" w:line="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Each Warrant will entitle the holder thereof to acquire, subject to adjustment in certain circumstances, one Warrant Share at the Warrant Exercise Price until the Warrant Expiry Date, subject to the Acceleration Right. The Warrants will be created and issued pursuant to the terms of the Warrant Certificates to be dated as of the date of issuance thereof and issued by the Corporation. The Warrant Certificates will contain provisions designed to protect holders of the Warrants against dilution upon the happening of certain events. See "</w:t>
      </w:r>
      <w:r>
        <w:rPr>
          <w:rFonts w:ascii="Times New Roman" w:cs="Times New Roman" w:eastAsia="Times New Roman" w:hAnsi="Times New Roman"/>
          <w:sz w:val="17"/>
          <w:szCs w:val="17"/>
          <w:i w:val="1"/>
          <w:iCs w:val="1"/>
          <w:color w:val="auto"/>
        </w:rPr>
        <w:t>Description of Securities Being Distributed -Warrants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There is currently no market through which the Warrants may be sold and purchasers may not be able to resell the Warrants purchased under this Prospectus Supplement. This may affect the pricing of the securities in the secondary market, the transparency and availability of trading prices, the liquidity of the securities, and the extent of issuer regulation.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obligations of the Placement Agents under the Agency Agreement are several (and not joint or joint and several), are subject to certain closing conditions and may be terminated at their discretion on the basis of "material change out", "disaster out", "regulatory proceedings out", "breach of agreement out", and "market out" provisions in the Agency Agreement and may also be terminated upon the occurrence of certain other stated events.</w:t>
      </w:r>
    </w:p>
    <w:p>
      <w:pPr>
        <w:spacing w:after="0" w:line="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It is expected that the Offered Shares distributed under this Prospectus Supplement will be available for delivery in the book-based system of registration to be registered in the name of CDS or its nominee or DTC and deposited with CDS or DTC on the Closing Date. Unless otherwise determined by the Corporation and the Purchasers, the Purchasers of Offered Shares will receive only a customer confirmation from the registered dealer who is a Participant through which the Offered Shares are purchased. For Purchasers receiving Offered Shares through CDS's book-based system, CDS will record the Participants who hold Offered Shares on behalf of owners who have purchased Offered Shares in accordance with the book-based system. Certificates representing the Warrants will be available for delivery on the Closing Date. Certificates representing the Pre-Funded Warrants and Warrants will be in definitive form and available for delivery to Purchasers at the applicable Closing Date of the Offering. The Corporation expects that delivery of the Pre-Funded Warrants will be made against payment therefor on or about the applicable Closing Date.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Indemnity</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Corporation has agreed to indemnify the Placement Agents and each of its affiliates, and their respective directors, officers, employees, partners, agents and advisors against any and all losses (except loss of profit), claims, actions, suits, proceedings, damages, liabilities or expenses of whatsoever nature or kind, that arise out of or are based, directly or indirectly, upon the performance of the professional services rendered to the Corporation by the Placement Agents and its affiliates or their respective directors, officers, employees, partners, agents and advisors pursuant to the Agency Agreement. This indemnity does not apply to the extent such losses, claims, actions, suits, proceedings, damages, liabilities or expenses as to which indemnification is claimed arise solely out of gross negligence, willful misconduct or fraud in the performance of such professional services.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Clear Market and Lock-Up Agreements</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Pursuant to the Agency Agreement, the Corporation has agreed not to, without the prior written consent of Jefferies and TD Cowen on behalf of the Placement Agents, directly or indirectly (i) sell, offer to sell, contract to sell or lend any Common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Common Shares or Related Securities; (iii) pledge, hypothecate or grant any security interest in any Common Shares or Related Securities; (iv) in any other way transfer or dispose of any Common Shares or Related Securities; (v) enter into any swap, hedge or similar arrangement or agreement that transfers, in whole or in part, the economic risk of ownership of any Common Shares or Related Securities, regardless of whether any such transaction is to be settled in securities, in cash or otherwise; (vi) announce the offering of any Common Shares or Related Securities; (vii) submit or file any registration statement under the Securities Act in respect of any Common Shares or Related Securities (other than as contemplated by the Agency Agreement with respect to the Common Shares); (viii) effect a reverse stock split, recapitalization, share consolidation, reclassification or similar transaction affecting the outstanding Common Shares; or (ix) publicly announce the intention to do any of the foregoing, from the date the Offering is announced until the date that is 60 days following the date the Offering is announced (the “</w:t>
      </w:r>
      <w:r>
        <w:rPr>
          <w:rFonts w:ascii="Times New Roman" w:cs="Times New Roman" w:eastAsia="Times New Roman" w:hAnsi="Times New Roman"/>
          <w:sz w:val="17"/>
          <w:szCs w:val="17"/>
          <w:b w:val="1"/>
          <w:bCs w:val="1"/>
          <w:color w:val="auto"/>
        </w:rPr>
        <w:t>Clear Market Restricted Period</w:t>
      </w:r>
      <w:r>
        <w:rPr>
          <w:rFonts w:ascii="Times New Roman" w:cs="Times New Roman" w:eastAsia="Times New Roman" w:hAnsi="Times New Roman"/>
          <w:sz w:val="17"/>
          <w:szCs w:val="17"/>
          <w:color w:val="auto"/>
        </w:rPr>
        <w:t xml:space="preserve">”), except: (a) pursuant to the Purchase Agreement; (b) the grant or exercise of equity compensation pursuant to the Corporation’s existing equity compensation plans or Common Shares issuable upon the exercise, vesting, settlement or conversion of any securities issued pursuant to any employment agreement, consulting agreement, advisory agreement, or other compensatory or incentive arrangement of the Corporation, whether now in effect or hereafter implemented; (c) the issuance of Common Shares upon the exercise or conversion of any options or warrants or other convertible securities outstanding as of the date of the Agency Agreement; (d) the obligations in respect of the Corporation’s shareholder rights plan, as disclosed to the Placement Agents; (e) the issuance or sale of Common Shares in connection with the Corporation’s at-the-market equity program, provided that no sales pursuant to this clause (e) shall be made until 15 days after the date hereof; and (f) the issuance or sale of Common Shares or securities convertible into or exchangeable for shares of Common Shares as consideration for mergers, acquisitions, other business combinations, joint ventures, licensing consulting, or strategic alliances occurring after the date of the Agency Agreement which are not issued for capital raising purposes, provided that (1) the aggregate number of Common Shares issued pursuant to clause (f) shall not exceed 10% of the total number of Common Shares outstanding immediately following the issuance and sale of the Securities pursuant to the Agency Agreement, and (2) the recipient of such securities issued pursuant to clause (f) during the Clear Market Restricted Period shall enter into (if it has not previously entered into) an agreement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the Agency Agreement. For purposes of the foregoing, “Related Securities” shall mean any options or warrants or other rights to acquire Common Shares or any securities exchangeable or exercisable for or convertible into Common Shares, or to acquire other securities or rights ultimately exchangeable or exercisable for, or convertible into, Common Shares. In the event that the Corporation determines not to proceed with the Offering for any reason, all obligations of the Corporation in respect of the foregoing shall automatically terminate and be of no further force or effect.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3" w:name="page24"/>
    <w:bookmarkEnd w:id="23"/>
    <w:p>
      <w:pPr>
        <w:jc w:val="both"/>
        <w:spacing w:after="0"/>
        <w:rPr>
          <w:sz w:val="20"/>
          <w:szCs w:val="20"/>
          <w:color w:val="auto"/>
        </w:rPr>
      </w:pPr>
      <w:r>
        <w:rPr>
          <w:rFonts w:ascii="Times New Roman" w:cs="Times New Roman" w:eastAsia="Times New Roman" w:hAnsi="Times New Roman"/>
          <w:sz w:val="17"/>
          <w:szCs w:val="17"/>
          <w:color w:val="auto"/>
        </w:rPr>
        <w:t xml:space="preserve">As a condition precedent to the Placement Agents’ obligation to close the Offering, all directors and senior officers of the Corporation shall execute and deliver written undertakings in favor of the Placement Agents agreeing not to, directly or indirectly, offer, sell, contract to sell, transfer, pledge, assign, lend, swap, grant or sell any option to purchase, purchase any option or contract to sell, hypothecate, or enter into any other agreement to transfer the economic consequences of, or otherwise dispose of or deal with, whether through the facilities of a stock exchange, by private placement or otherwise, make any demand for or exercise any right with respect to the registration of, any Common Shares or other securities of the Corporation held by them, or announce any intention to do any of the foregoing, until the date that is 60 days following the execution of the Agency Agreement (the “Lock-Up Restricted Period”), other than (a) with the prior written consent of Jefferies and TD Cowen, (b) in connection with the vesting, settlement, or exercise of restricted share units, options, warrants, or other rights to purchase Common Shares (including, in each case, by way of “net” or “cashless” exercise), including for the payment of exercise price and tax and remittance payments due as a result of the vesting, settlement, or exercise of such restricted share units, options, warrants, or rights, (c) transfers to or among a shareholder’s affiliates or to immediate family members for tax or other planning purposes, or (d) a tender or sale by a shareholder of securities of the Corporation in or pursuant to a take-over bid or similar transaction involving a change of control of the Corporation. In the case of a transfer pursuant to clause (c), prior to such transfer, the Placement Agents shall receive a signed lock-up letter agreement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the Agency Agreement) for the balance of the Lock-Up Restricted Period from each proposed transferee. In the case of a transfer pursuant to clauses (b) or (c), it shall be a condition to such transfer that no public filing, report or announcement shall be voluntarily made and if any filing is required to be made in connection with such change, it shall clearly indicate in the footnotes thereto the nature and conditions of such transfer. If the Corporation decides not to proceed with the Offering, such lock-up agreements and the obligations of the parties thereto shall terminate.</w:t>
      </w:r>
    </w:p>
    <w:p>
      <w:pPr>
        <w:spacing w:after="0" w:line="3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The Offering is being made in the United States pursuant to the MJDS implemented by the SEC and the securities regulatory authorities in Canada. No Securities will be offered or sold in any jurisdiction except by or through brokers or dealers duly registered under the applicable securities laws of that jurisdiction, or in circumstances where an exemption from such registered dealer requirements is available and, except under circumstances that will result in compliance with the applicable rules and regulations of that jurisdiction.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TRADING PRICE AND VOLUME</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Common Shares are listed for trading on Cboe Canada and the NYSE American under the symbol "CYBN". The following table sets forth the reported monthly range of high and low prices per Common Share and total monthly volumes traded on Cboe Canada and the NYSE American for each of the months indicated during the 12-month period prior to the date of this Prospectus Supplement.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Cboe Canada Price Range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280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 xml:space="preserve">High </w:t>
            </w:r>
            <w:r>
              <w:rPr>
                <w:rFonts w:ascii="Times New Roman" w:cs="Times New Roman" w:eastAsia="Times New Roman" w:hAnsi="Times New Roman"/>
                <w:sz w:val="14"/>
                <w:szCs w:val="14"/>
                <w:color w:val="auto"/>
              </w:rPr>
              <w:t>(C$)</w:t>
            </w:r>
            <w:r>
              <w:rPr>
                <w:rFonts w:ascii="Times New Roman" w:cs="Times New Roman" w:eastAsia="Times New Roman" w:hAnsi="Times New Roman"/>
                <w:sz w:val="23"/>
                <w:szCs w:val="23"/>
                <w:b w:val="1"/>
                <w:bCs w:val="1"/>
                <w:color w:val="auto"/>
                <w:vertAlign w:val="superscript"/>
              </w:rPr>
              <w:t>(1)</w:t>
            </w:r>
          </w:p>
        </w:tc>
        <w:tc>
          <w:tcPr>
            <w:tcW w:w="290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 xml:space="preserve">Low </w:t>
            </w:r>
            <w:r>
              <w:rPr>
                <w:rFonts w:ascii="Times New Roman" w:cs="Times New Roman" w:eastAsia="Times New Roman" w:hAnsi="Times New Roman"/>
                <w:sz w:val="14"/>
                <w:szCs w:val="14"/>
                <w:color w:val="auto"/>
              </w:rPr>
              <w:t>(C$)</w:t>
            </w:r>
            <w:r>
              <w:rPr>
                <w:rFonts w:ascii="Times New Roman" w:cs="Times New Roman" w:eastAsia="Times New Roman" w:hAnsi="Times New Roman"/>
                <w:sz w:val="23"/>
                <w:szCs w:val="23"/>
                <w:b w:val="1"/>
                <w:bCs w:val="1"/>
                <w:color w:val="auto"/>
                <w:vertAlign w:val="superscript"/>
              </w:rPr>
              <w:t>(1)</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Volume</w:t>
            </w:r>
            <w:r>
              <w:rPr>
                <w:rFonts w:ascii="Times New Roman" w:cs="Times New Roman" w:eastAsia="Times New Roman" w:hAnsi="Times New Roman"/>
                <w:sz w:val="23"/>
                <w:szCs w:val="23"/>
                <w:b w:val="1"/>
                <w:bCs w:val="1"/>
                <w:color w:val="auto"/>
                <w:w w:val="92"/>
                <w:vertAlign w:val="superscript"/>
              </w:rPr>
              <w:t>(1)</w:t>
            </w:r>
          </w:p>
        </w:tc>
      </w:tr>
      <w:tr>
        <w:trPr>
          <w:trHeight w:val="163"/>
        </w:trPr>
        <w:tc>
          <w:tcPr>
            <w:tcW w:w="13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October 2024</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15.95</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rPr>
              <w:t>11.25</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234,904</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November 2024</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19.46</w:t>
            </w:r>
          </w:p>
        </w:tc>
        <w:tc>
          <w:tcPr>
            <w:tcW w:w="220" w:type="dxa"/>
            <w:vAlign w:val="bottom"/>
          </w:tcPr>
          <w:p>
            <w:pPr>
              <w:spacing w:after="0"/>
              <w:rPr>
                <w:sz w:val="14"/>
                <w:szCs w:val="14"/>
                <w:color w:val="auto"/>
              </w:rPr>
            </w:pPr>
          </w:p>
        </w:tc>
        <w:tc>
          <w:tcPr>
            <w:tcW w:w="26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12.88</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658,562</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December 2024</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15.50</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rPr>
              <w:t>12.25</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272,739</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January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15.55</w:t>
            </w:r>
          </w:p>
        </w:tc>
        <w:tc>
          <w:tcPr>
            <w:tcW w:w="220" w:type="dxa"/>
            <w:vAlign w:val="bottom"/>
          </w:tcPr>
          <w:p>
            <w:pPr>
              <w:spacing w:after="0"/>
              <w:rPr>
                <w:sz w:val="14"/>
                <w:szCs w:val="14"/>
                <w:color w:val="auto"/>
              </w:rPr>
            </w:pPr>
          </w:p>
        </w:tc>
        <w:tc>
          <w:tcPr>
            <w:tcW w:w="26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12.45</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204,121</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February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15.27</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rPr>
              <w:t>11.15</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302,579</w:t>
            </w:r>
          </w:p>
        </w:tc>
      </w:tr>
      <w:tr>
        <w:trPr>
          <w:trHeight w:val="172"/>
        </w:trPr>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March</w:t>
            </w:r>
          </w:p>
        </w:tc>
        <w:tc>
          <w:tcPr>
            <w:tcW w:w="126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12.14</w:t>
            </w:r>
          </w:p>
        </w:tc>
        <w:tc>
          <w:tcPr>
            <w:tcW w:w="220" w:type="dxa"/>
            <w:vAlign w:val="bottom"/>
          </w:tcPr>
          <w:p>
            <w:pPr>
              <w:spacing w:after="0"/>
              <w:rPr>
                <w:sz w:val="14"/>
                <w:szCs w:val="14"/>
                <w:color w:val="auto"/>
              </w:rPr>
            </w:pPr>
          </w:p>
        </w:tc>
        <w:tc>
          <w:tcPr>
            <w:tcW w:w="26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8.91</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174,695</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April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11.12</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28"/>
              <w:spacing w:after="0"/>
              <w:rPr>
                <w:sz w:val="20"/>
                <w:szCs w:val="20"/>
                <w:color w:val="auto"/>
              </w:rPr>
            </w:pPr>
            <w:r>
              <w:rPr>
                <w:rFonts w:ascii="Times New Roman" w:cs="Times New Roman" w:eastAsia="Times New Roman" w:hAnsi="Times New Roman"/>
                <w:sz w:val="14"/>
                <w:szCs w:val="14"/>
                <w:color w:val="auto"/>
              </w:rPr>
              <w:t>6.95</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223,736</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May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11.74</w:t>
            </w:r>
          </w:p>
        </w:tc>
        <w:tc>
          <w:tcPr>
            <w:tcW w:w="220" w:type="dxa"/>
            <w:vAlign w:val="bottom"/>
          </w:tcPr>
          <w:p>
            <w:pPr>
              <w:spacing w:after="0"/>
              <w:rPr>
                <w:sz w:val="14"/>
                <w:szCs w:val="14"/>
                <w:color w:val="auto"/>
              </w:rPr>
            </w:pPr>
          </w:p>
        </w:tc>
        <w:tc>
          <w:tcPr>
            <w:tcW w:w="26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8.40</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217,266</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June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12.56</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28"/>
              <w:spacing w:after="0"/>
              <w:rPr>
                <w:sz w:val="20"/>
                <w:szCs w:val="20"/>
                <w:color w:val="auto"/>
              </w:rPr>
            </w:pPr>
            <w:r>
              <w:rPr>
                <w:rFonts w:ascii="Times New Roman" w:cs="Times New Roman" w:eastAsia="Times New Roman" w:hAnsi="Times New Roman"/>
                <w:sz w:val="14"/>
                <w:szCs w:val="14"/>
                <w:color w:val="auto"/>
              </w:rPr>
              <w:t>9.85</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189,178</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July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12.18</w:t>
            </w:r>
          </w:p>
        </w:tc>
        <w:tc>
          <w:tcPr>
            <w:tcW w:w="220" w:type="dxa"/>
            <w:vAlign w:val="bottom"/>
          </w:tcPr>
          <w:p>
            <w:pPr>
              <w:spacing w:after="0"/>
              <w:rPr>
                <w:sz w:val="14"/>
                <w:szCs w:val="14"/>
                <w:color w:val="auto"/>
              </w:rPr>
            </w:pPr>
          </w:p>
        </w:tc>
        <w:tc>
          <w:tcPr>
            <w:tcW w:w="26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9.98</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261,253</w:t>
            </w:r>
          </w:p>
        </w:tc>
      </w:tr>
      <w:tr>
        <w:trPr>
          <w:trHeight w:val="172"/>
        </w:trPr>
        <w:tc>
          <w:tcPr>
            <w:tcW w:w="2780" w:type="dxa"/>
            <w:vAlign w:val="bottom"/>
            <w:gridSpan w:val="3"/>
            <w:shd w:val="clear" w:color="auto" w:fill="E6EFFF"/>
          </w:tcPr>
          <w:p>
            <w:pPr>
              <w:jc w:val="center"/>
              <w:ind w:right="200"/>
              <w:spacing w:after="0"/>
              <w:rPr>
                <w:sz w:val="20"/>
                <w:szCs w:val="20"/>
                <w:color w:val="auto"/>
              </w:rPr>
            </w:pPr>
            <w:r>
              <w:rPr>
                <w:rFonts w:ascii="Times New Roman" w:cs="Times New Roman" w:eastAsia="Times New Roman" w:hAnsi="Times New Roman"/>
                <w:sz w:val="14"/>
                <w:szCs w:val="14"/>
                <w:color w:val="auto"/>
              </w:rPr>
              <w:t>August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10.90</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28"/>
              <w:spacing w:after="0"/>
              <w:rPr>
                <w:sz w:val="20"/>
                <w:szCs w:val="20"/>
                <w:color w:val="auto"/>
              </w:rPr>
            </w:pPr>
            <w:r>
              <w:rPr>
                <w:rFonts w:ascii="Times New Roman" w:cs="Times New Roman" w:eastAsia="Times New Roman" w:hAnsi="Times New Roman"/>
                <w:sz w:val="14"/>
                <w:szCs w:val="14"/>
                <w:color w:val="auto"/>
              </w:rPr>
              <w:t>8.80</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229,553</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September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10.33</w:t>
            </w:r>
          </w:p>
        </w:tc>
        <w:tc>
          <w:tcPr>
            <w:tcW w:w="220" w:type="dxa"/>
            <w:vAlign w:val="bottom"/>
          </w:tcPr>
          <w:p>
            <w:pPr>
              <w:spacing w:after="0"/>
              <w:rPr>
                <w:sz w:val="14"/>
                <w:szCs w:val="14"/>
                <w:color w:val="auto"/>
              </w:rPr>
            </w:pPr>
          </w:p>
        </w:tc>
        <w:tc>
          <w:tcPr>
            <w:tcW w:w="26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8.00</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451,016</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October (1 - 27)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9.24</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28"/>
              <w:spacing w:after="0"/>
              <w:rPr>
                <w:sz w:val="20"/>
                <w:szCs w:val="20"/>
                <w:color w:val="auto"/>
              </w:rPr>
            </w:pPr>
            <w:r>
              <w:rPr>
                <w:rFonts w:ascii="Times New Roman" w:cs="Times New Roman" w:eastAsia="Times New Roman" w:hAnsi="Times New Roman"/>
                <w:sz w:val="14"/>
                <w:szCs w:val="14"/>
                <w:color w:val="auto"/>
              </w:rPr>
              <w:t>8.05</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313,693</w:t>
            </w:r>
          </w:p>
        </w:tc>
      </w:tr>
    </w:tbl>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u w:val="single" w:color="auto"/>
          <w:color w:val="auto"/>
        </w:rPr>
        <w:t>Note</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left="180"/>
        <w:spacing w:after="0"/>
        <w:tabs>
          <w:tab w:leader="none" w:pos="540" w:val="left"/>
        </w:tabs>
        <w:rPr>
          <w:sz w:val="20"/>
          <w:szCs w:val="20"/>
          <w:color w:val="auto"/>
        </w:rPr>
      </w:pPr>
      <w:r>
        <w:rPr>
          <w:rFonts w:ascii="Times New Roman" w:cs="Times New Roman" w:eastAsia="Times New Roman" w:hAnsi="Times New Roman"/>
          <w:sz w:val="17"/>
          <w:szCs w:val="17"/>
          <w:color w:val="auto"/>
        </w:rPr>
        <w:t>(1)</w:t>
        <w:tab/>
        <w:t>Source: Cboe Canada as of the date of this Prospectus Supplement. All figures related to securities are represented on a post-Consolidation basis.</w:t>
      </w:r>
    </w:p>
    <w:p>
      <w:pPr>
        <w:spacing w:after="0" w:line="13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October 27, 2025, being the last day on which the Common Shares traded prior to the date of this Prospectus Supplement, the closing price of the Common Shares as reported on Cboe Canada was C$9.03.</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NYSE American Price Range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8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280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 xml:space="preserve">High </w:t>
            </w:r>
            <w:r>
              <w:rPr>
                <w:rFonts w:ascii="Times New Roman" w:cs="Times New Roman" w:eastAsia="Times New Roman" w:hAnsi="Times New Roman"/>
                <w:sz w:val="14"/>
                <w:szCs w:val="14"/>
                <w:color w:val="auto"/>
              </w:rPr>
              <w:t>(US$)</w:t>
            </w:r>
            <w:r>
              <w:rPr>
                <w:rFonts w:ascii="Times New Roman" w:cs="Times New Roman" w:eastAsia="Times New Roman" w:hAnsi="Times New Roman"/>
                <w:sz w:val="23"/>
                <w:szCs w:val="23"/>
                <w:b w:val="1"/>
                <w:bCs w:val="1"/>
                <w:color w:val="auto"/>
                <w:vertAlign w:val="superscript"/>
              </w:rPr>
              <w:t>(1)</w:t>
            </w:r>
          </w:p>
        </w:tc>
        <w:tc>
          <w:tcPr>
            <w:tcW w:w="290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 xml:space="preserve">Low </w:t>
            </w:r>
            <w:r>
              <w:rPr>
                <w:rFonts w:ascii="Times New Roman" w:cs="Times New Roman" w:eastAsia="Times New Roman" w:hAnsi="Times New Roman"/>
                <w:sz w:val="14"/>
                <w:szCs w:val="14"/>
                <w:color w:val="auto"/>
              </w:rPr>
              <w:t>(US$)</w:t>
            </w:r>
            <w:r>
              <w:rPr>
                <w:rFonts w:ascii="Times New Roman" w:cs="Times New Roman" w:eastAsia="Times New Roman" w:hAnsi="Times New Roman"/>
                <w:sz w:val="23"/>
                <w:szCs w:val="23"/>
                <w:b w:val="1"/>
                <w:bCs w:val="1"/>
                <w:color w:val="auto"/>
                <w:vertAlign w:val="superscript"/>
              </w:rPr>
              <w:t>(1)</w:t>
            </w:r>
          </w:p>
        </w:tc>
        <w:tc>
          <w:tcPr>
            <w:tcW w:w="280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Volume</w:t>
            </w:r>
            <w:r>
              <w:rPr>
                <w:rFonts w:ascii="Times New Roman" w:cs="Times New Roman" w:eastAsia="Times New Roman" w:hAnsi="Times New Roman"/>
                <w:sz w:val="23"/>
                <w:szCs w:val="23"/>
                <w:b w:val="1"/>
                <w:bCs w:val="1"/>
                <w:color w:val="auto"/>
                <w:vertAlign w:val="superscript"/>
              </w:rPr>
              <w:t>(1)</w:t>
            </w:r>
          </w:p>
        </w:tc>
      </w:tr>
      <w:tr>
        <w:trPr>
          <w:trHeight w:val="163"/>
        </w:trPr>
        <w:tc>
          <w:tcPr>
            <w:tcW w:w="13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tcBorders>
              <w:top w:val="single" w:sz="8" w:color="auto"/>
            </w:tcBorders>
          </w:tcPr>
          <w:p>
            <w:pPr>
              <w:spacing w:after="0"/>
              <w:rPr>
                <w:sz w:val="14"/>
                <w:szCs w:val="14"/>
                <w:color w:val="auto"/>
              </w:rPr>
            </w:pP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October 2024</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11.6597</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rPr>
              <w:t>8.2852</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w w:val="99"/>
              </w:rPr>
              <w:t>3,140,648</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November 2024</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13.88</w:t>
            </w:r>
          </w:p>
        </w:tc>
        <w:tc>
          <w:tcPr>
            <w:tcW w:w="220" w:type="dxa"/>
            <w:vAlign w:val="bottom"/>
          </w:tcPr>
          <w:p>
            <w:pPr>
              <w:spacing w:after="0"/>
              <w:rPr>
                <w:sz w:val="14"/>
                <w:szCs w:val="14"/>
                <w:color w:val="auto"/>
              </w:rPr>
            </w:pPr>
          </w:p>
        </w:tc>
        <w:tc>
          <w:tcPr>
            <w:tcW w:w="26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9.1612</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12,981,742</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December 2024</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11.08</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rPr>
              <w:t>8.386</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w w:val="99"/>
              </w:rPr>
              <w:t>4,976,111</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January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10.73</w:t>
            </w:r>
          </w:p>
        </w:tc>
        <w:tc>
          <w:tcPr>
            <w:tcW w:w="220" w:type="dxa"/>
            <w:vAlign w:val="bottom"/>
          </w:tcPr>
          <w:p>
            <w:pPr>
              <w:spacing w:after="0"/>
              <w:rPr>
                <w:sz w:val="14"/>
                <w:szCs w:val="14"/>
                <w:color w:val="auto"/>
              </w:rPr>
            </w:pPr>
          </w:p>
        </w:tc>
        <w:tc>
          <w:tcPr>
            <w:tcW w:w="26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8.625</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3,926,388</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February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10.7199</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rPr>
              <w:t>7.8001</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w w:val="99"/>
              </w:rPr>
              <w:t>8,083,405</w:t>
            </w:r>
          </w:p>
        </w:tc>
      </w:tr>
      <w:tr>
        <w:trPr>
          <w:trHeight w:val="172"/>
        </w:trPr>
        <w:tc>
          <w:tcPr>
            <w:tcW w:w="13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March</w:t>
            </w:r>
          </w:p>
        </w:tc>
        <w:tc>
          <w:tcPr>
            <w:tcW w:w="126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8.4747</w:t>
            </w:r>
          </w:p>
        </w:tc>
        <w:tc>
          <w:tcPr>
            <w:tcW w:w="220" w:type="dxa"/>
            <w:vAlign w:val="bottom"/>
          </w:tcPr>
          <w:p>
            <w:pPr>
              <w:spacing w:after="0"/>
              <w:rPr>
                <w:sz w:val="14"/>
                <w:szCs w:val="14"/>
                <w:color w:val="auto"/>
              </w:rPr>
            </w:pPr>
          </w:p>
        </w:tc>
        <w:tc>
          <w:tcPr>
            <w:tcW w:w="26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6.20</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3,701,307</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April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8.09</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28"/>
              <w:spacing w:after="0"/>
              <w:rPr>
                <w:sz w:val="20"/>
                <w:szCs w:val="20"/>
                <w:color w:val="auto"/>
              </w:rPr>
            </w:pPr>
            <w:r>
              <w:rPr>
                <w:rFonts w:ascii="Times New Roman" w:cs="Times New Roman" w:eastAsia="Times New Roman" w:hAnsi="Times New Roman"/>
                <w:sz w:val="14"/>
                <w:szCs w:val="14"/>
                <w:color w:val="auto"/>
              </w:rPr>
              <w:t>4.81</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w w:val="99"/>
              </w:rPr>
              <w:t>6,401,818</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May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8.50</w:t>
            </w:r>
          </w:p>
        </w:tc>
        <w:tc>
          <w:tcPr>
            <w:tcW w:w="220" w:type="dxa"/>
            <w:vAlign w:val="bottom"/>
          </w:tcPr>
          <w:p>
            <w:pPr>
              <w:spacing w:after="0"/>
              <w:rPr>
                <w:sz w:val="14"/>
                <w:szCs w:val="14"/>
                <w:color w:val="auto"/>
              </w:rPr>
            </w:pPr>
          </w:p>
        </w:tc>
        <w:tc>
          <w:tcPr>
            <w:tcW w:w="26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6.05</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6,742,091</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June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9.20</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w w:val="97"/>
              </w:rPr>
              <w:t>7.11</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w w:val="99"/>
              </w:rPr>
              <w:t>5,711,894</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July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9.83</w:t>
            </w:r>
          </w:p>
        </w:tc>
        <w:tc>
          <w:tcPr>
            <w:tcW w:w="220" w:type="dxa"/>
            <w:vAlign w:val="bottom"/>
          </w:tcPr>
          <w:p>
            <w:pPr>
              <w:spacing w:after="0"/>
              <w:rPr>
                <w:sz w:val="14"/>
                <w:szCs w:val="14"/>
                <w:color w:val="auto"/>
              </w:rPr>
            </w:pPr>
          </w:p>
        </w:tc>
        <w:tc>
          <w:tcPr>
            <w:tcW w:w="26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7.26</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11,021,801</w:t>
            </w:r>
          </w:p>
        </w:tc>
      </w:tr>
      <w:tr>
        <w:trPr>
          <w:trHeight w:val="172"/>
        </w:trPr>
        <w:tc>
          <w:tcPr>
            <w:tcW w:w="2780" w:type="dxa"/>
            <w:vAlign w:val="bottom"/>
            <w:gridSpan w:val="3"/>
            <w:shd w:val="clear" w:color="auto" w:fill="E6EFFF"/>
          </w:tcPr>
          <w:p>
            <w:pPr>
              <w:jc w:val="center"/>
              <w:ind w:right="200"/>
              <w:spacing w:after="0"/>
              <w:rPr>
                <w:sz w:val="20"/>
                <w:szCs w:val="20"/>
                <w:color w:val="auto"/>
              </w:rPr>
            </w:pPr>
            <w:r>
              <w:rPr>
                <w:rFonts w:ascii="Times New Roman" w:cs="Times New Roman" w:eastAsia="Times New Roman" w:hAnsi="Times New Roman"/>
                <w:sz w:val="14"/>
                <w:szCs w:val="14"/>
                <w:color w:val="auto"/>
              </w:rPr>
              <w:t>August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7.88</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48"/>
              <w:spacing w:after="0"/>
              <w:rPr>
                <w:sz w:val="20"/>
                <w:szCs w:val="20"/>
                <w:color w:val="auto"/>
              </w:rPr>
            </w:pPr>
            <w:r>
              <w:rPr>
                <w:rFonts w:ascii="Times New Roman" w:cs="Times New Roman" w:eastAsia="Times New Roman" w:hAnsi="Times New Roman"/>
                <w:sz w:val="14"/>
                <w:szCs w:val="14"/>
                <w:color w:val="auto"/>
              </w:rPr>
              <w:t>6.3637</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w w:val="99"/>
              </w:rPr>
              <w:t>7,812,206</w:t>
            </w:r>
          </w:p>
        </w:tc>
      </w:tr>
      <w:tr>
        <w:trPr>
          <w:trHeight w:val="172"/>
        </w:trPr>
        <w:tc>
          <w:tcPr>
            <w:tcW w:w="27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September 2025</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7.44</w:t>
            </w:r>
          </w:p>
        </w:tc>
        <w:tc>
          <w:tcPr>
            <w:tcW w:w="220" w:type="dxa"/>
            <w:vAlign w:val="bottom"/>
          </w:tcPr>
          <w:p>
            <w:pPr>
              <w:spacing w:after="0"/>
              <w:rPr>
                <w:sz w:val="14"/>
                <w:szCs w:val="14"/>
                <w:color w:val="auto"/>
              </w:rPr>
            </w:pPr>
          </w:p>
        </w:tc>
        <w:tc>
          <w:tcPr>
            <w:tcW w:w="26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5.72</w:t>
            </w:r>
          </w:p>
        </w:tc>
        <w:tc>
          <w:tcPr>
            <w:tcW w:w="22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15,583,822</w:t>
            </w:r>
          </w:p>
        </w:tc>
      </w:tr>
      <w:tr>
        <w:trPr>
          <w:trHeight w:val="172"/>
        </w:trPr>
        <w:tc>
          <w:tcPr>
            <w:tcW w:w="2780" w:type="dxa"/>
            <w:vAlign w:val="bottom"/>
            <w:gridSpan w:val="3"/>
            <w:shd w:val="clear" w:color="auto" w:fill="E6EFFF"/>
          </w:tcPr>
          <w:p>
            <w:pPr>
              <w:jc w:val="center"/>
              <w:ind w:right="180"/>
              <w:spacing w:after="0"/>
              <w:rPr>
                <w:sz w:val="20"/>
                <w:szCs w:val="20"/>
                <w:color w:val="auto"/>
              </w:rPr>
            </w:pPr>
            <w:r>
              <w:rPr>
                <w:rFonts w:ascii="Times New Roman" w:cs="Times New Roman" w:eastAsia="Times New Roman" w:hAnsi="Times New Roman"/>
                <w:sz w:val="14"/>
                <w:szCs w:val="14"/>
                <w:color w:val="auto"/>
              </w:rPr>
              <w:t>October (1 - 27) 2025</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7.7548</w:t>
            </w:r>
          </w:p>
        </w:tc>
        <w:tc>
          <w:tcPr>
            <w:tcW w:w="220" w:type="dxa"/>
            <w:vAlign w:val="bottom"/>
            <w:shd w:val="clear" w:color="auto" w:fill="E6EFFF"/>
          </w:tcPr>
          <w:p>
            <w:pPr>
              <w:spacing w:after="0"/>
              <w:rPr>
                <w:sz w:val="14"/>
                <w:szCs w:val="14"/>
                <w:color w:val="auto"/>
              </w:rPr>
            </w:pPr>
          </w:p>
        </w:tc>
        <w:tc>
          <w:tcPr>
            <w:tcW w:w="2680" w:type="dxa"/>
            <w:vAlign w:val="bottom"/>
            <w:shd w:val="clear" w:color="auto" w:fill="E6EFFF"/>
          </w:tcPr>
          <w:p>
            <w:pPr>
              <w:jc w:val="center"/>
              <w:ind w:left="28"/>
              <w:spacing w:after="0"/>
              <w:rPr>
                <w:sz w:val="20"/>
                <w:szCs w:val="20"/>
                <w:color w:val="auto"/>
              </w:rPr>
            </w:pPr>
            <w:r>
              <w:rPr>
                <w:rFonts w:ascii="Times New Roman" w:cs="Times New Roman" w:eastAsia="Times New Roman" w:hAnsi="Times New Roman"/>
                <w:sz w:val="14"/>
                <w:szCs w:val="14"/>
                <w:color w:val="auto"/>
              </w:rPr>
              <w:t>5.71</w:t>
            </w:r>
          </w:p>
        </w:tc>
        <w:tc>
          <w:tcPr>
            <w:tcW w:w="220" w:type="dxa"/>
            <w:vAlign w:val="bottom"/>
            <w:shd w:val="clear" w:color="auto" w:fill="E6EFFF"/>
          </w:tcPr>
          <w:p>
            <w:pPr>
              <w:spacing w:after="0"/>
              <w:rPr>
                <w:sz w:val="14"/>
                <w:szCs w:val="14"/>
                <w:color w:val="auto"/>
              </w:rPr>
            </w:pP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12,881,620</w:t>
            </w:r>
          </w:p>
        </w:tc>
      </w:tr>
    </w:tbl>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u w:val="single" w:color="auto"/>
          <w:color w:val="auto"/>
        </w:rPr>
        <w:t>Note</w:t>
      </w:r>
      <w:r>
        <w:rPr>
          <w:rFonts w:ascii="Times New Roman" w:cs="Times New Roman" w:eastAsia="Times New Roman" w:hAnsi="Times New Roman"/>
          <w:sz w:val="17"/>
          <w:szCs w:val="17"/>
          <w:color w:val="auto"/>
        </w:rPr>
        <w:t>:</w:t>
      </w:r>
    </w:p>
    <w:p>
      <w:pPr>
        <w:spacing w:after="0" w:line="20" w:lineRule="exact"/>
        <w:rPr>
          <w:sz w:val="20"/>
          <w:szCs w:val="20"/>
          <w:color w:val="auto"/>
        </w:rPr>
      </w:pPr>
    </w:p>
    <w:p>
      <w:pPr>
        <w:ind w:left="180"/>
        <w:spacing w:after="0"/>
        <w:tabs>
          <w:tab w:leader="none" w:pos="540" w:val="left"/>
        </w:tabs>
        <w:rPr>
          <w:sz w:val="20"/>
          <w:szCs w:val="20"/>
          <w:color w:val="auto"/>
        </w:rPr>
      </w:pPr>
      <w:r>
        <w:rPr>
          <w:rFonts w:ascii="Times New Roman" w:cs="Times New Roman" w:eastAsia="Times New Roman" w:hAnsi="Times New Roman"/>
          <w:sz w:val="17"/>
          <w:szCs w:val="17"/>
          <w:color w:val="auto"/>
        </w:rPr>
        <w:t>(1)</w:t>
        <w:tab/>
        <w:t>Source: NYSE American as of the date of this Prospectus Supplement. All figures related to securities are represented on a post-Consolidation basis.</w:t>
      </w:r>
    </w:p>
    <w:p>
      <w:pPr>
        <w:spacing w:after="0" w:line="1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October 27, 2025, being the last day on which the Common Shares traded prior to the date of this Prospectus Supplement, the closing price of the Common Shares as reported on the NYSE American was US$6.51.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PRIOR SALES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details regarding all issuances of Common Shares, including issuances of all securities convertible or exchangeable into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Shares, during the 12-month period before the date of this Prospectus Supplement: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 Principal</w:t>
            </w: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174"/>
        </w:trPr>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 Exercise / Conversion</w:t>
            </w:r>
          </w:p>
        </w:tc>
      </w:tr>
      <w:tr>
        <w:trPr>
          <w:trHeight w:val="220"/>
        </w:trPr>
        <w:tc>
          <w:tcPr>
            <w:tcW w:w="278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800" w:type="dxa"/>
            <w:vAlign w:val="bottom"/>
            <w:gridSpan w:val="2"/>
          </w:tcPr>
          <w:p>
            <w:pPr>
              <w:jc w:val="center"/>
              <w:ind w:right="240"/>
              <w:spacing w:after="0" w:line="220" w:lineRule="exact"/>
              <w:rPr>
                <w:sz w:val="20"/>
                <w:szCs w:val="20"/>
                <w:color w:val="auto"/>
              </w:rPr>
            </w:pPr>
            <w:r>
              <w:rPr>
                <w:rFonts w:ascii="Times New Roman" w:cs="Times New Roman" w:eastAsia="Times New Roman" w:hAnsi="Times New Roman"/>
                <w:sz w:val="14"/>
                <w:szCs w:val="14"/>
                <w:b w:val="1"/>
                <w:bCs w:val="1"/>
                <w:color w:val="auto"/>
                <w:w w:val="98"/>
              </w:rPr>
              <w:t>Securities Issued</w:t>
            </w:r>
            <w:r>
              <w:rPr>
                <w:rFonts w:ascii="Times New Roman" w:cs="Times New Roman" w:eastAsia="Times New Roman" w:hAnsi="Times New Roman"/>
                <w:sz w:val="23"/>
                <w:szCs w:val="23"/>
                <w:b w:val="1"/>
                <w:bCs w:val="1"/>
                <w:color w:val="auto"/>
                <w:w w:val="98"/>
                <w:vertAlign w:val="superscript"/>
              </w:rPr>
              <w:t>(1)</w:t>
            </w:r>
          </w:p>
        </w:tc>
        <w:tc>
          <w:tcPr>
            <w:tcW w:w="2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2800" w:type="dxa"/>
            <w:vAlign w:val="bottom"/>
          </w:tcPr>
          <w:p>
            <w:pPr>
              <w:jc w:val="center"/>
              <w:spacing w:after="0" w:line="220" w:lineRule="exact"/>
              <w:rPr>
                <w:sz w:val="20"/>
                <w:szCs w:val="20"/>
                <w:color w:val="auto"/>
              </w:rPr>
            </w:pPr>
            <w:r>
              <w:rPr>
                <w:rFonts w:ascii="Times New Roman" w:cs="Times New Roman" w:eastAsia="Times New Roman" w:hAnsi="Times New Roman"/>
                <w:sz w:val="14"/>
                <w:szCs w:val="14"/>
                <w:b w:val="1"/>
                <w:bCs w:val="1"/>
                <w:color w:val="auto"/>
                <w:w w:val="97"/>
              </w:rPr>
              <w:t>Price Per Security (C$)</w:t>
            </w:r>
            <w:r>
              <w:rPr>
                <w:rFonts w:ascii="Times New Roman" w:cs="Times New Roman" w:eastAsia="Times New Roman" w:hAnsi="Times New Roman"/>
                <w:sz w:val="23"/>
                <w:szCs w:val="23"/>
                <w:b w:val="1"/>
                <w:bCs w:val="1"/>
                <w:color w:val="auto"/>
                <w:w w:val="97"/>
                <w:vertAlign w:val="superscript"/>
              </w:rPr>
              <w:t>(1)(2)</w:t>
            </w:r>
          </w:p>
        </w:tc>
      </w:tr>
      <w:tr>
        <w:trPr>
          <w:trHeight w:val="163"/>
        </w:trPr>
        <w:tc>
          <w:tcPr>
            <w:tcW w:w="2600" w:type="dxa"/>
            <w:vAlign w:val="bottom"/>
            <w:tcBorders>
              <w:top w:val="single" w:sz="8" w:color="auto"/>
            </w:tcBorders>
            <w:shd w:val="clear" w:color="auto" w:fill="E6EFFF"/>
          </w:tcPr>
          <w:p>
            <w:pPr>
              <w:ind w:left="720"/>
              <w:spacing w:after="0"/>
              <w:rPr>
                <w:sz w:val="20"/>
                <w:szCs w:val="20"/>
                <w:color w:val="auto"/>
              </w:rPr>
            </w:pPr>
            <w:r>
              <w:rPr>
                <w:rFonts w:ascii="Times New Roman" w:cs="Times New Roman" w:eastAsia="Times New Roman" w:hAnsi="Times New Roman"/>
                <w:sz w:val="14"/>
                <w:szCs w:val="14"/>
                <w:color w:val="auto"/>
              </w:rPr>
              <w:t>November 27, 2024</w:t>
            </w:r>
          </w:p>
        </w:tc>
        <w:tc>
          <w:tcPr>
            <w:tcW w:w="180" w:type="dxa"/>
            <w:vAlign w:val="bottom"/>
            <w:tcBorders>
              <w:top w:val="single" w:sz="8" w:color="E6EFFF"/>
            </w:tcBorders>
            <w:shd w:val="clear" w:color="auto" w:fill="E6EFFF"/>
          </w:tcPr>
          <w:p>
            <w:pPr>
              <w:spacing w:after="0"/>
              <w:rPr>
                <w:sz w:val="14"/>
                <w:szCs w:val="14"/>
                <w:color w:val="auto"/>
              </w:rPr>
            </w:pPr>
          </w:p>
        </w:tc>
        <w:tc>
          <w:tcPr>
            <w:tcW w:w="258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80,100</w:t>
            </w:r>
          </w:p>
        </w:tc>
        <w:tc>
          <w:tcPr>
            <w:tcW w:w="220" w:type="dxa"/>
            <w:vAlign w:val="bottom"/>
            <w:tcBorders>
              <w:top w:val="single" w:sz="8" w:color="E6EFFF"/>
            </w:tcBorders>
            <w:shd w:val="clear" w:color="auto" w:fill="E6EFFF"/>
          </w:tcPr>
          <w:p>
            <w:pPr>
              <w:spacing w:after="0"/>
              <w:rPr>
                <w:sz w:val="14"/>
                <w:szCs w:val="14"/>
                <w:color w:val="auto"/>
              </w:rPr>
            </w:pPr>
          </w:p>
        </w:tc>
        <w:tc>
          <w:tcPr>
            <w:tcW w:w="2680" w:type="dxa"/>
            <w:vAlign w:val="bottom"/>
            <w:tcBorders>
              <w:top w:val="single" w:sz="8" w:color="auto"/>
            </w:tcBorders>
            <w:shd w:val="clear" w:color="auto" w:fill="E6EFFF"/>
          </w:tcPr>
          <w:p>
            <w:pPr>
              <w:jc w:val="center"/>
              <w:ind w:left="28"/>
              <w:spacing w:after="0"/>
              <w:rPr>
                <w:sz w:val="20"/>
                <w:szCs w:val="20"/>
                <w:color w:val="auto"/>
              </w:rPr>
            </w:pPr>
            <w:r>
              <w:rPr>
                <w:rFonts w:ascii="Times New Roman" w:cs="Times New Roman" w:eastAsia="Times New Roman" w:hAnsi="Times New Roman"/>
                <w:sz w:val="14"/>
                <w:szCs w:val="14"/>
                <w:color w:val="auto"/>
              </w:rPr>
              <w:t>Options</w:t>
            </w:r>
          </w:p>
        </w:tc>
        <w:tc>
          <w:tcPr>
            <w:tcW w:w="220" w:type="dxa"/>
            <w:vAlign w:val="bottom"/>
            <w:tcBorders>
              <w:top w:val="single" w:sz="8" w:color="E6EFFF"/>
            </w:tcBorders>
            <w:shd w:val="clear" w:color="auto" w:fill="E6EFFF"/>
          </w:tcPr>
          <w:p>
            <w:pPr>
              <w:spacing w:after="0"/>
              <w:rPr>
                <w:sz w:val="14"/>
                <w:szCs w:val="14"/>
                <w:color w:val="auto"/>
              </w:rPr>
            </w:pPr>
          </w:p>
        </w:tc>
        <w:tc>
          <w:tcPr>
            <w:tcW w:w="2800" w:type="dxa"/>
            <w:vAlign w:val="bottom"/>
            <w:tcBorders>
              <w:top w:val="single" w:sz="8" w:color="auto"/>
            </w:tcBorders>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C$14.37</w:t>
            </w:r>
          </w:p>
        </w:tc>
      </w:tr>
      <w:tr>
        <w:trPr>
          <w:trHeight w:val="205"/>
        </w:trPr>
        <w:tc>
          <w:tcPr>
            <w:tcW w:w="2780" w:type="dxa"/>
            <w:vAlign w:val="bottom"/>
            <w:gridSpan w:val="2"/>
          </w:tcPr>
          <w:p>
            <w:pPr>
              <w:ind w:left="740"/>
              <w:spacing w:after="0" w:line="204" w:lineRule="exact"/>
              <w:rPr>
                <w:sz w:val="20"/>
                <w:szCs w:val="20"/>
                <w:color w:val="auto"/>
              </w:rPr>
            </w:pPr>
            <w:r>
              <w:rPr>
                <w:rFonts w:ascii="Times New Roman" w:cs="Times New Roman" w:eastAsia="Times New Roman" w:hAnsi="Times New Roman"/>
                <w:sz w:val="14"/>
                <w:szCs w:val="14"/>
                <w:color w:val="auto"/>
              </w:rPr>
              <w:t>January 21, 2025</w:t>
            </w:r>
            <w:r>
              <w:rPr>
                <w:rFonts w:ascii="Times New Roman" w:cs="Times New Roman" w:eastAsia="Times New Roman" w:hAnsi="Times New Roman"/>
                <w:sz w:val="23"/>
                <w:szCs w:val="23"/>
                <w:color w:val="auto"/>
                <w:vertAlign w:val="superscript"/>
              </w:rPr>
              <w:t>(3)</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17,100</w:t>
            </w:r>
          </w:p>
        </w:tc>
        <w:tc>
          <w:tcPr>
            <w:tcW w:w="220" w:type="dxa"/>
            <w:vAlign w:val="bottom"/>
          </w:tcPr>
          <w:p>
            <w:pPr>
              <w:spacing w:after="0"/>
              <w:rPr>
                <w:sz w:val="17"/>
                <w:szCs w:val="17"/>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C$12.71</w:t>
            </w:r>
          </w:p>
        </w:tc>
      </w:tr>
      <w:tr>
        <w:trPr>
          <w:trHeight w:val="205"/>
        </w:trPr>
        <w:tc>
          <w:tcPr>
            <w:tcW w:w="2780" w:type="dxa"/>
            <w:vAlign w:val="bottom"/>
            <w:gridSpan w:val="2"/>
            <w:shd w:val="clear" w:color="auto" w:fill="E6EFFF"/>
          </w:tcPr>
          <w:p>
            <w:pPr>
              <w:ind w:left="740"/>
              <w:spacing w:after="0" w:line="204" w:lineRule="exact"/>
              <w:rPr>
                <w:sz w:val="20"/>
                <w:szCs w:val="20"/>
                <w:color w:val="auto"/>
              </w:rPr>
            </w:pPr>
            <w:r>
              <w:rPr>
                <w:rFonts w:ascii="Times New Roman" w:cs="Times New Roman" w:eastAsia="Times New Roman" w:hAnsi="Times New Roman"/>
                <w:sz w:val="14"/>
                <w:szCs w:val="14"/>
                <w:color w:val="auto"/>
              </w:rPr>
              <w:t>January 22, 2025</w:t>
            </w:r>
            <w:r>
              <w:rPr>
                <w:rFonts w:ascii="Times New Roman" w:cs="Times New Roman" w:eastAsia="Times New Roman" w:hAnsi="Times New Roman"/>
                <w:sz w:val="23"/>
                <w:szCs w:val="23"/>
                <w:color w:val="auto"/>
                <w:vertAlign w:val="superscript"/>
              </w:rPr>
              <w:t>(3)</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50,000</w:t>
            </w:r>
          </w:p>
        </w:tc>
        <w:tc>
          <w:tcPr>
            <w:tcW w:w="220" w:type="dxa"/>
            <w:vAlign w:val="bottom"/>
            <w:shd w:val="clear" w:color="auto" w:fill="E6EFFF"/>
          </w:tcPr>
          <w:p>
            <w:pPr>
              <w:spacing w:after="0"/>
              <w:rPr>
                <w:sz w:val="17"/>
                <w:szCs w:val="17"/>
                <w:color w:val="auto"/>
              </w:rPr>
            </w:pPr>
          </w:p>
        </w:tc>
        <w:tc>
          <w:tcPr>
            <w:tcW w:w="290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C$13.08</w:t>
            </w:r>
          </w:p>
        </w:tc>
      </w:tr>
      <w:tr>
        <w:trPr>
          <w:trHeight w:val="205"/>
        </w:trPr>
        <w:tc>
          <w:tcPr>
            <w:tcW w:w="2780" w:type="dxa"/>
            <w:vAlign w:val="bottom"/>
            <w:gridSpan w:val="2"/>
          </w:tcPr>
          <w:p>
            <w:pPr>
              <w:ind w:left="740"/>
              <w:spacing w:after="0" w:line="204" w:lineRule="exact"/>
              <w:rPr>
                <w:sz w:val="20"/>
                <w:szCs w:val="20"/>
                <w:color w:val="auto"/>
              </w:rPr>
            </w:pPr>
            <w:r>
              <w:rPr>
                <w:rFonts w:ascii="Times New Roman" w:cs="Times New Roman" w:eastAsia="Times New Roman" w:hAnsi="Times New Roman"/>
                <w:sz w:val="14"/>
                <w:szCs w:val="14"/>
                <w:color w:val="auto"/>
              </w:rPr>
              <w:t>January 23, 2025</w:t>
            </w:r>
            <w:r>
              <w:rPr>
                <w:rFonts w:ascii="Times New Roman" w:cs="Times New Roman" w:eastAsia="Times New Roman" w:hAnsi="Times New Roman"/>
                <w:sz w:val="23"/>
                <w:szCs w:val="23"/>
                <w:color w:val="auto"/>
                <w:vertAlign w:val="superscript"/>
              </w:rPr>
              <w:t>(3)</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tcPr>
          <w:p>
            <w:pPr>
              <w:spacing w:after="0"/>
              <w:rPr>
                <w:sz w:val="17"/>
                <w:szCs w:val="17"/>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C$13.33</w:t>
            </w:r>
          </w:p>
        </w:tc>
      </w:tr>
      <w:tr>
        <w:trPr>
          <w:trHeight w:val="205"/>
        </w:trPr>
        <w:tc>
          <w:tcPr>
            <w:tcW w:w="2780" w:type="dxa"/>
            <w:vAlign w:val="bottom"/>
            <w:gridSpan w:val="2"/>
            <w:shd w:val="clear" w:color="auto" w:fill="E6EFFF"/>
          </w:tcPr>
          <w:p>
            <w:pPr>
              <w:ind w:left="740"/>
              <w:spacing w:after="0" w:line="204" w:lineRule="exact"/>
              <w:rPr>
                <w:sz w:val="20"/>
                <w:szCs w:val="20"/>
                <w:color w:val="auto"/>
              </w:rPr>
            </w:pPr>
            <w:r>
              <w:rPr>
                <w:rFonts w:ascii="Times New Roman" w:cs="Times New Roman" w:eastAsia="Times New Roman" w:hAnsi="Times New Roman"/>
                <w:sz w:val="14"/>
                <w:szCs w:val="14"/>
                <w:color w:val="auto"/>
              </w:rPr>
              <w:t>January 24, 2025</w:t>
            </w:r>
            <w:r>
              <w:rPr>
                <w:rFonts w:ascii="Times New Roman" w:cs="Times New Roman" w:eastAsia="Times New Roman" w:hAnsi="Times New Roman"/>
                <w:sz w:val="23"/>
                <w:szCs w:val="23"/>
                <w:color w:val="auto"/>
                <w:vertAlign w:val="superscript"/>
              </w:rPr>
              <w:t>(3)</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34,000</w:t>
            </w:r>
          </w:p>
        </w:tc>
        <w:tc>
          <w:tcPr>
            <w:tcW w:w="220" w:type="dxa"/>
            <w:vAlign w:val="bottom"/>
            <w:shd w:val="clear" w:color="auto" w:fill="E6EFFF"/>
          </w:tcPr>
          <w:p>
            <w:pPr>
              <w:spacing w:after="0"/>
              <w:rPr>
                <w:sz w:val="17"/>
                <w:szCs w:val="17"/>
                <w:color w:val="auto"/>
              </w:rPr>
            </w:pPr>
          </w:p>
        </w:tc>
        <w:tc>
          <w:tcPr>
            <w:tcW w:w="290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C$14.11</w:t>
            </w:r>
          </w:p>
        </w:tc>
      </w:tr>
      <w:tr>
        <w:trPr>
          <w:trHeight w:val="205"/>
        </w:trPr>
        <w:tc>
          <w:tcPr>
            <w:tcW w:w="2780" w:type="dxa"/>
            <w:vAlign w:val="bottom"/>
            <w:gridSpan w:val="2"/>
          </w:tcPr>
          <w:p>
            <w:pPr>
              <w:ind w:left="740"/>
              <w:spacing w:after="0" w:line="204" w:lineRule="exact"/>
              <w:rPr>
                <w:sz w:val="20"/>
                <w:szCs w:val="20"/>
                <w:color w:val="auto"/>
              </w:rPr>
            </w:pPr>
            <w:r>
              <w:rPr>
                <w:rFonts w:ascii="Times New Roman" w:cs="Times New Roman" w:eastAsia="Times New Roman" w:hAnsi="Times New Roman"/>
                <w:sz w:val="14"/>
                <w:szCs w:val="14"/>
                <w:color w:val="auto"/>
              </w:rPr>
              <w:t>January 27, 2025</w:t>
            </w:r>
            <w:r>
              <w:rPr>
                <w:rFonts w:ascii="Times New Roman" w:cs="Times New Roman" w:eastAsia="Times New Roman" w:hAnsi="Times New Roman"/>
                <w:sz w:val="23"/>
                <w:szCs w:val="23"/>
                <w:color w:val="auto"/>
                <w:vertAlign w:val="superscript"/>
              </w:rPr>
              <w:t>(3)</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15,082</w:t>
            </w:r>
          </w:p>
        </w:tc>
        <w:tc>
          <w:tcPr>
            <w:tcW w:w="220" w:type="dxa"/>
            <w:vAlign w:val="bottom"/>
          </w:tcPr>
          <w:p>
            <w:pPr>
              <w:spacing w:after="0"/>
              <w:rPr>
                <w:sz w:val="17"/>
                <w:szCs w:val="17"/>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C$14.16</w:t>
            </w:r>
          </w:p>
        </w:tc>
      </w:tr>
      <w:tr>
        <w:trPr>
          <w:trHeight w:val="205"/>
        </w:trPr>
        <w:tc>
          <w:tcPr>
            <w:tcW w:w="2780" w:type="dxa"/>
            <w:vAlign w:val="bottom"/>
            <w:gridSpan w:val="2"/>
            <w:shd w:val="clear" w:color="auto" w:fill="E6EFFF"/>
          </w:tcPr>
          <w:p>
            <w:pPr>
              <w:ind w:left="740"/>
              <w:spacing w:after="0" w:line="204" w:lineRule="exact"/>
              <w:rPr>
                <w:sz w:val="20"/>
                <w:szCs w:val="20"/>
                <w:color w:val="auto"/>
              </w:rPr>
            </w:pPr>
            <w:r>
              <w:rPr>
                <w:rFonts w:ascii="Times New Roman" w:cs="Times New Roman" w:eastAsia="Times New Roman" w:hAnsi="Times New Roman"/>
                <w:sz w:val="14"/>
                <w:szCs w:val="14"/>
                <w:color w:val="auto"/>
              </w:rPr>
              <w:t>January 29, 2025</w:t>
            </w:r>
            <w:r>
              <w:rPr>
                <w:rFonts w:ascii="Times New Roman" w:cs="Times New Roman" w:eastAsia="Times New Roman" w:hAnsi="Times New Roman"/>
                <w:sz w:val="23"/>
                <w:szCs w:val="23"/>
                <w:color w:val="auto"/>
                <w:vertAlign w:val="superscript"/>
              </w:rPr>
              <w:t>(3)</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31,738</w:t>
            </w:r>
          </w:p>
        </w:tc>
        <w:tc>
          <w:tcPr>
            <w:tcW w:w="220" w:type="dxa"/>
            <w:vAlign w:val="bottom"/>
            <w:shd w:val="clear" w:color="auto" w:fill="E6EFFF"/>
          </w:tcPr>
          <w:p>
            <w:pPr>
              <w:spacing w:after="0"/>
              <w:rPr>
                <w:sz w:val="17"/>
                <w:szCs w:val="17"/>
                <w:color w:val="auto"/>
              </w:rPr>
            </w:pPr>
          </w:p>
        </w:tc>
        <w:tc>
          <w:tcPr>
            <w:tcW w:w="290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C$13.48</w:t>
            </w:r>
          </w:p>
        </w:tc>
      </w:tr>
      <w:tr>
        <w:trPr>
          <w:trHeight w:val="205"/>
        </w:trPr>
        <w:tc>
          <w:tcPr>
            <w:tcW w:w="2780" w:type="dxa"/>
            <w:vAlign w:val="bottom"/>
            <w:gridSpan w:val="2"/>
          </w:tcPr>
          <w:p>
            <w:pPr>
              <w:ind w:left="740"/>
              <w:spacing w:after="0" w:line="204" w:lineRule="exact"/>
              <w:rPr>
                <w:sz w:val="20"/>
                <w:szCs w:val="20"/>
                <w:color w:val="auto"/>
              </w:rPr>
            </w:pPr>
            <w:r>
              <w:rPr>
                <w:rFonts w:ascii="Times New Roman" w:cs="Times New Roman" w:eastAsia="Times New Roman" w:hAnsi="Times New Roman"/>
                <w:sz w:val="14"/>
                <w:szCs w:val="14"/>
                <w:color w:val="auto"/>
              </w:rPr>
              <w:t>January 30, 2025</w:t>
            </w:r>
            <w:r>
              <w:rPr>
                <w:rFonts w:ascii="Times New Roman" w:cs="Times New Roman" w:eastAsia="Times New Roman" w:hAnsi="Times New Roman"/>
                <w:sz w:val="23"/>
                <w:szCs w:val="23"/>
                <w:color w:val="auto"/>
                <w:vertAlign w:val="superscript"/>
              </w:rPr>
              <w:t>(3)</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32,000</w:t>
            </w:r>
          </w:p>
        </w:tc>
        <w:tc>
          <w:tcPr>
            <w:tcW w:w="220" w:type="dxa"/>
            <w:vAlign w:val="bottom"/>
          </w:tcPr>
          <w:p>
            <w:pPr>
              <w:spacing w:after="0"/>
              <w:rPr>
                <w:sz w:val="17"/>
                <w:szCs w:val="17"/>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C$13.69</w:t>
            </w:r>
          </w:p>
        </w:tc>
      </w:tr>
      <w:tr>
        <w:trPr>
          <w:trHeight w:val="205"/>
        </w:trPr>
        <w:tc>
          <w:tcPr>
            <w:tcW w:w="2780" w:type="dxa"/>
            <w:vAlign w:val="bottom"/>
            <w:gridSpan w:val="2"/>
            <w:shd w:val="clear" w:color="auto" w:fill="E6EFFF"/>
          </w:tcPr>
          <w:p>
            <w:pPr>
              <w:ind w:left="740"/>
              <w:spacing w:after="0" w:line="204" w:lineRule="exact"/>
              <w:rPr>
                <w:sz w:val="20"/>
                <w:szCs w:val="20"/>
                <w:color w:val="auto"/>
              </w:rPr>
            </w:pPr>
            <w:r>
              <w:rPr>
                <w:rFonts w:ascii="Times New Roman" w:cs="Times New Roman" w:eastAsia="Times New Roman" w:hAnsi="Times New Roman"/>
                <w:sz w:val="14"/>
                <w:szCs w:val="14"/>
                <w:color w:val="auto"/>
              </w:rPr>
              <w:t>January 31, 2025</w:t>
            </w:r>
            <w:r>
              <w:rPr>
                <w:rFonts w:ascii="Times New Roman" w:cs="Times New Roman" w:eastAsia="Times New Roman" w:hAnsi="Times New Roman"/>
                <w:sz w:val="23"/>
                <w:szCs w:val="23"/>
                <w:color w:val="auto"/>
                <w:vertAlign w:val="superscript"/>
              </w:rPr>
              <w:t>(3)</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49,496</w:t>
            </w:r>
          </w:p>
        </w:tc>
        <w:tc>
          <w:tcPr>
            <w:tcW w:w="220" w:type="dxa"/>
            <w:vAlign w:val="bottom"/>
            <w:shd w:val="clear" w:color="auto" w:fill="E6EFFF"/>
          </w:tcPr>
          <w:p>
            <w:pPr>
              <w:spacing w:after="0"/>
              <w:rPr>
                <w:sz w:val="17"/>
                <w:szCs w:val="17"/>
                <w:color w:val="auto"/>
              </w:rPr>
            </w:pPr>
          </w:p>
        </w:tc>
        <w:tc>
          <w:tcPr>
            <w:tcW w:w="290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C$13.80</w:t>
            </w:r>
          </w:p>
        </w:tc>
      </w:tr>
      <w:tr>
        <w:trPr>
          <w:trHeight w:val="205"/>
        </w:trPr>
        <w:tc>
          <w:tcPr>
            <w:tcW w:w="2780" w:type="dxa"/>
            <w:vAlign w:val="bottom"/>
            <w:gridSpan w:val="2"/>
          </w:tcPr>
          <w:p>
            <w:pPr>
              <w:ind w:left="740"/>
              <w:spacing w:after="0" w:line="204" w:lineRule="exact"/>
              <w:rPr>
                <w:sz w:val="20"/>
                <w:szCs w:val="20"/>
                <w:color w:val="auto"/>
              </w:rPr>
            </w:pPr>
            <w:r>
              <w:rPr>
                <w:rFonts w:ascii="Times New Roman" w:cs="Times New Roman" w:eastAsia="Times New Roman" w:hAnsi="Times New Roman"/>
                <w:sz w:val="14"/>
                <w:szCs w:val="14"/>
                <w:color w:val="auto"/>
              </w:rPr>
              <w:t>February 3, 2025</w:t>
            </w:r>
            <w:r>
              <w:rPr>
                <w:rFonts w:ascii="Times New Roman" w:cs="Times New Roman" w:eastAsia="Times New Roman" w:hAnsi="Times New Roman"/>
                <w:sz w:val="23"/>
                <w:szCs w:val="23"/>
                <w:color w:val="auto"/>
                <w:vertAlign w:val="superscript"/>
              </w:rPr>
              <w:t>(3)</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25,000</w:t>
            </w:r>
          </w:p>
        </w:tc>
        <w:tc>
          <w:tcPr>
            <w:tcW w:w="220" w:type="dxa"/>
            <w:vAlign w:val="bottom"/>
          </w:tcPr>
          <w:p>
            <w:pPr>
              <w:spacing w:after="0"/>
              <w:rPr>
                <w:sz w:val="17"/>
                <w:szCs w:val="17"/>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C$13.79</w:t>
            </w:r>
          </w:p>
        </w:tc>
      </w:tr>
      <w:tr>
        <w:trPr>
          <w:trHeight w:val="205"/>
        </w:trPr>
        <w:tc>
          <w:tcPr>
            <w:tcW w:w="2780" w:type="dxa"/>
            <w:vAlign w:val="bottom"/>
            <w:gridSpan w:val="2"/>
            <w:shd w:val="clear" w:color="auto" w:fill="E6EFFF"/>
          </w:tcPr>
          <w:p>
            <w:pPr>
              <w:ind w:left="740"/>
              <w:spacing w:after="0" w:line="204" w:lineRule="exact"/>
              <w:rPr>
                <w:sz w:val="20"/>
                <w:szCs w:val="20"/>
                <w:color w:val="auto"/>
              </w:rPr>
            </w:pPr>
            <w:r>
              <w:rPr>
                <w:rFonts w:ascii="Times New Roman" w:cs="Times New Roman" w:eastAsia="Times New Roman" w:hAnsi="Times New Roman"/>
                <w:sz w:val="14"/>
                <w:szCs w:val="14"/>
                <w:color w:val="auto"/>
              </w:rPr>
              <w:t>February 4, 2025</w:t>
            </w:r>
            <w:r>
              <w:rPr>
                <w:rFonts w:ascii="Times New Roman" w:cs="Times New Roman" w:eastAsia="Times New Roman" w:hAnsi="Times New Roman"/>
                <w:sz w:val="23"/>
                <w:szCs w:val="23"/>
                <w:color w:val="auto"/>
                <w:vertAlign w:val="superscript"/>
              </w:rPr>
              <w:t>(3)</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25,500</w:t>
            </w:r>
          </w:p>
        </w:tc>
        <w:tc>
          <w:tcPr>
            <w:tcW w:w="220" w:type="dxa"/>
            <w:vAlign w:val="bottom"/>
            <w:shd w:val="clear" w:color="auto" w:fill="E6EFFF"/>
          </w:tcPr>
          <w:p>
            <w:pPr>
              <w:spacing w:after="0"/>
              <w:rPr>
                <w:sz w:val="17"/>
                <w:szCs w:val="17"/>
                <w:color w:val="auto"/>
              </w:rPr>
            </w:pPr>
          </w:p>
        </w:tc>
        <w:tc>
          <w:tcPr>
            <w:tcW w:w="290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C$13.74</w:t>
            </w:r>
          </w:p>
        </w:tc>
      </w:tr>
      <w:tr>
        <w:trPr>
          <w:trHeight w:val="205"/>
        </w:trPr>
        <w:tc>
          <w:tcPr>
            <w:tcW w:w="2780" w:type="dxa"/>
            <w:vAlign w:val="bottom"/>
            <w:gridSpan w:val="2"/>
          </w:tcPr>
          <w:p>
            <w:pPr>
              <w:ind w:left="740"/>
              <w:spacing w:after="0" w:line="204" w:lineRule="exact"/>
              <w:rPr>
                <w:sz w:val="20"/>
                <w:szCs w:val="20"/>
                <w:color w:val="auto"/>
              </w:rPr>
            </w:pPr>
            <w:r>
              <w:rPr>
                <w:rFonts w:ascii="Times New Roman" w:cs="Times New Roman" w:eastAsia="Times New Roman" w:hAnsi="Times New Roman"/>
                <w:sz w:val="14"/>
                <w:szCs w:val="14"/>
                <w:color w:val="auto"/>
              </w:rPr>
              <w:t>February 5, 2025</w:t>
            </w:r>
            <w:r>
              <w:rPr>
                <w:rFonts w:ascii="Times New Roman" w:cs="Times New Roman" w:eastAsia="Times New Roman" w:hAnsi="Times New Roman"/>
                <w:sz w:val="23"/>
                <w:szCs w:val="23"/>
                <w:color w:val="auto"/>
                <w:vertAlign w:val="superscript"/>
              </w:rPr>
              <w:t>(3)</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326,800</w:t>
            </w:r>
          </w:p>
        </w:tc>
        <w:tc>
          <w:tcPr>
            <w:tcW w:w="220" w:type="dxa"/>
            <w:vAlign w:val="bottom"/>
          </w:tcPr>
          <w:p>
            <w:pPr>
              <w:spacing w:after="0"/>
              <w:rPr>
                <w:sz w:val="17"/>
                <w:szCs w:val="17"/>
                <w:color w:val="auto"/>
              </w:rPr>
            </w:pPr>
          </w:p>
        </w:tc>
        <w:tc>
          <w:tcPr>
            <w:tcW w:w="2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C$13.86</w:t>
            </w:r>
          </w:p>
        </w:tc>
      </w:tr>
      <w:tr>
        <w:trPr>
          <w:trHeight w:val="205"/>
        </w:trPr>
        <w:tc>
          <w:tcPr>
            <w:tcW w:w="2780" w:type="dxa"/>
            <w:vAlign w:val="bottom"/>
            <w:gridSpan w:val="2"/>
            <w:shd w:val="clear" w:color="auto" w:fill="E6EFFF"/>
          </w:tcPr>
          <w:p>
            <w:pPr>
              <w:ind w:left="740"/>
              <w:spacing w:after="0" w:line="204" w:lineRule="exact"/>
              <w:rPr>
                <w:sz w:val="20"/>
                <w:szCs w:val="20"/>
                <w:color w:val="auto"/>
              </w:rPr>
            </w:pPr>
            <w:r>
              <w:rPr>
                <w:rFonts w:ascii="Times New Roman" w:cs="Times New Roman" w:eastAsia="Times New Roman" w:hAnsi="Times New Roman"/>
                <w:sz w:val="14"/>
                <w:szCs w:val="14"/>
                <w:color w:val="auto"/>
              </w:rPr>
              <w:t>February 6, 2025</w:t>
            </w:r>
            <w:r>
              <w:rPr>
                <w:rFonts w:ascii="Times New Roman" w:cs="Times New Roman" w:eastAsia="Times New Roman" w:hAnsi="Times New Roman"/>
                <w:sz w:val="23"/>
                <w:szCs w:val="23"/>
                <w:color w:val="auto"/>
                <w:vertAlign w:val="superscript"/>
              </w:rPr>
              <w:t>(3)</w:t>
            </w:r>
          </w:p>
        </w:tc>
        <w:tc>
          <w:tcPr>
            <w:tcW w:w="258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280,800</w:t>
            </w:r>
          </w:p>
        </w:tc>
        <w:tc>
          <w:tcPr>
            <w:tcW w:w="220" w:type="dxa"/>
            <w:vAlign w:val="bottom"/>
            <w:shd w:val="clear" w:color="auto" w:fill="E6EFFF"/>
          </w:tcPr>
          <w:p>
            <w:pPr>
              <w:spacing w:after="0"/>
              <w:rPr>
                <w:sz w:val="17"/>
                <w:szCs w:val="17"/>
                <w:color w:val="auto"/>
              </w:rPr>
            </w:pPr>
          </w:p>
        </w:tc>
        <w:tc>
          <w:tcPr>
            <w:tcW w:w="290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4"/>
                <w:szCs w:val="14"/>
                <w:color w:val="auto"/>
              </w:rPr>
              <w:t>Common Shares</w:t>
            </w:r>
          </w:p>
        </w:tc>
        <w:tc>
          <w:tcPr>
            <w:tcW w:w="28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C$13.72</w:t>
            </w: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64"/>
        </w:trPr>
        <w:tc>
          <w:tcPr>
            <w:tcW w:w="286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w w:val="98"/>
              </w:rPr>
              <w:t>February 7, 2025</w:t>
            </w:r>
            <w:r>
              <w:rPr>
                <w:rFonts w:ascii="Times New Roman" w:cs="Times New Roman" w:eastAsia="Times New Roman" w:hAnsi="Times New Roman"/>
                <w:sz w:val="23"/>
                <w:szCs w:val="23"/>
                <w:color w:val="auto"/>
                <w:w w:val="98"/>
                <w:vertAlign w:val="superscript"/>
              </w:rPr>
              <w:t>(3)</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85,000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C$13.48</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9"/>
              </w:rPr>
              <w:t>February 10, 2025</w:t>
            </w:r>
            <w:r>
              <w:rPr>
                <w:rFonts w:ascii="Times New Roman" w:cs="Times New Roman" w:eastAsia="Times New Roman" w:hAnsi="Times New Roman"/>
                <w:sz w:val="23"/>
                <w:szCs w:val="23"/>
                <w:color w:val="auto"/>
                <w:w w:val="99"/>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57,000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C$12.74</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9"/>
              </w:rPr>
              <w:t>February 14, 2025</w:t>
            </w:r>
            <w:r>
              <w:rPr>
                <w:rFonts w:ascii="Times New Roman" w:cs="Times New Roman" w:eastAsia="Times New Roman" w:hAnsi="Times New Roman"/>
                <w:sz w:val="23"/>
                <w:szCs w:val="23"/>
                <w:color w:val="auto"/>
                <w:w w:val="99"/>
                <w:vertAlign w:val="superscript"/>
              </w:rPr>
              <w:t>(4)</w:t>
            </w:r>
          </w:p>
        </w:tc>
        <w:tc>
          <w:tcPr>
            <w:tcW w:w="25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106,000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C$13.20</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9"/>
              </w:rPr>
              <w:t>February 18, 2025</w:t>
            </w:r>
            <w:r>
              <w:rPr>
                <w:rFonts w:ascii="Times New Roman" w:cs="Times New Roman" w:eastAsia="Times New Roman" w:hAnsi="Times New Roman"/>
                <w:sz w:val="23"/>
                <w:szCs w:val="23"/>
                <w:color w:val="auto"/>
                <w:w w:val="99"/>
                <w:vertAlign w:val="superscript"/>
              </w:rPr>
              <w:t>(4)</w:t>
            </w:r>
          </w:p>
        </w:tc>
        <w:tc>
          <w:tcPr>
            <w:tcW w:w="2540" w:type="dxa"/>
            <w:vAlign w:val="bottom"/>
            <w:shd w:val="clear" w:color="auto" w:fill="E6EFFF"/>
          </w:tcPr>
          <w:p>
            <w:pPr>
              <w:jc w:val="center"/>
              <w:ind w:right="48"/>
              <w:spacing w:after="0"/>
              <w:rPr>
                <w:sz w:val="20"/>
                <w:szCs w:val="20"/>
                <w:color w:val="auto"/>
              </w:rPr>
            </w:pPr>
            <w:r>
              <w:rPr>
                <w:rFonts w:ascii="Times New Roman" w:cs="Times New Roman" w:eastAsia="Times New Roman" w:hAnsi="Times New Roman"/>
                <w:sz w:val="14"/>
                <w:szCs w:val="14"/>
                <w:color w:val="auto"/>
              </w:rPr>
              <w:t>125,100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C$13.66</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9"/>
              </w:rPr>
              <w:t>February 19, 2025</w:t>
            </w:r>
            <w:r>
              <w:rPr>
                <w:rFonts w:ascii="Times New Roman" w:cs="Times New Roman" w:eastAsia="Times New Roman" w:hAnsi="Times New Roman"/>
                <w:sz w:val="23"/>
                <w:szCs w:val="23"/>
                <w:color w:val="auto"/>
                <w:w w:val="99"/>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66,000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C$13.15</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9"/>
              </w:rPr>
              <w:t>February 20, 2025</w:t>
            </w:r>
            <w:r>
              <w:rPr>
                <w:rFonts w:ascii="Times New Roman" w:cs="Times New Roman" w:eastAsia="Times New Roman" w:hAnsi="Times New Roman"/>
                <w:sz w:val="23"/>
                <w:szCs w:val="23"/>
                <w:color w:val="auto"/>
                <w:w w:val="99"/>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33,550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C$12.97</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9"/>
              </w:rPr>
              <w:t>February 21, 2025</w:t>
            </w:r>
            <w:r>
              <w:rPr>
                <w:rFonts w:ascii="Times New Roman" w:cs="Times New Roman" w:eastAsia="Times New Roman" w:hAnsi="Times New Roman"/>
                <w:sz w:val="23"/>
                <w:szCs w:val="23"/>
                <w:color w:val="auto"/>
                <w:w w:val="99"/>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21,994</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C$12.98</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9"/>
              </w:rPr>
              <w:t>February 24, 2025</w:t>
            </w:r>
            <w:r>
              <w:rPr>
                <w:rFonts w:ascii="Times New Roman" w:cs="Times New Roman" w:eastAsia="Times New Roman" w:hAnsi="Times New Roman"/>
                <w:sz w:val="23"/>
                <w:szCs w:val="23"/>
                <w:color w:val="auto"/>
                <w:w w:val="99"/>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36,999</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C$12.94</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9"/>
              </w:rPr>
              <w:t>February 26, 2025</w:t>
            </w:r>
            <w:r>
              <w:rPr>
                <w:rFonts w:ascii="Times New Roman" w:cs="Times New Roman" w:eastAsia="Times New Roman" w:hAnsi="Times New Roman"/>
                <w:sz w:val="23"/>
                <w:szCs w:val="23"/>
                <w:color w:val="auto"/>
                <w:w w:val="99"/>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60,868</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C$12.20</w:t>
            </w:r>
          </w:p>
        </w:tc>
      </w:tr>
      <w:tr>
        <w:trPr>
          <w:trHeight w:val="172"/>
        </w:trPr>
        <w:tc>
          <w:tcPr>
            <w:tcW w:w="2860" w:type="dxa"/>
            <w:vAlign w:val="bottom"/>
            <w:shd w:val="clear" w:color="auto" w:fill="E6EFFF"/>
          </w:tcPr>
          <w:p>
            <w:pPr>
              <w:jc w:val="center"/>
              <w:ind w:right="188"/>
              <w:spacing w:after="0"/>
              <w:rPr>
                <w:sz w:val="20"/>
                <w:szCs w:val="20"/>
                <w:color w:val="auto"/>
              </w:rPr>
            </w:pPr>
            <w:r>
              <w:rPr>
                <w:rFonts w:ascii="Times New Roman" w:cs="Times New Roman" w:eastAsia="Times New Roman" w:hAnsi="Times New Roman"/>
                <w:sz w:val="14"/>
                <w:szCs w:val="14"/>
                <w:color w:val="auto"/>
              </w:rPr>
              <w:t>March 7, 2025</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35,000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C$10.45</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13, 2024</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10,000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C$10.11</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14, 2025</w:t>
            </w:r>
            <w:r>
              <w:rPr>
                <w:rFonts w:ascii="Times New Roman" w:cs="Times New Roman" w:eastAsia="Times New Roman" w:hAnsi="Times New Roman"/>
                <w:sz w:val="23"/>
                <w:szCs w:val="23"/>
                <w:color w:val="auto"/>
                <w:w w:val="97"/>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13,400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C$10.39</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17, 2025</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12,000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C$10.43</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19, 2025</w:t>
            </w:r>
            <w:r>
              <w:rPr>
                <w:rFonts w:ascii="Times New Roman" w:cs="Times New Roman" w:eastAsia="Times New Roman" w:hAnsi="Times New Roman"/>
                <w:sz w:val="23"/>
                <w:szCs w:val="23"/>
                <w:color w:val="auto"/>
                <w:w w:val="97"/>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13,000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C$10.44</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20, 2025</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13,000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C$10.34</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21, 2025</w:t>
            </w:r>
            <w:r>
              <w:rPr>
                <w:rFonts w:ascii="Times New Roman" w:cs="Times New Roman" w:eastAsia="Times New Roman" w:hAnsi="Times New Roman"/>
                <w:sz w:val="23"/>
                <w:szCs w:val="23"/>
                <w:color w:val="auto"/>
                <w:w w:val="97"/>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9,000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C$10.28</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24, 2025</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13,000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C$10.14</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25, 2025</w:t>
            </w:r>
            <w:r>
              <w:rPr>
                <w:rFonts w:ascii="Times New Roman" w:cs="Times New Roman" w:eastAsia="Times New Roman" w:hAnsi="Times New Roman"/>
                <w:sz w:val="23"/>
                <w:szCs w:val="23"/>
                <w:color w:val="auto"/>
                <w:w w:val="97"/>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13,000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C$10.36</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26, 2025</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14,500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C$10.03</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27, 2025</w:t>
            </w:r>
            <w:r>
              <w:rPr>
                <w:rFonts w:ascii="Times New Roman" w:cs="Times New Roman" w:eastAsia="Times New Roman" w:hAnsi="Times New Roman"/>
                <w:sz w:val="23"/>
                <w:szCs w:val="23"/>
                <w:color w:val="auto"/>
                <w:w w:val="97"/>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7,500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C$9.75</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28, 2025</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4,600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C$9.74</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7"/>
              </w:rPr>
              <w:t>March 31, 2025</w:t>
            </w:r>
            <w:r>
              <w:rPr>
                <w:rFonts w:ascii="Times New Roman" w:cs="Times New Roman" w:eastAsia="Times New Roman" w:hAnsi="Times New Roman"/>
                <w:sz w:val="23"/>
                <w:szCs w:val="23"/>
                <w:color w:val="auto"/>
                <w:w w:val="97"/>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1,271</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C$9.76</w:t>
            </w:r>
          </w:p>
        </w:tc>
      </w:tr>
      <w:tr>
        <w:trPr>
          <w:trHeight w:val="205"/>
        </w:trPr>
        <w:tc>
          <w:tcPr>
            <w:tcW w:w="2860" w:type="dxa"/>
            <w:vAlign w:val="bottom"/>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8"/>
              </w:rPr>
              <w:t>April 14, 2025</w:t>
            </w:r>
            <w:r>
              <w:rPr>
                <w:rFonts w:ascii="Times New Roman" w:cs="Times New Roman" w:eastAsia="Times New Roman" w:hAnsi="Times New Roman"/>
                <w:sz w:val="23"/>
                <w:szCs w:val="23"/>
                <w:color w:val="auto"/>
                <w:w w:val="98"/>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25,500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C$8.95</w:t>
            </w:r>
          </w:p>
        </w:tc>
      </w:tr>
      <w:tr>
        <w:trPr>
          <w:trHeight w:val="205"/>
        </w:trPr>
        <w:tc>
          <w:tcPr>
            <w:tcW w:w="2860" w:type="dxa"/>
            <w:vAlign w:val="bottom"/>
            <w:shd w:val="clear" w:color="auto" w:fill="E6EFFF"/>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8"/>
              </w:rPr>
              <w:t>April 15, 2025</w:t>
            </w:r>
            <w:r>
              <w:rPr>
                <w:rFonts w:ascii="Times New Roman" w:cs="Times New Roman" w:eastAsia="Times New Roman" w:hAnsi="Times New Roman"/>
                <w:sz w:val="23"/>
                <w:szCs w:val="23"/>
                <w:color w:val="auto"/>
                <w:w w:val="98"/>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87,500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C$10.64</w:t>
            </w:r>
          </w:p>
        </w:tc>
      </w:tr>
      <w:tr>
        <w:trPr>
          <w:trHeight w:val="205"/>
        </w:trPr>
        <w:tc>
          <w:tcPr>
            <w:tcW w:w="2860" w:type="dxa"/>
            <w:vAlign w:val="bottom"/>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8"/>
              </w:rPr>
              <w:t>April 16, 2025</w:t>
            </w:r>
            <w:r>
              <w:rPr>
                <w:rFonts w:ascii="Times New Roman" w:cs="Times New Roman" w:eastAsia="Times New Roman" w:hAnsi="Times New Roman"/>
                <w:sz w:val="23"/>
                <w:szCs w:val="23"/>
                <w:color w:val="auto"/>
                <w:w w:val="98"/>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16,336</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C$10.89</w:t>
            </w:r>
          </w:p>
        </w:tc>
      </w:tr>
      <w:tr>
        <w:trPr>
          <w:trHeight w:val="205"/>
        </w:trPr>
        <w:tc>
          <w:tcPr>
            <w:tcW w:w="2860" w:type="dxa"/>
            <w:vAlign w:val="bottom"/>
            <w:shd w:val="clear" w:color="auto" w:fill="E6EFFF"/>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8"/>
              </w:rPr>
              <w:t>April 17, 2025</w:t>
            </w:r>
            <w:r>
              <w:rPr>
                <w:rFonts w:ascii="Times New Roman" w:cs="Times New Roman" w:eastAsia="Times New Roman" w:hAnsi="Times New Roman"/>
                <w:sz w:val="23"/>
                <w:szCs w:val="23"/>
                <w:color w:val="auto"/>
                <w:w w:val="98"/>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17,000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C$10.29</w:t>
            </w:r>
          </w:p>
        </w:tc>
      </w:tr>
      <w:tr>
        <w:trPr>
          <w:trHeight w:val="205"/>
        </w:trPr>
        <w:tc>
          <w:tcPr>
            <w:tcW w:w="2860" w:type="dxa"/>
            <w:vAlign w:val="bottom"/>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8"/>
              </w:rPr>
              <w:t>April 21, 2025</w:t>
            </w:r>
            <w:r>
              <w:rPr>
                <w:rFonts w:ascii="Times New Roman" w:cs="Times New Roman" w:eastAsia="Times New Roman" w:hAnsi="Times New Roman"/>
                <w:sz w:val="23"/>
                <w:szCs w:val="23"/>
                <w:color w:val="auto"/>
                <w:w w:val="98"/>
                <w:vertAlign w:val="superscript"/>
              </w:rPr>
              <w:t>(4)</w:t>
            </w:r>
          </w:p>
        </w:tc>
        <w:tc>
          <w:tcPr>
            <w:tcW w:w="25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107,700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C$10.37</w:t>
            </w:r>
          </w:p>
        </w:tc>
      </w:tr>
      <w:tr>
        <w:trPr>
          <w:trHeight w:val="205"/>
        </w:trPr>
        <w:tc>
          <w:tcPr>
            <w:tcW w:w="2860" w:type="dxa"/>
            <w:vAlign w:val="bottom"/>
            <w:shd w:val="clear" w:color="auto" w:fill="E6EFFF"/>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8"/>
              </w:rPr>
              <w:t>April 22, 2025</w:t>
            </w:r>
            <w:r>
              <w:rPr>
                <w:rFonts w:ascii="Times New Roman" w:cs="Times New Roman" w:eastAsia="Times New Roman" w:hAnsi="Times New Roman"/>
                <w:sz w:val="23"/>
                <w:szCs w:val="23"/>
                <w:color w:val="auto"/>
                <w:w w:val="98"/>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55,000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C$10.41</w:t>
            </w:r>
          </w:p>
        </w:tc>
      </w:tr>
      <w:tr>
        <w:trPr>
          <w:trHeight w:val="205"/>
        </w:trPr>
        <w:tc>
          <w:tcPr>
            <w:tcW w:w="2860" w:type="dxa"/>
            <w:vAlign w:val="bottom"/>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8"/>
              </w:rPr>
              <w:t>April 23, 2025</w:t>
            </w:r>
            <w:r>
              <w:rPr>
                <w:rFonts w:ascii="Times New Roman" w:cs="Times New Roman" w:eastAsia="Times New Roman" w:hAnsi="Times New Roman"/>
                <w:sz w:val="23"/>
                <w:szCs w:val="23"/>
                <w:color w:val="auto"/>
                <w:w w:val="98"/>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9,000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C$10.13</w:t>
            </w:r>
          </w:p>
        </w:tc>
      </w:tr>
      <w:tr>
        <w:trPr>
          <w:trHeight w:val="205"/>
        </w:trPr>
        <w:tc>
          <w:tcPr>
            <w:tcW w:w="2860" w:type="dxa"/>
            <w:vAlign w:val="bottom"/>
            <w:shd w:val="clear" w:color="auto" w:fill="E6EFFF"/>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8"/>
              </w:rPr>
              <w:t>April 24, 2025</w:t>
            </w:r>
            <w:r>
              <w:rPr>
                <w:rFonts w:ascii="Times New Roman" w:cs="Times New Roman" w:eastAsia="Times New Roman" w:hAnsi="Times New Roman"/>
                <w:sz w:val="23"/>
                <w:szCs w:val="23"/>
                <w:color w:val="auto"/>
                <w:w w:val="98"/>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55,849</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C$9.83</w:t>
            </w:r>
          </w:p>
        </w:tc>
      </w:tr>
      <w:tr>
        <w:trPr>
          <w:trHeight w:val="205"/>
        </w:trPr>
        <w:tc>
          <w:tcPr>
            <w:tcW w:w="2860" w:type="dxa"/>
            <w:vAlign w:val="bottom"/>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8"/>
              </w:rPr>
              <w:t>April 25, 2025</w:t>
            </w:r>
            <w:r>
              <w:rPr>
                <w:rFonts w:ascii="Times New Roman" w:cs="Times New Roman" w:eastAsia="Times New Roman" w:hAnsi="Times New Roman"/>
                <w:sz w:val="23"/>
                <w:szCs w:val="23"/>
                <w:color w:val="auto"/>
                <w:w w:val="98"/>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20,000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C$9.76</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8"/>
              </w:rPr>
              <w:t>May 1, 2025</w:t>
            </w:r>
            <w:r>
              <w:rPr>
                <w:rFonts w:ascii="Times New Roman" w:cs="Times New Roman" w:eastAsia="Times New Roman" w:hAnsi="Times New Roman"/>
                <w:sz w:val="23"/>
                <w:szCs w:val="23"/>
                <w:color w:val="auto"/>
                <w:w w:val="98"/>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35,700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C$9.43</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8"/>
              </w:rPr>
              <w:t>May 2, 2025</w:t>
            </w:r>
            <w:r>
              <w:rPr>
                <w:rFonts w:ascii="Times New Roman" w:cs="Times New Roman" w:eastAsia="Times New Roman" w:hAnsi="Times New Roman"/>
                <w:sz w:val="23"/>
                <w:szCs w:val="23"/>
                <w:color w:val="auto"/>
                <w:w w:val="98"/>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37,000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C$9.37</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8"/>
              </w:rPr>
              <w:t>May 5, 2025</w:t>
            </w:r>
            <w:r>
              <w:rPr>
                <w:rFonts w:ascii="Times New Roman" w:cs="Times New Roman" w:eastAsia="Times New Roman" w:hAnsi="Times New Roman"/>
                <w:sz w:val="23"/>
                <w:szCs w:val="23"/>
                <w:color w:val="auto"/>
                <w:w w:val="98"/>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33,000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C$9.34</w:t>
            </w:r>
          </w:p>
        </w:tc>
      </w:tr>
      <w:tr>
        <w:trPr>
          <w:trHeight w:val="205"/>
        </w:trPr>
        <w:tc>
          <w:tcPr>
            <w:tcW w:w="2860" w:type="dxa"/>
            <w:vAlign w:val="bottom"/>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7"/>
              </w:rPr>
              <w:t>May 15, 2025</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36,400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C$9.00</w:t>
            </w:r>
          </w:p>
        </w:tc>
      </w:tr>
      <w:tr>
        <w:trPr>
          <w:trHeight w:val="205"/>
        </w:trPr>
        <w:tc>
          <w:tcPr>
            <w:tcW w:w="2860" w:type="dxa"/>
            <w:vAlign w:val="bottom"/>
            <w:shd w:val="clear" w:color="auto" w:fill="E6EFFF"/>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7"/>
              </w:rPr>
              <w:t>May 16, 2025</w:t>
            </w:r>
            <w:r>
              <w:rPr>
                <w:rFonts w:ascii="Times New Roman" w:cs="Times New Roman" w:eastAsia="Times New Roman" w:hAnsi="Times New Roman"/>
                <w:sz w:val="23"/>
                <w:szCs w:val="23"/>
                <w:color w:val="auto"/>
                <w:w w:val="97"/>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45,000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C$8.95</w:t>
            </w:r>
          </w:p>
        </w:tc>
      </w:tr>
      <w:tr>
        <w:trPr>
          <w:trHeight w:val="205"/>
        </w:trPr>
        <w:tc>
          <w:tcPr>
            <w:tcW w:w="2860" w:type="dxa"/>
            <w:vAlign w:val="bottom"/>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7"/>
              </w:rPr>
              <w:t>May 19, 2025</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43,500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C$9.31</w:t>
            </w:r>
          </w:p>
        </w:tc>
      </w:tr>
      <w:tr>
        <w:trPr>
          <w:trHeight w:val="205"/>
        </w:trPr>
        <w:tc>
          <w:tcPr>
            <w:tcW w:w="2860" w:type="dxa"/>
            <w:vAlign w:val="bottom"/>
            <w:shd w:val="clear" w:color="auto" w:fill="E6EFFF"/>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7"/>
              </w:rPr>
              <w:t>May 20, 2025</w:t>
            </w:r>
            <w:r>
              <w:rPr>
                <w:rFonts w:ascii="Times New Roman" w:cs="Times New Roman" w:eastAsia="Times New Roman" w:hAnsi="Times New Roman"/>
                <w:sz w:val="23"/>
                <w:szCs w:val="23"/>
                <w:color w:val="auto"/>
                <w:w w:val="97"/>
                <w:vertAlign w:val="superscript"/>
              </w:rPr>
              <w:t>(4)</w:t>
            </w:r>
          </w:p>
        </w:tc>
        <w:tc>
          <w:tcPr>
            <w:tcW w:w="2540" w:type="dxa"/>
            <w:vAlign w:val="bottom"/>
            <w:shd w:val="clear" w:color="auto" w:fill="E6EFFF"/>
          </w:tcPr>
          <w:p>
            <w:pPr>
              <w:jc w:val="center"/>
              <w:ind w:right="48"/>
              <w:spacing w:after="0"/>
              <w:rPr>
                <w:sz w:val="20"/>
                <w:szCs w:val="20"/>
                <w:color w:val="auto"/>
              </w:rPr>
            </w:pPr>
            <w:r>
              <w:rPr>
                <w:rFonts w:ascii="Times New Roman" w:cs="Times New Roman" w:eastAsia="Times New Roman" w:hAnsi="Times New Roman"/>
                <w:sz w:val="14"/>
                <w:szCs w:val="14"/>
                <w:color w:val="auto"/>
              </w:rPr>
              <w:t>221,311</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C$10.22</w:t>
            </w:r>
          </w:p>
        </w:tc>
      </w:tr>
      <w:tr>
        <w:trPr>
          <w:trHeight w:val="205"/>
        </w:trPr>
        <w:tc>
          <w:tcPr>
            <w:tcW w:w="2860" w:type="dxa"/>
            <w:vAlign w:val="bottom"/>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7"/>
              </w:rPr>
              <w:t>May 21, 2025</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316,800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C$10.01</w:t>
            </w:r>
          </w:p>
        </w:tc>
      </w:tr>
      <w:tr>
        <w:trPr>
          <w:trHeight w:val="205"/>
        </w:trPr>
        <w:tc>
          <w:tcPr>
            <w:tcW w:w="2860" w:type="dxa"/>
            <w:vAlign w:val="bottom"/>
            <w:shd w:val="clear" w:color="auto" w:fill="E6EFFF"/>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7"/>
              </w:rPr>
              <w:t>May 22, 2025</w:t>
            </w:r>
            <w:r>
              <w:rPr>
                <w:rFonts w:ascii="Times New Roman" w:cs="Times New Roman" w:eastAsia="Times New Roman" w:hAnsi="Times New Roman"/>
                <w:sz w:val="23"/>
                <w:szCs w:val="23"/>
                <w:color w:val="auto"/>
                <w:w w:val="97"/>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34,000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C$9.88</w:t>
            </w:r>
          </w:p>
        </w:tc>
      </w:tr>
      <w:tr>
        <w:trPr>
          <w:trHeight w:val="205"/>
        </w:trPr>
        <w:tc>
          <w:tcPr>
            <w:tcW w:w="2860" w:type="dxa"/>
            <w:vAlign w:val="bottom"/>
          </w:tcPr>
          <w:p>
            <w:pPr>
              <w:jc w:val="center"/>
              <w:ind w:right="208"/>
              <w:spacing w:after="0" w:line="204" w:lineRule="exact"/>
              <w:rPr>
                <w:sz w:val="20"/>
                <w:szCs w:val="20"/>
                <w:color w:val="auto"/>
              </w:rPr>
            </w:pPr>
            <w:r>
              <w:rPr>
                <w:rFonts w:ascii="Times New Roman" w:cs="Times New Roman" w:eastAsia="Times New Roman" w:hAnsi="Times New Roman"/>
                <w:sz w:val="14"/>
                <w:szCs w:val="14"/>
                <w:color w:val="auto"/>
                <w:w w:val="97"/>
              </w:rPr>
              <w:t>May 29, 2025</w:t>
            </w:r>
            <w:r>
              <w:rPr>
                <w:rFonts w:ascii="Times New Roman" w:cs="Times New Roman" w:eastAsia="Times New Roman" w:hAnsi="Times New Roman"/>
                <w:sz w:val="23"/>
                <w:szCs w:val="23"/>
                <w:color w:val="auto"/>
                <w:w w:val="97"/>
                <w:vertAlign w:val="superscript"/>
              </w:rPr>
              <w:t>(4)</w:t>
            </w:r>
          </w:p>
        </w:tc>
        <w:tc>
          <w:tcPr>
            <w:tcW w:w="25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112,413</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C$11.38</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8"/>
              </w:rPr>
              <w:t>June 4, 2025</w:t>
            </w:r>
            <w:r>
              <w:rPr>
                <w:rFonts w:ascii="Times New Roman" w:cs="Times New Roman" w:eastAsia="Times New Roman" w:hAnsi="Times New Roman"/>
                <w:sz w:val="23"/>
                <w:szCs w:val="23"/>
                <w:color w:val="auto"/>
                <w:w w:val="98"/>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13,000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C$11.45</w:t>
            </w:r>
          </w:p>
        </w:tc>
      </w:tr>
      <w:tr>
        <w:trPr>
          <w:trHeight w:val="205"/>
        </w:trPr>
        <w:tc>
          <w:tcPr>
            <w:tcW w:w="2860" w:type="dxa"/>
            <w:vAlign w:val="bottom"/>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8"/>
              </w:rPr>
              <w:t>June 6, 2025</w:t>
            </w:r>
            <w:r>
              <w:rPr>
                <w:rFonts w:ascii="Times New Roman" w:cs="Times New Roman" w:eastAsia="Times New Roman" w:hAnsi="Times New Roman"/>
                <w:sz w:val="23"/>
                <w:szCs w:val="23"/>
                <w:color w:val="auto"/>
                <w:w w:val="98"/>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13,000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C$12.19</w:t>
            </w:r>
          </w:p>
        </w:tc>
      </w:tr>
      <w:tr>
        <w:trPr>
          <w:trHeight w:val="205"/>
        </w:trPr>
        <w:tc>
          <w:tcPr>
            <w:tcW w:w="2860" w:type="dxa"/>
            <w:vAlign w:val="bottom"/>
            <w:shd w:val="clear" w:color="auto" w:fill="E6EFFF"/>
          </w:tcPr>
          <w:p>
            <w:pPr>
              <w:jc w:val="center"/>
              <w:ind w:right="188"/>
              <w:spacing w:after="0" w:line="204" w:lineRule="exact"/>
              <w:rPr>
                <w:sz w:val="20"/>
                <w:szCs w:val="20"/>
                <w:color w:val="auto"/>
              </w:rPr>
            </w:pPr>
            <w:r>
              <w:rPr>
                <w:rFonts w:ascii="Times New Roman" w:cs="Times New Roman" w:eastAsia="Times New Roman" w:hAnsi="Times New Roman"/>
                <w:sz w:val="14"/>
                <w:szCs w:val="14"/>
                <w:color w:val="auto"/>
                <w:w w:val="98"/>
              </w:rPr>
              <w:t>June 9, 2025</w:t>
            </w:r>
            <w:r>
              <w:rPr>
                <w:rFonts w:ascii="Times New Roman" w:cs="Times New Roman" w:eastAsia="Times New Roman" w:hAnsi="Times New Roman"/>
                <w:sz w:val="23"/>
                <w:szCs w:val="23"/>
                <w:color w:val="auto"/>
                <w:w w:val="98"/>
                <w:vertAlign w:val="superscript"/>
              </w:rPr>
              <w:t>(4)</w:t>
            </w:r>
          </w:p>
        </w:tc>
        <w:tc>
          <w:tcPr>
            <w:tcW w:w="2540" w:type="dxa"/>
            <w:vAlign w:val="bottom"/>
            <w:shd w:val="clear" w:color="auto" w:fill="E6EFFF"/>
          </w:tcPr>
          <w:p>
            <w:pPr>
              <w:jc w:val="center"/>
              <w:ind w:right="68"/>
              <w:spacing w:after="0"/>
              <w:rPr>
                <w:sz w:val="20"/>
                <w:szCs w:val="20"/>
                <w:color w:val="auto"/>
              </w:rPr>
            </w:pPr>
            <w:r>
              <w:rPr>
                <w:rFonts w:ascii="Times New Roman" w:cs="Times New Roman" w:eastAsia="Times New Roman" w:hAnsi="Times New Roman"/>
                <w:sz w:val="14"/>
                <w:szCs w:val="14"/>
                <w:color w:val="auto"/>
              </w:rPr>
              <w:t>13,600</w:t>
            </w:r>
          </w:p>
        </w:tc>
        <w:tc>
          <w:tcPr>
            <w:tcW w:w="31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C$12.53</w:t>
            </w:r>
          </w:p>
        </w:tc>
      </w:tr>
      <w:tr>
        <w:trPr>
          <w:trHeight w:val="315"/>
        </w:trPr>
        <w:tc>
          <w:tcPr>
            <w:tcW w:w="286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w w:val="95"/>
              </w:rPr>
              <w:t>June 11, 2025</w:t>
            </w:r>
            <w:r>
              <w:rPr>
                <w:rFonts w:ascii="Times New Roman" w:cs="Times New Roman" w:eastAsia="Times New Roman" w:hAnsi="Times New Roman"/>
                <w:sz w:val="23"/>
                <w:szCs w:val="23"/>
                <w:color w:val="auto"/>
                <w:w w:val="95"/>
                <w:vertAlign w:val="superscript"/>
              </w:rPr>
              <w:t>(4)</w:t>
            </w:r>
          </w:p>
        </w:tc>
        <w:tc>
          <w:tcPr>
            <w:tcW w:w="25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15,000</w:t>
            </w:r>
          </w:p>
        </w:tc>
        <w:tc>
          <w:tcPr>
            <w:tcW w:w="3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C$12.40</w:t>
            </w: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273"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64"/>
        </w:trPr>
        <w:tc>
          <w:tcPr>
            <w:tcW w:w="2780" w:type="dxa"/>
            <w:vAlign w:val="bottom"/>
            <w:shd w:val="clear" w:color="auto" w:fill="E6EFFF"/>
          </w:tcPr>
          <w:p>
            <w:pPr>
              <w:jc w:val="center"/>
              <w:ind w:right="128"/>
              <w:spacing w:after="0"/>
              <w:rPr>
                <w:sz w:val="20"/>
                <w:szCs w:val="20"/>
                <w:color w:val="auto"/>
              </w:rPr>
            </w:pPr>
            <w:r>
              <w:rPr>
                <w:rFonts w:ascii="Times New Roman" w:cs="Times New Roman" w:eastAsia="Times New Roman" w:hAnsi="Times New Roman"/>
                <w:sz w:val="14"/>
                <w:szCs w:val="14"/>
                <w:color w:val="auto"/>
                <w:w w:val="97"/>
              </w:rPr>
              <w:t>June 12, 2025</w:t>
            </w:r>
            <w:r>
              <w:rPr>
                <w:rFonts w:ascii="Times New Roman" w:cs="Times New Roman" w:eastAsia="Times New Roman" w:hAnsi="Times New Roman"/>
                <w:sz w:val="23"/>
                <w:szCs w:val="23"/>
                <w:color w:val="auto"/>
                <w:w w:val="97"/>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10,578</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shd w:val="clear" w:color="auto" w:fill="E6EFFF"/>
          </w:tcPr>
          <w:p>
            <w:pPr>
              <w:jc w:val="center"/>
              <w:ind w:right="48"/>
              <w:spacing w:after="0"/>
              <w:rPr>
                <w:sz w:val="20"/>
                <w:szCs w:val="20"/>
                <w:color w:val="auto"/>
              </w:rPr>
            </w:pPr>
            <w:r>
              <w:rPr>
                <w:rFonts w:ascii="Times New Roman" w:cs="Times New Roman" w:eastAsia="Times New Roman" w:hAnsi="Times New Roman"/>
                <w:sz w:val="14"/>
                <w:szCs w:val="14"/>
                <w:color w:val="auto"/>
              </w:rPr>
              <w:t>C$12.59</w:t>
            </w:r>
          </w:p>
        </w:tc>
      </w:tr>
      <w:tr>
        <w:trPr>
          <w:trHeight w:val="205"/>
        </w:trPr>
        <w:tc>
          <w:tcPr>
            <w:tcW w:w="2780" w:type="dxa"/>
            <w:vAlign w:val="bottom"/>
          </w:tcPr>
          <w:p>
            <w:pPr>
              <w:jc w:val="center"/>
              <w:ind w:right="128"/>
              <w:spacing w:after="0" w:line="204" w:lineRule="exact"/>
              <w:rPr>
                <w:sz w:val="20"/>
                <w:szCs w:val="20"/>
                <w:color w:val="auto"/>
              </w:rPr>
            </w:pPr>
            <w:r>
              <w:rPr>
                <w:rFonts w:ascii="Times New Roman" w:cs="Times New Roman" w:eastAsia="Times New Roman" w:hAnsi="Times New Roman"/>
                <w:sz w:val="14"/>
                <w:szCs w:val="14"/>
                <w:color w:val="auto"/>
                <w:w w:val="97"/>
              </w:rPr>
              <w:t>June 16, 2025</w:t>
            </w:r>
            <w:r>
              <w:rPr>
                <w:rFonts w:ascii="Times New Roman" w:cs="Times New Roman" w:eastAsia="Times New Roman" w:hAnsi="Times New Roman"/>
                <w:sz w:val="23"/>
                <w:szCs w:val="23"/>
                <w:color w:val="auto"/>
                <w:w w:val="97"/>
                <w:vertAlign w:val="superscript"/>
              </w:rPr>
              <w:t>(4)</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18,236</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C$11.92</w:t>
            </w:r>
          </w:p>
        </w:tc>
      </w:tr>
      <w:tr>
        <w:trPr>
          <w:trHeight w:val="205"/>
        </w:trPr>
        <w:tc>
          <w:tcPr>
            <w:tcW w:w="2780" w:type="dxa"/>
            <w:vAlign w:val="bottom"/>
            <w:shd w:val="clear" w:color="auto" w:fill="E6EFFF"/>
          </w:tcPr>
          <w:p>
            <w:pPr>
              <w:jc w:val="center"/>
              <w:ind w:right="128"/>
              <w:spacing w:after="0" w:line="204" w:lineRule="exact"/>
              <w:rPr>
                <w:sz w:val="20"/>
                <w:szCs w:val="20"/>
                <w:color w:val="auto"/>
              </w:rPr>
            </w:pPr>
            <w:r>
              <w:rPr>
                <w:rFonts w:ascii="Times New Roman" w:cs="Times New Roman" w:eastAsia="Times New Roman" w:hAnsi="Times New Roman"/>
                <w:sz w:val="14"/>
                <w:szCs w:val="14"/>
                <w:color w:val="auto"/>
                <w:w w:val="97"/>
              </w:rPr>
              <w:t>June 18, 2025</w:t>
            </w:r>
            <w:r>
              <w:rPr>
                <w:rFonts w:ascii="Times New Roman" w:cs="Times New Roman" w:eastAsia="Times New Roman" w:hAnsi="Times New Roman"/>
                <w:sz w:val="23"/>
                <w:szCs w:val="23"/>
                <w:color w:val="auto"/>
                <w:w w:val="97"/>
                <w:vertAlign w:val="superscript"/>
              </w:rPr>
              <w:t>(4)</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30,000</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shd w:val="clear" w:color="auto" w:fill="E6EFFF"/>
          </w:tcPr>
          <w:p>
            <w:pPr>
              <w:jc w:val="center"/>
              <w:ind w:right="48"/>
              <w:spacing w:after="0"/>
              <w:rPr>
                <w:sz w:val="20"/>
                <w:szCs w:val="20"/>
                <w:color w:val="auto"/>
              </w:rPr>
            </w:pPr>
            <w:r>
              <w:rPr>
                <w:rFonts w:ascii="Times New Roman" w:cs="Times New Roman" w:eastAsia="Times New Roman" w:hAnsi="Times New Roman"/>
                <w:sz w:val="14"/>
                <w:szCs w:val="14"/>
                <w:color w:val="auto"/>
              </w:rPr>
              <w:t>C$11.07</w:t>
            </w:r>
          </w:p>
        </w:tc>
      </w:tr>
      <w:tr>
        <w:trPr>
          <w:trHeight w:val="205"/>
        </w:trPr>
        <w:tc>
          <w:tcPr>
            <w:tcW w:w="2780" w:type="dxa"/>
            <w:vAlign w:val="bottom"/>
          </w:tcPr>
          <w:p>
            <w:pPr>
              <w:jc w:val="center"/>
              <w:ind w:right="128"/>
              <w:spacing w:after="0" w:line="204" w:lineRule="exact"/>
              <w:rPr>
                <w:sz w:val="20"/>
                <w:szCs w:val="20"/>
                <w:color w:val="auto"/>
              </w:rPr>
            </w:pPr>
            <w:r>
              <w:rPr>
                <w:rFonts w:ascii="Times New Roman" w:cs="Times New Roman" w:eastAsia="Times New Roman" w:hAnsi="Times New Roman"/>
                <w:sz w:val="14"/>
                <w:szCs w:val="14"/>
                <w:color w:val="auto"/>
                <w:w w:val="97"/>
              </w:rPr>
              <w:t>June 30, 2025</w:t>
            </w:r>
            <w:r>
              <w:rPr>
                <w:rFonts w:ascii="Times New Roman" w:cs="Times New Roman" w:eastAsia="Times New Roman" w:hAnsi="Times New Roman"/>
                <w:sz w:val="23"/>
                <w:szCs w:val="23"/>
                <w:color w:val="auto"/>
                <w:w w:val="97"/>
                <w:vertAlign w:val="superscript"/>
              </w:rPr>
              <w:t>(5)</w:t>
            </w:r>
          </w:p>
        </w:tc>
        <w:tc>
          <w:tcPr>
            <w:tcW w:w="26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US$50,000,000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Convertible Debentures</w:t>
            </w:r>
          </w:p>
        </w:tc>
        <w:tc>
          <w:tcPr>
            <w:tcW w:w="26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See note (6)</w:t>
            </w:r>
          </w:p>
        </w:tc>
      </w:tr>
      <w:tr>
        <w:trPr>
          <w:trHeight w:val="205"/>
        </w:trPr>
        <w:tc>
          <w:tcPr>
            <w:tcW w:w="2780" w:type="dxa"/>
            <w:vAlign w:val="bottom"/>
            <w:shd w:val="clear" w:color="auto" w:fill="E6EFFF"/>
          </w:tcPr>
          <w:p>
            <w:pPr>
              <w:jc w:val="center"/>
              <w:ind w:right="108"/>
              <w:spacing w:after="0" w:line="204" w:lineRule="exact"/>
              <w:rPr>
                <w:sz w:val="20"/>
                <w:szCs w:val="20"/>
                <w:color w:val="auto"/>
              </w:rPr>
            </w:pPr>
            <w:r>
              <w:rPr>
                <w:rFonts w:ascii="Times New Roman" w:cs="Times New Roman" w:eastAsia="Times New Roman" w:hAnsi="Times New Roman"/>
                <w:sz w:val="14"/>
                <w:szCs w:val="14"/>
                <w:color w:val="auto"/>
                <w:w w:val="98"/>
              </w:rPr>
              <w:t>July 17, 2025</w:t>
            </w:r>
            <w:r>
              <w:rPr>
                <w:rFonts w:ascii="Times New Roman" w:cs="Times New Roman" w:eastAsia="Times New Roman" w:hAnsi="Times New Roman"/>
                <w:sz w:val="23"/>
                <w:szCs w:val="23"/>
                <w:color w:val="auto"/>
                <w:w w:val="98"/>
                <w:vertAlign w:val="superscript"/>
              </w:rPr>
              <w:t>(7)</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566,394</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shd w:val="clear" w:color="auto" w:fill="E6EFFF"/>
          </w:tcPr>
          <w:p>
            <w:pPr>
              <w:jc w:val="center"/>
              <w:ind w:right="48"/>
              <w:spacing w:after="0"/>
              <w:rPr>
                <w:sz w:val="20"/>
                <w:szCs w:val="20"/>
                <w:color w:val="auto"/>
              </w:rPr>
            </w:pPr>
            <w:r>
              <w:rPr>
                <w:rFonts w:ascii="Times New Roman" w:cs="Times New Roman" w:eastAsia="Times New Roman" w:hAnsi="Times New Roman"/>
                <w:sz w:val="14"/>
                <w:szCs w:val="14"/>
                <w:color w:val="auto"/>
              </w:rPr>
              <w:t>C$10.44</w:t>
            </w:r>
          </w:p>
        </w:tc>
      </w:tr>
      <w:tr>
        <w:trPr>
          <w:trHeight w:val="172"/>
        </w:trPr>
        <w:tc>
          <w:tcPr>
            <w:tcW w:w="27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August 15, 2025</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53,800</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26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C$10.00</w:t>
            </w:r>
          </w:p>
        </w:tc>
      </w:tr>
      <w:tr>
        <w:trPr>
          <w:trHeight w:val="172"/>
        </w:trPr>
        <w:tc>
          <w:tcPr>
            <w:tcW w:w="2780" w:type="dxa"/>
            <w:vAlign w:val="bottom"/>
            <w:shd w:val="clear" w:color="auto" w:fill="E6EFFF"/>
          </w:tcPr>
          <w:p>
            <w:pPr>
              <w:jc w:val="center"/>
              <w:ind w:right="108"/>
              <w:spacing w:after="0"/>
              <w:rPr>
                <w:sz w:val="20"/>
                <w:szCs w:val="20"/>
                <w:color w:val="auto"/>
              </w:rPr>
            </w:pPr>
            <w:r>
              <w:rPr>
                <w:rFonts w:ascii="Times New Roman" w:cs="Times New Roman" w:eastAsia="Times New Roman" w:hAnsi="Times New Roman"/>
                <w:sz w:val="14"/>
                <w:szCs w:val="14"/>
                <w:color w:val="auto"/>
              </w:rPr>
              <w:t>August 15, 2025</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80,000</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2680" w:type="dxa"/>
            <w:vAlign w:val="bottom"/>
            <w:shd w:val="clear" w:color="auto" w:fill="E6EFFF"/>
          </w:tcPr>
          <w:p>
            <w:pPr>
              <w:jc w:val="center"/>
              <w:ind w:right="48"/>
              <w:spacing w:after="0"/>
              <w:rPr>
                <w:sz w:val="20"/>
                <w:szCs w:val="20"/>
                <w:color w:val="auto"/>
              </w:rPr>
            </w:pPr>
            <w:r>
              <w:rPr>
                <w:rFonts w:ascii="Times New Roman" w:cs="Times New Roman" w:eastAsia="Times New Roman" w:hAnsi="Times New Roman"/>
                <w:sz w:val="14"/>
                <w:szCs w:val="14"/>
                <w:color w:val="auto"/>
              </w:rPr>
              <w:t>C$11.00</w:t>
            </w:r>
          </w:p>
        </w:tc>
      </w:tr>
      <w:tr>
        <w:trPr>
          <w:trHeight w:val="205"/>
        </w:trPr>
        <w:tc>
          <w:tcPr>
            <w:tcW w:w="2780" w:type="dxa"/>
            <w:vAlign w:val="bottom"/>
          </w:tcPr>
          <w:p>
            <w:pPr>
              <w:jc w:val="center"/>
              <w:ind w:right="108"/>
              <w:spacing w:after="0" w:line="204" w:lineRule="exact"/>
              <w:rPr>
                <w:sz w:val="20"/>
                <w:szCs w:val="20"/>
                <w:color w:val="auto"/>
              </w:rPr>
            </w:pPr>
            <w:r>
              <w:rPr>
                <w:rFonts w:ascii="Times New Roman" w:cs="Times New Roman" w:eastAsia="Times New Roman" w:hAnsi="Times New Roman"/>
                <w:sz w:val="14"/>
                <w:szCs w:val="14"/>
                <w:color w:val="auto"/>
                <w:w w:val="97"/>
              </w:rPr>
              <w:t>August 25, 2025</w:t>
            </w:r>
            <w:r>
              <w:rPr>
                <w:rFonts w:ascii="Times New Roman" w:cs="Times New Roman" w:eastAsia="Times New Roman" w:hAnsi="Times New Roman"/>
                <w:sz w:val="23"/>
                <w:szCs w:val="23"/>
                <w:color w:val="auto"/>
                <w:w w:val="97"/>
                <w:vertAlign w:val="superscript"/>
              </w:rPr>
              <w:t>(7)</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1,166,486</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C$9.54</w:t>
            </w:r>
          </w:p>
        </w:tc>
      </w:tr>
      <w:tr>
        <w:trPr>
          <w:trHeight w:val="205"/>
        </w:trPr>
        <w:tc>
          <w:tcPr>
            <w:tcW w:w="2780" w:type="dxa"/>
            <w:vAlign w:val="bottom"/>
            <w:shd w:val="clear" w:color="auto" w:fill="E6EFFF"/>
          </w:tcPr>
          <w:p>
            <w:pPr>
              <w:jc w:val="center"/>
              <w:ind w:right="108"/>
              <w:spacing w:after="0" w:line="204" w:lineRule="exact"/>
              <w:rPr>
                <w:sz w:val="20"/>
                <w:szCs w:val="20"/>
                <w:color w:val="auto"/>
              </w:rPr>
            </w:pPr>
            <w:r>
              <w:rPr>
                <w:rFonts w:ascii="Times New Roman" w:cs="Times New Roman" w:eastAsia="Times New Roman" w:hAnsi="Times New Roman"/>
                <w:sz w:val="14"/>
                <w:szCs w:val="14"/>
                <w:color w:val="auto"/>
                <w:w w:val="97"/>
              </w:rPr>
              <w:t>August 28, 2025</w:t>
            </w:r>
            <w:r>
              <w:rPr>
                <w:rFonts w:ascii="Times New Roman" w:cs="Times New Roman" w:eastAsia="Times New Roman" w:hAnsi="Times New Roman"/>
                <w:sz w:val="23"/>
                <w:szCs w:val="23"/>
                <w:color w:val="auto"/>
                <w:w w:val="97"/>
                <w:vertAlign w:val="superscript"/>
              </w:rPr>
              <w:t>(7)</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423,812</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shd w:val="clear" w:color="auto" w:fill="E6EFFF"/>
          </w:tcPr>
          <w:p>
            <w:pPr>
              <w:jc w:val="center"/>
              <w:ind w:right="28"/>
              <w:spacing w:after="0"/>
              <w:rPr>
                <w:sz w:val="20"/>
                <w:szCs w:val="20"/>
                <w:color w:val="auto"/>
              </w:rPr>
            </w:pPr>
            <w:r>
              <w:rPr>
                <w:rFonts w:ascii="Times New Roman" w:cs="Times New Roman" w:eastAsia="Times New Roman" w:hAnsi="Times New Roman"/>
                <w:sz w:val="14"/>
                <w:szCs w:val="14"/>
                <w:color w:val="auto"/>
              </w:rPr>
              <w:t>C$9.85</w:t>
            </w:r>
          </w:p>
        </w:tc>
      </w:tr>
      <w:tr>
        <w:trPr>
          <w:trHeight w:val="205"/>
        </w:trPr>
        <w:tc>
          <w:tcPr>
            <w:tcW w:w="2780" w:type="dxa"/>
            <w:vAlign w:val="bottom"/>
          </w:tcPr>
          <w:p>
            <w:pPr>
              <w:jc w:val="center"/>
              <w:ind w:right="108"/>
              <w:spacing w:after="0" w:line="204" w:lineRule="exact"/>
              <w:rPr>
                <w:sz w:val="20"/>
                <w:szCs w:val="20"/>
                <w:color w:val="auto"/>
              </w:rPr>
            </w:pPr>
            <w:r>
              <w:rPr>
                <w:rFonts w:ascii="Times New Roman" w:cs="Times New Roman" w:eastAsia="Times New Roman" w:hAnsi="Times New Roman"/>
                <w:sz w:val="14"/>
                <w:szCs w:val="14"/>
                <w:color w:val="auto"/>
                <w:w w:val="97"/>
              </w:rPr>
              <w:t>August 28, 2025</w:t>
            </w:r>
            <w:r>
              <w:rPr>
                <w:rFonts w:ascii="Times New Roman" w:cs="Times New Roman" w:eastAsia="Times New Roman" w:hAnsi="Times New Roman"/>
                <w:sz w:val="23"/>
                <w:szCs w:val="23"/>
                <w:color w:val="auto"/>
                <w:w w:val="97"/>
                <w:vertAlign w:val="superscript"/>
              </w:rPr>
              <w:t>(8)</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7,894</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C$9.50</w:t>
            </w:r>
          </w:p>
        </w:tc>
      </w:tr>
      <w:tr>
        <w:trPr>
          <w:trHeight w:val="172"/>
        </w:trPr>
        <w:tc>
          <w:tcPr>
            <w:tcW w:w="2780" w:type="dxa"/>
            <w:vAlign w:val="bottom"/>
            <w:shd w:val="clear" w:color="auto" w:fill="E6EFFF"/>
          </w:tcPr>
          <w:p>
            <w:pPr>
              <w:jc w:val="center"/>
              <w:ind w:right="108"/>
              <w:spacing w:after="0"/>
              <w:rPr>
                <w:sz w:val="20"/>
                <w:szCs w:val="20"/>
                <w:color w:val="auto"/>
              </w:rPr>
            </w:pPr>
            <w:r>
              <w:rPr>
                <w:rFonts w:ascii="Times New Roman" w:cs="Times New Roman" w:eastAsia="Times New Roman" w:hAnsi="Times New Roman"/>
                <w:sz w:val="14"/>
                <w:szCs w:val="14"/>
                <w:color w:val="auto"/>
              </w:rPr>
              <w:t>August 29, 2025</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15,000</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2680" w:type="dxa"/>
            <w:vAlign w:val="bottom"/>
            <w:shd w:val="clear" w:color="auto" w:fill="E6EFFF"/>
          </w:tcPr>
          <w:p>
            <w:pPr>
              <w:jc w:val="center"/>
              <w:ind w:right="48"/>
              <w:spacing w:after="0"/>
              <w:rPr>
                <w:sz w:val="20"/>
                <w:szCs w:val="20"/>
                <w:color w:val="auto"/>
              </w:rPr>
            </w:pPr>
            <w:r>
              <w:rPr>
                <w:rFonts w:ascii="Times New Roman" w:cs="Times New Roman" w:eastAsia="Times New Roman" w:hAnsi="Times New Roman"/>
                <w:sz w:val="14"/>
                <w:szCs w:val="14"/>
                <w:color w:val="auto"/>
              </w:rPr>
              <w:t>C$11.00</w:t>
            </w:r>
          </w:p>
        </w:tc>
      </w:tr>
      <w:tr>
        <w:trPr>
          <w:trHeight w:val="205"/>
        </w:trPr>
        <w:tc>
          <w:tcPr>
            <w:tcW w:w="2780" w:type="dxa"/>
            <w:vAlign w:val="bottom"/>
          </w:tcPr>
          <w:p>
            <w:pPr>
              <w:jc w:val="center"/>
              <w:ind w:right="108"/>
              <w:spacing w:after="0" w:line="204" w:lineRule="exact"/>
              <w:rPr>
                <w:sz w:val="20"/>
                <w:szCs w:val="20"/>
                <w:color w:val="auto"/>
              </w:rPr>
            </w:pPr>
            <w:r>
              <w:rPr>
                <w:rFonts w:ascii="Times New Roman" w:cs="Times New Roman" w:eastAsia="Times New Roman" w:hAnsi="Times New Roman"/>
                <w:sz w:val="14"/>
                <w:szCs w:val="14"/>
                <w:color w:val="auto"/>
                <w:w w:val="98"/>
              </w:rPr>
              <w:t>September 23, 2025</w:t>
            </w:r>
            <w:r>
              <w:rPr>
                <w:rFonts w:ascii="Times New Roman" w:cs="Times New Roman" w:eastAsia="Times New Roman" w:hAnsi="Times New Roman"/>
                <w:sz w:val="23"/>
                <w:szCs w:val="23"/>
                <w:color w:val="auto"/>
                <w:w w:val="98"/>
                <w:vertAlign w:val="superscript"/>
              </w:rPr>
              <w:t>(7)</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912,863</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C$8.38</w:t>
            </w:r>
          </w:p>
        </w:tc>
      </w:tr>
      <w:tr>
        <w:trPr>
          <w:trHeight w:val="172"/>
        </w:trPr>
        <w:tc>
          <w:tcPr>
            <w:tcW w:w="2780" w:type="dxa"/>
            <w:vAlign w:val="bottom"/>
            <w:shd w:val="clear" w:color="auto" w:fill="E6EFFF"/>
          </w:tcPr>
          <w:p>
            <w:pPr>
              <w:jc w:val="center"/>
              <w:ind w:right="108"/>
              <w:spacing w:after="0"/>
              <w:rPr>
                <w:sz w:val="20"/>
                <w:szCs w:val="20"/>
                <w:color w:val="auto"/>
              </w:rPr>
            </w:pPr>
            <w:r>
              <w:rPr>
                <w:rFonts w:ascii="Times New Roman" w:cs="Times New Roman" w:eastAsia="Times New Roman" w:hAnsi="Times New Roman"/>
                <w:sz w:val="14"/>
                <w:szCs w:val="14"/>
                <w:color w:val="auto"/>
              </w:rPr>
              <w:t>October 1, 2025</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Restricted Share Units</w:t>
            </w:r>
          </w:p>
        </w:tc>
        <w:tc>
          <w:tcPr>
            <w:tcW w:w="2680" w:type="dxa"/>
            <w:vAlign w:val="bottom"/>
            <w:shd w:val="clear" w:color="auto" w:fill="E6EFFF"/>
          </w:tcPr>
          <w:p>
            <w:pPr>
              <w:jc w:val="center"/>
              <w:ind w:right="48"/>
              <w:spacing w:after="0"/>
              <w:rPr>
                <w:sz w:val="20"/>
                <w:szCs w:val="20"/>
                <w:color w:val="auto"/>
              </w:rPr>
            </w:pPr>
            <w:r>
              <w:rPr>
                <w:rFonts w:ascii="Times New Roman" w:cs="Times New Roman" w:eastAsia="Times New Roman" w:hAnsi="Times New Roman"/>
                <w:sz w:val="14"/>
                <w:szCs w:val="14"/>
                <w:color w:val="auto"/>
                <w:w w:val="99"/>
              </w:rPr>
              <w:t>N/A</w:t>
            </w:r>
          </w:p>
        </w:tc>
      </w:tr>
      <w:tr>
        <w:trPr>
          <w:trHeight w:val="172"/>
        </w:trPr>
        <w:tc>
          <w:tcPr>
            <w:tcW w:w="27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October 1, 2025</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200,000</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Options</w:t>
            </w:r>
          </w:p>
        </w:tc>
        <w:tc>
          <w:tcPr>
            <w:tcW w:w="2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C$8.39</w:t>
            </w:r>
          </w:p>
        </w:tc>
      </w:tr>
      <w:tr>
        <w:trPr>
          <w:trHeight w:val="205"/>
        </w:trPr>
        <w:tc>
          <w:tcPr>
            <w:tcW w:w="2780" w:type="dxa"/>
            <w:vAlign w:val="bottom"/>
            <w:shd w:val="clear" w:color="auto" w:fill="E6EFFF"/>
          </w:tcPr>
          <w:p>
            <w:pPr>
              <w:jc w:val="center"/>
              <w:ind w:right="108"/>
              <w:spacing w:after="0" w:line="204" w:lineRule="exact"/>
              <w:rPr>
                <w:sz w:val="20"/>
                <w:szCs w:val="20"/>
                <w:color w:val="auto"/>
              </w:rPr>
            </w:pPr>
            <w:r>
              <w:rPr>
                <w:rFonts w:ascii="Times New Roman" w:cs="Times New Roman" w:eastAsia="Times New Roman" w:hAnsi="Times New Roman"/>
                <w:sz w:val="14"/>
                <w:szCs w:val="14"/>
                <w:color w:val="auto"/>
                <w:w w:val="99"/>
              </w:rPr>
              <w:t>October 2, 2025</w:t>
            </w:r>
            <w:r>
              <w:rPr>
                <w:rFonts w:ascii="Times New Roman" w:cs="Times New Roman" w:eastAsia="Times New Roman" w:hAnsi="Times New Roman"/>
                <w:sz w:val="23"/>
                <w:szCs w:val="23"/>
                <w:color w:val="auto"/>
                <w:w w:val="99"/>
                <w:vertAlign w:val="superscript"/>
              </w:rPr>
              <w:t>(7)</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683,452</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shd w:val="clear" w:color="auto" w:fill="E6EFFF"/>
          </w:tcPr>
          <w:p>
            <w:pPr>
              <w:jc w:val="center"/>
              <w:ind w:right="28"/>
              <w:spacing w:after="0"/>
              <w:rPr>
                <w:sz w:val="20"/>
                <w:szCs w:val="20"/>
                <w:color w:val="auto"/>
              </w:rPr>
            </w:pPr>
            <w:r>
              <w:rPr>
                <w:rFonts w:ascii="Times New Roman" w:cs="Times New Roman" w:eastAsia="Times New Roman" w:hAnsi="Times New Roman"/>
                <w:sz w:val="14"/>
                <w:szCs w:val="14"/>
                <w:color w:val="auto"/>
              </w:rPr>
              <w:t>C$8.24</w:t>
            </w:r>
          </w:p>
        </w:tc>
      </w:tr>
      <w:tr>
        <w:trPr>
          <w:trHeight w:val="205"/>
        </w:trPr>
        <w:tc>
          <w:tcPr>
            <w:tcW w:w="2780" w:type="dxa"/>
            <w:vAlign w:val="bottom"/>
          </w:tcPr>
          <w:p>
            <w:pPr>
              <w:jc w:val="center"/>
              <w:ind w:right="108"/>
              <w:spacing w:after="0" w:line="204" w:lineRule="exact"/>
              <w:rPr>
                <w:sz w:val="20"/>
                <w:szCs w:val="20"/>
                <w:color w:val="auto"/>
              </w:rPr>
            </w:pPr>
            <w:r>
              <w:rPr>
                <w:rFonts w:ascii="Times New Roman" w:cs="Times New Roman" w:eastAsia="Times New Roman" w:hAnsi="Times New Roman"/>
                <w:sz w:val="14"/>
                <w:szCs w:val="14"/>
                <w:color w:val="auto"/>
                <w:w w:val="99"/>
              </w:rPr>
              <w:t>October 3, 2025</w:t>
            </w:r>
            <w:r>
              <w:rPr>
                <w:rFonts w:ascii="Times New Roman" w:cs="Times New Roman" w:eastAsia="Times New Roman" w:hAnsi="Times New Roman"/>
                <w:sz w:val="23"/>
                <w:szCs w:val="23"/>
                <w:color w:val="auto"/>
                <w:w w:val="99"/>
                <w:vertAlign w:val="superscript"/>
              </w:rPr>
              <w:t>(7)</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116,859</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C$8.33</w:t>
            </w:r>
          </w:p>
        </w:tc>
      </w:tr>
      <w:tr>
        <w:trPr>
          <w:trHeight w:val="205"/>
        </w:trPr>
        <w:tc>
          <w:tcPr>
            <w:tcW w:w="2780" w:type="dxa"/>
            <w:vAlign w:val="bottom"/>
            <w:shd w:val="clear" w:color="auto" w:fill="E6EFFF"/>
          </w:tcPr>
          <w:p>
            <w:pPr>
              <w:jc w:val="center"/>
              <w:ind w:right="108"/>
              <w:spacing w:after="0" w:line="204" w:lineRule="exact"/>
              <w:rPr>
                <w:sz w:val="20"/>
                <w:szCs w:val="20"/>
                <w:color w:val="auto"/>
              </w:rPr>
            </w:pPr>
            <w:r>
              <w:rPr>
                <w:rFonts w:ascii="Times New Roman" w:cs="Times New Roman" w:eastAsia="Times New Roman" w:hAnsi="Times New Roman"/>
                <w:sz w:val="14"/>
                <w:szCs w:val="14"/>
                <w:color w:val="auto"/>
                <w:w w:val="99"/>
              </w:rPr>
              <w:t>October 6, 2025</w:t>
            </w:r>
            <w:r>
              <w:rPr>
                <w:rFonts w:ascii="Times New Roman" w:cs="Times New Roman" w:eastAsia="Times New Roman" w:hAnsi="Times New Roman"/>
                <w:sz w:val="23"/>
                <w:szCs w:val="23"/>
                <w:color w:val="auto"/>
                <w:w w:val="99"/>
                <w:vertAlign w:val="superscript"/>
              </w:rPr>
              <w:t>(7)</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165,171</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shd w:val="clear" w:color="auto" w:fill="E6EFFF"/>
          </w:tcPr>
          <w:p>
            <w:pPr>
              <w:jc w:val="center"/>
              <w:ind w:right="28"/>
              <w:spacing w:after="0"/>
              <w:rPr>
                <w:sz w:val="20"/>
                <w:szCs w:val="20"/>
                <w:color w:val="auto"/>
              </w:rPr>
            </w:pPr>
            <w:r>
              <w:rPr>
                <w:rFonts w:ascii="Times New Roman" w:cs="Times New Roman" w:eastAsia="Times New Roman" w:hAnsi="Times New Roman"/>
                <w:sz w:val="14"/>
                <w:szCs w:val="14"/>
                <w:color w:val="auto"/>
              </w:rPr>
              <w:t>C$8.42</w:t>
            </w:r>
          </w:p>
        </w:tc>
      </w:tr>
      <w:tr>
        <w:trPr>
          <w:trHeight w:val="205"/>
        </w:trPr>
        <w:tc>
          <w:tcPr>
            <w:tcW w:w="2780" w:type="dxa"/>
            <w:vAlign w:val="bottom"/>
          </w:tcPr>
          <w:p>
            <w:pPr>
              <w:jc w:val="center"/>
              <w:ind w:right="108"/>
              <w:spacing w:after="0" w:line="204" w:lineRule="exact"/>
              <w:rPr>
                <w:sz w:val="20"/>
                <w:szCs w:val="20"/>
                <w:color w:val="auto"/>
              </w:rPr>
            </w:pPr>
            <w:r>
              <w:rPr>
                <w:rFonts w:ascii="Times New Roman" w:cs="Times New Roman" w:eastAsia="Times New Roman" w:hAnsi="Times New Roman"/>
                <w:sz w:val="14"/>
                <w:szCs w:val="14"/>
                <w:color w:val="auto"/>
                <w:w w:val="99"/>
              </w:rPr>
              <w:t>October 8, 2025</w:t>
            </w:r>
            <w:r>
              <w:rPr>
                <w:rFonts w:ascii="Times New Roman" w:cs="Times New Roman" w:eastAsia="Times New Roman" w:hAnsi="Times New Roman"/>
                <w:sz w:val="23"/>
                <w:szCs w:val="23"/>
                <w:color w:val="auto"/>
                <w:w w:val="99"/>
                <w:vertAlign w:val="superscript"/>
              </w:rPr>
              <w:t>(7)</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185,816</w:t>
            </w:r>
          </w:p>
        </w:tc>
        <w:tc>
          <w:tcPr>
            <w:tcW w:w="3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C$8.61</w:t>
            </w:r>
          </w:p>
        </w:tc>
      </w:tr>
      <w:tr>
        <w:trPr>
          <w:trHeight w:val="205"/>
        </w:trPr>
        <w:tc>
          <w:tcPr>
            <w:tcW w:w="2780" w:type="dxa"/>
            <w:vAlign w:val="bottom"/>
            <w:shd w:val="clear" w:color="auto" w:fill="E6EFFF"/>
          </w:tcPr>
          <w:p>
            <w:pPr>
              <w:jc w:val="center"/>
              <w:ind w:right="128"/>
              <w:spacing w:after="0" w:line="204" w:lineRule="exact"/>
              <w:rPr>
                <w:sz w:val="20"/>
                <w:szCs w:val="20"/>
                <w:color w:val="auto"/>
              </w:rPr>
            </w:pPr>
            <w:r>
              <w:rPr>
                <w:rFonts w:ascii="Times New Roman" w:cs="Times New Roman" w:eastAsia="Times New Roman" w:hAnsi="Times New Roman"/>
                <w:sz w:val="14"/>
                <w:szCs w:val="14"/>
                <w:color w:val="auto"/>
                <w:w w:val="98"/>
              </w:rPr>
              <w:t>October 20, 2025</w:t>
            </w:r>
            <w:r>
              <w:rPr>
                <w:rFonts w:ascii="Times New Roman" w:cs="Times New Roman" w:eastAsia="Times New Roman" w:hAnsi="Times New Roman"/>
                <w:sz w:val="23"/>
                <w:szCs w:val="23"/>
                <w:color w:val="auto"/>
                <w:w w:val="98"/>
                <w:vertAlign w:val="superscript"/>
              </w:rPr>
              <w:t>(7)</w:t>
            </w:r>
          </w:p>
        </w:tc>
        <w:tc>
          <w:tcPr>
            <w:tcW w:w="26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364,003</w:t>
            </w:r>
          </w:p>
        </w:tc>
        <w:tc>
          <w:tcPr>
            <w:tcW w:w="32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4"/>
                <w:szCs w:val="14"/>
                <w:color w:val="auto"/>
              </w:rPr>
              <w:t>Common Shares</w:t>
            </w:r>
          </w:p>
        </w:tc>
        <w:tc>
          <w:tcPr>
            <w:tcW w:w="2680" w:type="dxa"/>
            <w:vAlign w:val="bottom"/>
            <w:shd w:val="clear" w:color="auto" w:fill="E6EFFF"/>
          </w:tcPr>
          <w:p>
            <w:pPr>
              <w:jc w:val="center"/>
              <w:ind w:right="28"/>
              <w:spacing w:after="0"/>
              <w:rPr>
                <w:sz w:val="20"/>
                <w:szCs w:val="20"/>
                <w:color w:val="auto"/>
              </w:rPr>
            </w:pPr>
            <w:r>
              <w:rPr>
                <w:rFonts w:ascii="Times New Roman" w:cs="Times New Roman" w:eastAsia="Times New Roman" w:hAnsi="Times New Roman"/>
                <w:sz w:val="14"/>
                <w:szCs w:val="14"/>
                <w:color w:val="auto"/>
              </w:rPr>
              <w:t>C$8.41</w:t>
            </w:r>
          </w:p>
        </w:tc>
      </w:tr>
    </w:tbl>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u w:val="single" w:color="auto"/>
          <w:color w:val="auto"/>
        </w:rPr>
        <w:t>Notes:</w:t>
      </w:r>
    </w:p>
    <w:p>
      <w:pPr>
        <w:spacing w:after="0" w:line="153" w:lineRule="exact"/>
        <w:rPr>
          <w:sz w:val="20"/>
          <w:szCs w:val="20"/>
          <w:color w:val="auto"/>
        </w:rPr>
      </w:pPr>
    </w:p>
    <w:p>
      <w:pPr>
        <w:ind w:left="560" w:hanging="382"/>
        <w:spacing w:after="0"/>
        <w:tabs>
          <w:tab w:leader="none" w:pos="5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figures related to securities are represented on a post-Consolidation basis.</w:t>
      </w:r>
    </w:p>
    <w:p>
      <w:pPr>
        <w:spacing w:after="0" w:line="16" w:lineRule="exact"/>
        <w:rPr>
          <w:rFonts w:ascii="Times New Roman" w:cs="Times New Roman" w:eastAsia="Times New Roman" w:hAnsi="Times New Roman"/>
          <w:sz w:val="17"/>
          <w:szCs w:val="17"/>
          <w:color w:val="auto"/>
        </w:rPr>
      </w:pPr>
    </w:p>
    <w:p>
      <w:pPr>
        <w:ind w:left="520" w:hanging="342"/>
        <w:spacing w:after="0" w:line="237" w:lineRule="auto"/>
        <w:tabs>
          <w:tab w:leader="none" w:pos="54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amounts have been converted from USD to CAD based on the average exchange rate posted by the Bank of Canada for the year ended March 31, 2025, being US$1.00 = C$1.3913.</w:t>
      </w:r>
    </w:p>
    <w:p>
      <w:pPr>
        <w:spacing w:after="0" w:line="1" w:lineRule="exact"/>
        <w:rPr>
          <w:rFonts w:ascii="Times New Roman" w:cs="Times New Roman" w:eastAsia="Times New Roman" w:hAnsi="Times New Roman"/>
          <w:sz w:val="17"/>
          <w:szCs w:val="17"/>
          <w:color w:val="auto"/>
        </w:rPr>
      </w:pPr>
    </w:p>
    <w:p>
      <w:pPr>
        <w:jc w:val="both"/>
        <w:ind w:left="520" w:hanging="342"/>
        <w:spacing w:after="0" w:line="237" w:lineRule="auto"/>
        <w:tabs>
          <w:tab w:leader="none" w:pos="54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issued in connection with the Corporation's 2023 at-the-market equity program (the "</w:t>
      </w:r>
      <w:r>
        <w:rPr>
          <w:rFonts w:ascii="Times New Roman" w:cs="Times New Roman" w:eastAsia="Times New Roman" w:hAnsi="Times New Roman"/>
          <w:sz w:val="17"/>
          <w:szCs w:val="17"/>
          <w:b w:val="1"/>
          <w:bCs w:val="1"/>
          <w:color w:val="auto"/>
        </w:rPr>
        <w:t>2023 ATM Program</w:t>
      </w:r>
      <w:r>
        <w:rPr>
          <w:rFonts w:ascii="Times New Roman" w:cs="Times New Roman" w:eastAsia="Times New Roman" w:hAnsi="Times New Roman"/>
          <w:sz w:val="17"/>
          <w:szCs w:val="17"/>
          <w:color w:val="auto"/>
        </w:rPr>
        <w:t>") which allowed the Corporation to issue and sell up to US$35,000,000 of Common Shares to the public, from time to time, at its discretion. The 2023 ATM Program was qualified by a prospectus supplement dated August 23, 2023.</w:t>
      </w:r>
    </w:p>
    <w:p>
      <w:pPr>
        <w:spacing w:after="0" w:line="2" w:lineRule="exact"/>
        <w:rPr>
          <w:rFonts w:ascii="Times New Roman" w:cs="Times New Roman" w:eastAsia="Times New Roman" w:hAnsi="Times New Roman"/>
          <w:sz w:val="17"/>
          <w:szCs w:val="17"/>
          <w:color w:val="auto"/>
        </w:rPr>
      </w:pPr>
    </w:p>
    <w:p>
      <w:pPr>
        <w:jc w:val="both"/>
        <w:ind w:left="520" w:hanging="342"/>
        <w:spacing w:after="0" w:line="237" w:lineRule="auto"/>
        <w:tabs>
          <w:tab w:leader="none" w:pos="54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issued in connection with the Corporation's 2025 at-the-market equity program (the "</w:t>
      </w:r>
      <w:r>
        <w:rPr>
          <w:rFonts w:ascii="Times New Roman" w:cs="Times New Roman" w:eastAsia="Times New Roman" w:hAnsi="Times New Roman"/>
          <w:sz w:val="17"/>
          <w:szCs w:val="17"/>
          <w:b w:val="1"/>
          <w:bCs w:val="1"/>
          <w:color w:val="auto"/>
        </w:rPr>
        <w:t>2025 ATM Program</w:t>
      </w:r>
      <w:r>
        <w:rPr>
          <w:rFonts w:ascii="Times New Roman" w:cs="Times New Roman" w:eastAsia="Times New Roman" w:hAnsi="Times New Roman"/>
          <w:sz w:val="17"/>
          <w:szCs w:val="17"/>
          <w:color w:val="auto"/>
        </w:rPr>
        <w:t>") which allowed the Corporation to issue and sell up to US$100,000,000 of Common Shares to the public, from time to time, at its discretion. The 2025 ATM Program was qualified by a prospectus supplement dated February 10, 2025.</w:t>
      </w:r>
    </w:p>
    <w:p>
      <w:pPr>
        <w:spacing w:after="0" w:line="2" w:lineRule="exact"/>
        <w:rPr>
          <w:rFonts w:ascii="Times New Roman" w:cs="Times New Roman" w:eastAsia="Times New Roman" w:hAnsi="Times New Roman"/>
          <w:sz w:val="17"/>
          <w:szCs w:val="17"/>
          <w:color w:val="auto"/>
        </w:rPr>
      </w:pPr>
    </w:p>
    <w:p>
      <w:pPr>
        <w:ind w:left="560" w:hanging="382"/>
        <w:spacing w:after="0" w:line="237" w:lineRule="auto"/>
        <w:tabs>
          <w:tab w:leader="none" w:pos="5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Debentures issued in connection with the June 2025 Private Placement.</w:t>
      </w:r>
    </w:p>
    <w:p>
      <w:pPr>
        <w:ind w:left="520" w:hanging="342"/>
        <w:spacing w:after="0" w:line="237" w:lineRule="auto"/>
        <w:tabs>
          <w:tab w:leader="none" w:pos="54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and accrued and unpaid interest, if any, on the Convertible Debentures is convertible into Common Shares at the Conversion Price (as defined in the Securities Purchase Agreement).</w:t>
      </w:r>
    </w:p>
    <w:p>
      <w:pPr>
        <w:spacing w:after="0" w:line="1" w:lineRule="exact"/>
        <w:rPr>
          <w:rFonts w:ascii="Times New Roman" w:cs="Times New Roman" w:eastAsia="Times New Roman" w:hAnsi="Times New Roman"/>
          <w:sz w:val="17"/>
          <w:szCs w:val="17"/>
          <w:color w:val="auto"/>
        </w:rPr>
      </w:pPr>
    </w:p>
    <w:p>
      <w:pPr>
        <w:ind w:left="560" w:hanging="382"/>
        <w:spacing w:after="0" w:line="237" w:lineRule="auto"/>
        <w:tabs>
          <w:tab w:leader="none" w:pos="5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issued on conversion of the Convertible Debentures.</w:t>
      </w:r>
    </w:p>
    <w:p>
      <w:pPr>
        <w:ind w:left="560" w:hanging="382"/>
        <w:spacing w:after="0"/>
        <w:tabs>
          <w:tab w:leader="none" w:pos="5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issued upon exercise of certain options to purchase Common Shares.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3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i w:val="1"/>
          <w:iCs w:val="1"/>
          <w:color w:val="auto"/>
        </w:rPr>
        <w:t>An investment in the Securities is highly speculative and subject to a number of risks. Before deciding whether to invest, investors should consider carefully the risk factors set forth below and in the documents incorporated by reference in the Base Shelf Prospectus and this Prospectus Supplement (including those discussed under the heading "Risk Factors" in the Base Shelf Prospectus, the Corporation's Annual Information Form and the Interim MD&amp;A) and all of the other information in the Prospectus Supplement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Volatile Market Price of the Common Shares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market price of the Common Shares may be volatile and subject to wide fluctuations in response to numerous factors, many of which are beyond the Corporation's control. This volatility may affect the ability of holders of Common Shares to sell their securities at an advantageous price. Market price fluctuations in the Common Shares may be due to the Corporation's operating results failing to meet expectations of securities analysts or investors in any period, downward revision in securities analysts' estimates, adverse changes in general market conditions or economic trends, acquisitions, dispositions or other material public announcements by the Corporation or its competitors, along with a variety of additional factors. These broad market fluctuations may adversely affect the market price of the Common Shares.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80" w:right="319" w:bottom="1440" w:gutter="0" w:footer="0" w:header="0"/>
        </w:sectPr>
      </w:pPr>
    </w:p>
    <w:bookmarkStart w:id="28" w:name="page29"/>
    <w:bookmarkEnd w:id="28"/>
    <w:p>
      <w:pPr>
        <w:jc w:val="both"/>
        <w:spacing w:after="0" w:line="245" w:lineRule="auto"/>
        <w:rPr>
          <w:sz w:val="20"/>
          <w:szCs w:val="20"/>
          <w:color w:val="auto"/>
        </w:rPr>
      </w:pPr>
      <w:r>
        <w:rPr>
          <w:rFonts w:ascii="Times New Roman" w:cs="Times New Roman" w:eastAsia="Times New Roman" w:hAnsi="Times New Roman"/>
          <w:sz w:val="17"/>
          <w:szCs w:val="17"/>
          <w:color w:val="auto"/>
        </w:rPr>
        <w:t>Financial markets have periodically experienced significant price and volume fluctuations that have particularly affected the market prices of equity securities of companies and that have often been unrelated to the operating performance, underlying asset values or prospects of such companies. Accordingly, the market price of the Common Shares may decline even if the Corporation's operating results, underlying asset values or prospects have not changed. Additionally, these factors, as well as other related factors, may cause decreases in asset values that are deemed to be other than temporary, which may result in impairment losses. There can be no assurance that continuing fluctuations in price and volume will not occur. If such increased levels of volatility and market turmoil continue, the Corporation's operations could be adversely impacted and the trading price of the Common Shares may be materially adversely affected.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An Investment in the Securities is Highly Speculative</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An investment in the Securities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Completion of the Offering</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completion of the Offering is subject to the completion of definitive binding documentation and satisfaction of a number of conditions. There can be no certainty that the Offering will be completed.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Negative Operating Cash Flow</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Discretion in the Use of Proceeds</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The Corporation will have discretion concerning the use of the net proceeds of the Offering as well as the timing of their expenditures, and may apply the net proceeds of the Offering in ways other than as described under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As a result, an investor will be relying on the judgment of management for the application of the net proceeds of the Offering. Management may use the net proceeds of the Offering in ways that an investor may not consider desirable. The results and the effectiveness of the application of the net proceeds are uncertain. If the net proceeds are not applied effectively, the Corporation's business, prospects, financial position, financial condition or results of operations may suffer.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Need for Additional Financing</w:t>
      </w:r>
    </w:p>
    <w:p>
      <w:pPr>
        <w:spacing w:after="0" w:line="14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w:t>
      </w:r>
      <w:r>
        <w:rPr>
          <w:rFonts w:ascii="Times New Roman" w:cs="Times New Roman" w:eastAsia="Times New Roman" w:hAnsi="Times New Roman"/>
          <w:sz w:val="17"/>
          <w:szCs w:val="17"/>
          <w:i w:val="1"/>
          <w:iCs w:val="1"/>
          <w:color w:val="auto"/>
        </w:rPr>
        <w:t>See "Risk Factors - Risk Factors Related to the Offering - Negative Operating Cash Flow"</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"Risk Factors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Risk Factors Related to the Offering - Potential Dilution".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color w:val="auto"/>
        </w:rPr>
        <w:t>Potential Dilution</w:t>
      </w:r>
    </w:p>
    <w:p>
      <w:pPr>
        <w:spacing w:after="0" w:line="1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Common Shares.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including as a result of issuances under the Equity Incentive Plan, convertible or exchangeable securities, or other corporate arrangements, including the Corporation’s shareholder rights plan. See </w:t>
      </w:r>
      <w:r>
        <w:rPr>
          <w:rFonts w:ascii="Times New Roman" w:cs="Times New Roman" w:eastAsia="Times New Roman" w:hAnsi="Times New Roman"/>
          <w:sz w:val="17"/>
          <w:szCs w:val="17"/>
          <w:i w:val="1"/>
          <w:iCs w:val="1"/>
          <w:color w:val="auto"/>
        </w:rPr>
        <w:t>“Risk Factors – Risk Factors Related to 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Offering - Potential Need for Additional Financing”.</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On June 30, 2025, the Corporation entered into the Securities Purchase Agreement with a single investor (“</w:t>
      </w:r>
      <w:r>
        <w:rPr>
          <w:rFonts w:ascii="Times New Roman" w:cs="Times New Roman" w:eastAsia="Times New Roman" w:hAnsi="Times New Roman"/>
          <w:sz w:val="17"/>
          <w:szCs w:val="17"/>
          <w:b w:val="1"/>
          <w:bCs w:val="1"/>
          <w:color w:val="auto"/>
        </w:rPr>
        <w:t>High Trail</w:t>
      </w:r>
      <w:r>
        <w:rPr>
          <w:rFonts w:ascii="Times New Roman" w:cs="Times New Roman" w:eastAsia="Times New Roman" w:hAnsi="Times New Roman"/>
          <w:sz w:val="17"/>
          <w:szCs w:val="17"/>
          <w:color w:val="auto"/>
        </w:rPr>
        <w:t>”) in connection with the June 2025 Private Placement of Convertible Debentures. In connection with the Securities Purchase Agreement, the Corporation and High Trail also entered into a registration rights agreement, as amended on August 12, 2025 (the “</w:t>
      </w:r>
      <w:r>
        <w:rPr>
          <w:rFonts w:ascii="Times New Roman" w:cs="Times New Roman" w:eastAsia="Times New Roman" w:hAnsi="Times New Roman"/>
          <w:sz w:val="17"/>
          <w:szCs w:val="17"/>
          <w:b w:val="1"/>
          <w:bCs w:val="1"/>
          <w:color w:val="auto"/>
        </w:rPr>
        <w:t>Registration Rights Agreement</w:t>
      </w:r>
      <w:r>
        <w:rPr>
          <w:rFonts w:ascii="Times New Roman" w:cs="Times New Roman" w:eastAsia="Times New Roman" w:hAnsi="Times New Roman"/>
          <w:sz w:val="17"/>
          <w:szCs w:val="17"/>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17"/>
          <w:szCs w:val="17"/>
          <w:b w:val="1"/>
          <w:bCs w:val="1"/>
          <w:color w:val="auto"/>
        </w:rPr>
        <w:t>Registrable Common Shares</w:t>
      </w:r>
      <w:r>
        <w:rPr>
          <w:rFonts w:ascii="Times New Roman" w:cs="Times New Roman" w:eastAsia="Times New Roman" w:hAnsi="Times New Roman"/>
          <w:sz w:val="17"/>
          <w:szCs w:val="17"/>
          <w:color w:val="auto"/>
        </w:rPr>
        <w:t>”), on the terms of the Securities Purchase Agreement and the Convertible Debentures, at the Conversion Price in the United States. Accordingly, in order to meet its obligations under the Registration Rights Agreement, the Corporation filed a prospectus supplement to permit High Trail to offer up to 20,000,000 Registrable Common Shares for sale or other disposition from time to time in the United States. If all of the Registrable Common Shares are issued and outstanding, they would represent a substantial percentage of the Corporation’s public float and of the outstanding Common Shares. On October 27, 2025, the Corporation delivered notice to High Trail to prepay on or about October 31, 2025 the complete outstanding principal balance and a prepayment premium, and High Trail has agreed that no conversions will be made after receipt of the notice.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There is no assurance that the prepayment will be completed.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Market</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 See </w:t>
      </w:r>
      <w:r>
        <w:rPr>
          <w:rFonts w:ascii="Times New Roman" w:cs="Times New Roman" w:eastAsia="Times New Roman" w:hAnsi="Times New Roman"/>
          <w:sz w:val="17"/>
          <w:szCs w:val="17"/>
          <w:i w:val="1"/>
          <w:iCs w:val="1"/>
          <w:color w:val="auto"/>
        </w:rPr>
        <w:t>"Risk Factors - Risk Factors Related to the Offering - Volatile Market Price of the Common Shares".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Sales of Common Shares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Significant sales of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 See </w:t>
      </w:r>
      <w:r>
        <w:rPr>
          <w:rFonts w:ascii="Times New Roman" w:cs="Times New Roman" w:eastAsia="Times New Roman" w:hAnsi="Times New Roman"/>
          <w:sz w:val="17"/>
          <w:szCs w:val="17"/>
          <w:i w:val="1"/>
          <w:iCs w:val="1"/>
          <w:color w:val="auto"/>
        </w:rPr>
        <w:t>"Risk Factors - Risk Factors Related to the Offering - Need for Additional Financing"</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color w:val="auto"/>
        </w:rPr>
        <w:t>Positive Return Not Guaranteed</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Application and Interpretation of Tax Laws</w:t>
      </w:r>
    </w:p>
    <w:p>
      <w:pPr>
        <w:spacing w:after="0" w:line="1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Listing of the Offered Shares, Warrant Shares and Pre-Funded Warrant Shares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Corporation has applied to list the Offered Shares, Warrant Shares and Pre-Funded Warrant Shares on Cboe Canada and the NYSE American. Any potential listing remains subject to the approval of Cboe Canada and the authorization of the NYSE American and the satisfaction of all applicable regulatory requirements. No assurance can be given that the application will be approved.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Enforcement of Civil Liabilities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17"/>
          <w:szCs w:val="17"/>
          <w:i w:val="1"/>
          <w:iCs w:val="1"/>
          <w:color w:val="auto"/>
        </w:rPr>
        <w:t>Enforcement of Civil Liabilities by U.S. Investors</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Corporation expects to be a "passive foreign investment company", which may have adverse U.S. federal income tax consequences for U.S. Holders</w:t>
      </w:r>
    </w:p>
    <w:p>
      <w:pPr>
        <w:spacing w:after="0" w:line="14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1" w:name="page32"/>
    <w:bookmarkEnd w:id="31"/>
    <w:p>
      <w:pPr>
        <w:jc w:val="both"/>
        <w:spacing w:after="0"/>
        <w:rPr>
          <w:sz w:val="20"/>
          <w:szCs w:val="20"/>
          <w:color w:val="auto"/>
        </w:rPr>
      </w:pPr>
      <w:r>
        <w:rPr>
          <w:rFonts w:ascii="Times New Roman" w:cs="Times New Roman" w:eastAsia="Times New Roman" w:hAnsi="Times New Roman"/>
          <w:sz w:val="17"/>
          <w:szCs w:val="17"/>
          <w:color w:val="auto"/>
        </w:rPr>
        <w:t>Based on current business plans and financial expectations, the Corporation expects to be classified as a PFIC (as defined herein) for its current tax year and may be a PFIC in future tax years. If the Corporation is classified as a PFIC for any tax year during a U.S. Holder’s (as defined herein) holding period of Offered Shares, Warrants, Pre-Funded Warrants, Pre-Funded Warrant Shares or Warrant Shares, then such U.S. Holder generally will be required to treat any gain realized upon a disposition of Offered Shares, Warrants, Pre-Funded Warrants, Pre-Funded Warrant Shares or Warrant Shares, any so-called “excess distribution” received on its Offered Shares, Pre-Funded Warrants, Pre-Funded Warrant Shares or Warrant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(as defined herein) with respect to the Corporation or a Mark-to-Market Election (as defined herein) with respect to the Offered Shares, Pre-Funded Warrant Shares or Warrant Shares.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QEF Election will not be effective with respect to the Warrants and may not be treated as timely with respect to the Warrant Shares or Pre-Funded Warrant Shares. A U.S. Holder who makes the Mark-to-Market Election generally must include as ordinary income each year the excess of the fair market value of the Common Shares over the U.S. Holder’s adjusted basis therein. A U.S. Holder generally may not make a Mark-to-Market Election with respect to the Pre-Funded Warrants or Warrants. This paragraph is qualified in its entirety by the discussion below under the heading “</w:t>
      </w:r>
      <w:r>
        <w:rPr>
          <w:rFonts w:ascii="Times New Roman" w:cs="Times New Roman" w:eastAsia="Times New Roman" w:hAnsi="Times New Roman"/>
          <w:sz w:val="17"/>
          <w:szCs w:val="17"/>
          <w:i w:val="1"/>
          <w:iCs w:val="1"/>
          <w:color w:val="auto"/>
        </w:rPr>
        <w:t>Certain United States Federal Income Tax Considerations to U.S. Holders — Passive Foreign Investment Company Rules</w:t>
      </w:r>
      <w:r>
        <w:rPr>
          <w:rFonts w:ascii="Times New Roman" w:cs="Times New Roman" w:eastAsia="Times New Roman" w:hAnsi="Times New Roman"/>
          <w:sz w:val="17"/>
          <w:szCs w:val="17"/>
          <w:color w:val="auto"/>
        </w:rPr>
        <w:t>.” Each potential investor who is a U.S. Holder should consult its own tax advisor regarding the tax consequences of the PFIC rules and the acquisition, ownership, and disposition of the Offered Shares, Warrants, Pre-Funded Warrants, Pre-Funded Warrant Shares or Warrant Shares.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Speculative Nature of the Pre-Funded Warrants and Warrants</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Except for the right to participate in certain dividends and distributions with respect to the Pre-Funded Warrants, neither the Pre-Funded Warrants nor the Warrants confer any rights of Common Share ownership on their holders, such as voting rights, but rather merely represent the right to acquire Pre-Funded Warrant Shares and Warrant Shares, respectively, at a fixed price until fully exercised. Upon exercise of the Pre-Funded Warrants or Warrants, as applicable, such holders will be entitled to exercise the rights of a Common Share holder only as to matters for which the record date occurs after the exercise date. Moreover, following completion of the Offering, the market value of the Pre-Funded Warrants and Warrants, if any, is uncertain and there can be no assurance that the market value of the Pre-Funded Warrants and Warrants will equal or exceed their imputed offering price. There can be no assurance that the market price of the Pre-Funded Warrant Shares and Warrant Shares will ever equal or exceed the exercise price of the Pre-Funded Warrants and Warrants, respectively, and consequently, whether it will ever be profitable for holders of the Pre-Funded Warrants or Warrants to exercise the Pre-Funded Warrants or Warrants, as applicable.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 Public Market for the Warrants and the Pre-Funded Warrants are Not Transferable</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Pre-Funded Warrants are not transferable and there is no existing trading market for the Warrants and there can be no assurance that a liquid market will develop or be maintained for the Warrants or that an investor will be able to sell any of the Warrants at a particular time (if at all). In addition, the Corporation does not intend to list the Pre-Funded Warrants or the Warrants on Cboe Canada or the NYSE American or any other national securities exchange or nationally recognized trading system. Without an active trading market, the liquidity of the Warrants will be limited.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 Guarantee of Receipt of Additional Funds Upon the Exercise of the Pre-Funded Warrants</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Each Pre-Funded Warrant will be exercisable from the date of issuance until fully exercised, and may be exercised by means of a cashless exercise, meaning that the holder may not pay a cash purchase price upon exercise, but instead would receive upon such exercise the net number of Common Shares determined according to the formula set forth in the Pre-Funded Warrant Certificate. Accordingly, the Corporation may not receive any additional funds upon the exercise of the Pre-Funded Warrants.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Holders or Beneficial Holders of Common Shares May not be Permitted to Exercise Pre-Funded Warrants or Warrants</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2" w:name="page33"/>
    <w:bookmarkEnd w:id="32"/>
    <w:p>
      <w:pPr>
        <w:jc w:val="both"/>
        <w:spacing w:after="0" w:line="243" w:lineRule="auto"/>
        <w:rPr>
          <w:sz w:val="20"/>
          <w:szCs w:val="20"/>
          <w:color w:val="auto"/>
        </w:rPr>
      </w:pPr>
      <w:r>
        <w:rPr>
          <w:rFonts w:ascii="Times New Roman" w:cs="Times New Roman" w:eastAsia="Times New Roman" w:hAnsi="Times New Roman"/>
          <w:sz w:val="17"/>
          <w:szCs w:val="17"/>
          <w:color w:val="auto"/>
        </w:rPr>
        <w:t>A holder of a Pre-Funded Warrant or Warrant will not be entitled to exercise any portion of any Pre-Funded Warrant or Warrant, which, upon giving effect to such exercise, would cause the aggregate number of Common Shares beneficially owned by the holder (together with its affiliates) to exceed 4.99% or 9.99%, as elected by the holder, of the number of Common Shares outstanding immediately after giving effect to the exercise, as such percentage ownership is determined in accordance with the terms of the Pre-Funded Warrants and Warrants, unless such percentage is increased upon at least 61 days' prior notice, but not in excess of 19.99%. As a result, a holder may not be able to exercise the Pre-Funded Warrants or Warrants for Common Shares at a time when it would be financially beneficial to do so. In such circumstance, the holder could seek to sell the Pre-Funded Warrants or Warrants to realize value, but may be unable to do so in the absence of an established trading market for the Pre-Funded Warrants or Warrants.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 Risk</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of the date of this Prospectus Supplement, no litigation or class proceedings have been commenced or certified. The Corporation is aware that certain U.S. plaintiff law firms have announced that they are investigating the Corporation following the Corporation's news release dated September 2, 2025, announcing the resignation of the Corporation's former chief executive officer. Should any litigation or class actions that the Corporation becomes involved in be unable to be resolved favourably or if any claims or litigation are determined against the Corporation, the Corporation's financial position, operating results and the trading price of the Common Shares could be materially adversely affected.</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faces the risk of various claims, legal proceedings, and class actions. Such actions could result in liabilities or necessitate operational changes, negatively impacting results. Even favorable resolutions can divert resources, generate substantial legal costs, and harm reputation.</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 may be exposed to securities class action investigations or proceedings, especially following share price volatility or public disclosures. These proceedings could allege violations of securities laws or misrepresentations. Defending such claims are potentially costly and time-consuming and may lead to significant monetary judgments, settlements, or regulatory penalties. Any liability exceeding insurance coverage could materially and adversely affect the Corporation's business, financial condition, and results.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CANADIAN INCOME TAX CONSIDERATIONS</w:t>
      </w:r>
    </w:p>
    <w:p>
      <w:pPr>
        <w:spacing w:after="0" w:line="1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following is, as of the date of this Prospectus Supplement, a summary of the principal Canadian federal income tax considerations under the Tax Act, generally applicable to the acquisition, holding and disposition of Offered Shares, Warrants, Warrant Shares, Pre-Funded Warrants and Pre-Funded Warrant Shares by a holder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who acquires, as beneficial owner, Offered Shares or Pre-Funded Warrants pursuant to this Prospectus Supplement, or acquires Warrant Shares upon the exercise of the Warrants or Pre-Funded Warrant Shares upon the exercise of the Pre-Funded Warrants. For the purposes of this summary, the term "Common Shares" shall also include the Offered Shares and any Warrant Shares or Pre-Funded Warrant Shares acquired upon the exercise of the Warrants or Pre-Funded Warrants, as applicable, unless the context otherwise requires. This summary is applicable to a Holder who, for the purposes of the Tax Act and at all relevant times, holds the Offered Shares, including any Warrant Shares acquired on the exercise of the Warrants, Pre-Funded Warrant Shares acquired on the exercise of the Pre-Funded Warrants, and Warrants or Pre-Funded Warrants as capital property and deals at arm's length and is not affiliated with the Corporation, the Placement Agents and any subsequent purchaser of such securities. Generally, the Common Shares, Warrants and Pre-Funded Warrants will be considered to be capital property to a Holder, provided the Holder does not hold or use the Common Shares, Warrants and Pre-Funded Warrants in the course of carrying on a business of trading or dealing in securities and such Holder has not acquired them in one or more transactions considered to be an adventure or concern in the nature of trade.</w:t>
      </w:r>
    </w:p>
    <w:p>
      <w:pPr>
        <w:spacing w:after="0" w:line="1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This summary is not applicable to a Holder: (i) that is a "financial institution", as defined in the Tax Act, for the purposes of the "mark-to-market rules" in the Tax Act, (ii) that is a "specified financial institution", as defined in the Tax Act; (iii) an interest in which is a "tax shelter investment" as defined in the Tax Act; (iv) that has elected to determine its Canadian tax results in a "functional currency" other than the Canadian dollar; (v) that has entered into or will enter into a "derivative forward agreement" or a "synthetic disposition arrangement", as those terms are defined in the Tax Act, with respect to the Common Shares or Pre-Funded Warrants; or (vi) that receives dividends on the Common Shares under or as part of a "dividend rental arrangement", as defined in the Tax Act. Such Holders should consult their own tax advisors with respect to an investment in the Common Shares. In addition, this summary does not address the deductibility of interest by a Holder who has borrowed money or otherwise incurred debt in connection with the acquisition of the Common Shares or Pre-Funded Warrants.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 w:name="page34"/>
    <w:bookmarkEnd w:id="33"/>
    <w:p>
      <w:pPr>
        <w:jc w:val="both"/>
        <w:spacing w:after="0" w:line="247" w:lineRule="auto"/>
        <w:rPr>
          <w:sz w:val="20"/>
          <w:szCs w:val="20"/>
          <w:color w:val="auto"/>
        </w:rPr>
      </w:pPr>
      <w:r>
        <w:rPr>
          <w:rFonts w:ascii="Times New Roman" w:cs="Times New Roman" w:eastAsia="Times New Roman" w:hAnsi="Times New Roman"/>
          <w:sz w:val="17"/>
          <w:szCs w:val="17"/>
          <w:color w:val="auto"/>
        </w:rPr>
        <w:t>Additional considerations, not discussed herein, may be applicable to a Holder that is a corporation resident in Canada, and is, or becomes, or does not deal at arm's length for purposes of the Tax Act with a corporation resident in Canada that is or becomes, as part of a transaction or event or series of transactions or events that includes the acquisition of Common Shares, Warrants or Pre-Funded Warrants, controlled by a non-resident person, or group of non-resident persons that do not deal at arm's length with each other, for purposes of the "foreign affiliate dumping" rules in section 212.3 of the Tax Act. Such Holders should consult their tax advisors.</w:t>
      </w:r>
    </w:p>
    <w:p>
      <w:pPr>
        <w:spacing w:after="0" w:line="3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17"/>
          <w:szCs w:val="17"/>
          <w:b w:val="1"/>
          <w:bCs w:val="1"/>
          <w:color w:val="auto"/>
        </w:rPr>
        <w:t>CRA</w:t>
      </w:r>
      <w:r>
        <w:rPr>
          <w:rFonts w:ascii="Times New Roman" w:cs="Times New Roman" w:eastAsia="Times New Roman" w:hAnsi="Times New Roman"/>
          <w:sz w:val="17"/>
          <w:szCs w:val="17"/>
          <w:color w:val="auto"/>
        </w:rPr>
        <w:t xml:space="preserve">"). This summary takes into account all specific proposals to amend the Tax Act and the regulations thereunder publicly announced by or on behalf of the </w:t>
      </w:r>
      <w:r>
        <w:rPr>
          <w:rFonts w:ascii="Times New Roman" w:cs="Times New Roman" w:eastAsia="Times New Roman" w:hAnsi="Times New Roman"/>
          <w:sz w:val="17"/>
          <w:szCs w:val="17"/>
          <w:i w:val="1"/>
          <w:iCs w:val="1"/>
          <w:color w:val="auto"/>
        </w:rPr>
        <w:t>Minister of Finance</w:t>
      </w:r>
      <w:r>
        <w:rPr>
          <w:rFonts w:ascii="Times New Roman" w:cs="Times New Roman" w:eastAsia="Times New Roman" w:hAnsi="Times New Roman"/>
          <w:sz w:val="17"/>
          <w:szCs w:val="17"/>
          <w:color w:val="auto"/>
        </w:rPr>
        <w:t xml:space="preserve"> (Canada) prior to the date hereof (the "</w:t>
      </w:r>
      <w:r>
        <w:rPr>
          <w:rFonts w:ascii="Times New Roman" w:cs="Times New Roman" w:eastAsia="Times New Roman" w:hAnsi="Times New Roman"/>
          <w:sz w:val="17"/>
          <w:szCs w:val="17"/>
          <w:b w:val="1"/>
          <w:bCs w:val="1"/>
          <w:color w:val="auto"/>
        </w:rPr>
        <w:t>Tax Proposals</w:t>
      </w:r>
      <w:r>
        <w:rPr>
          <w:rFonts w:ascii="Times New Roman" w:cs="Times New Roman" w:eastAsia="Times New Roman" w:hAnsi="Times New Roman"/>
          <w:sz w:val="17"/>
          <w:szCs w:val="17"/>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3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b w:val="1"/>
          <w:bCs w:val="1"/>
          <w:color w:val="auto"/>
        </w:rPr>
        <w:t>This summary is not exhaustive of all possible Canadian federal income tax considerations applicable to a Holder in respect of the transactions described herein. The income or other tax consequences will vary depending on the particular circumstances of the Holder, including the province or provinces in which the Holder resides or carries on business. Accordingly, this summary is of a general nature only and is not intended to be, nor should it be construed to be, legal or tax advice or representations to any particular Holder. Moreover, no advance income tax ruling has been applied for or obtained from the CRA to confirm the tax consequences of any of the transactions described herein. Holders should consult their own legal and tax advisors for advice with respect to the tax consequences of an investment in the Common Shares or Pre-Funded Warrants based on their particular circumstances.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Currency Conversion</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Subject to certain exceptions that are not discussed herein, for the purposes of the Tax Act, all amounts relating to the acquisition, holding or disposition of Common Shares, Warrants or Pre-Funded Warrants (including dividends, adjusted cost base and proceeds of disposition) must be expressed in Canadian dollars. Amounts denominated any other currency must generally be converted into Canadian dollars based on the single daily exchange rate as quoted by the Bank of Canada on the date such amounts arise or such other rate of exchange as is acceptable to the </w:t>
      </w:r>
      <w:r>
        <w:rPr>
          <w:rFonts w:ascii="Times New Roman" w:cs="Times New Roman" w:eastAsia="Times New Roman" w:hAnsi="Times New Roman"/>
          <w:sz w:val="17"/>
          <w:szCs w:val="17"/>
          <w:i w:val="1"/>
          <w:iCs w:val="1"/>
          <w:color w:val="auto"/>
        </w:rPr>
        <w:t>Minister of National Revenue</w:t>
      </w:r>
      <w:r>
        <w:rPr>
          <w:rFonts w:ascii="Times New Roman" w:cs="Times New Roman" w:eastAsia="Times New Roman" w:hAnsi="Times New Roman"/>
          <w:sz w:val="17"/>
          <w:szCs w:val="17"/>
          <w:color w:val="auto"/>
        </w:rPr>
        <w:t xml:space="preserve"> (Canada).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of Common Shares and Pre-Funded Warrants</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When Common Shares (including an Offered Share, a Warrant Share or a Pre-Funded Warrant Share), Warrants or Pre-Funded Warrants are acquired by a Holder who already owns Common Shares, Warrants or Pre-Funded Warrants, the cost of newly acquired Common Shares, Warrants or Pre-Funded Warrants will be averaged with the adjusted cost base of all Common Shares, Warrants or Pre-Funded Warrants, respectively, owned by the Holder as capital property before that time for the purpose of determining the Holder's adjusted cost base of all Common Shares, Warrants or Pre-Funded Warrants, as the case may be, held by such person.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Exercise of Warrants and Pre-Funded Warrants</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No gain or loss will be realized by a Holder on the exercise of a Warrant or a Pre-Funded Warrant to acquire a Common Share. When a Warrant or a Pre-Funded Warrant is exercised, the Holder's cost of the Common Share acquired thereby will be equal to the aggregate of the Holder's adjusted cost base of such Warrant or Pre-Funded Warrant, as applicable, and the exercise price paid for the Common Share. The Holder's adjusted cost base of the Common Share so acquired will be determined by averaging the cost of the Common Share with the adjusted cost base to the Holder of all Common Shares of the Corporation held as capital property, by the holder, immediately before the acquisition of the Common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of Resident Holders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following portion of this summary applies to Holders who, for the purposes of the Tax Act and any applicable income tax treaty or convention, are or are deemed to be resident in Canada at all relevant times (herein, "</w:t>
      </w:r>
      <w:r>
        <w:rPr>
          <w:rFonts w:ascii="Times New Roman" w:cs="Times New Roman" w:eastAsia="Times New Roman" w:hAnsi="Times New Roman"/>
          <w:sz w:val="17"/>
          <w:szCs w:val="17"/>
          <w:b w:val="1"/>
          <w:bCs w:val="1"/>
          <w:color w:val="auto"/>
        </w:rPr>
        <w:t>Resident Holders</w:t>
      </w:r>
      <w:r>
        <w:rPr>
          <w:rFonts w:ascii="Times New Roman" w:cs="Times New Roman" w:eastAsia="Times New Roman" w:hAnsi="Times New Roman"/>
          <w:sz w:val="17"/>
          <w:szCs w:val="17"/>
          <w:color w:val="auto"/>
        </w:rPr>
        <w:t>"). Certain Resident Holders whose Common Shares might not constitute capital property may, in certain circumstances, be entitled to make an irrevocable election permitted by subsection 39(4) of the Tax Act to have them, and every other "Canadian security" (as defined in the Tax Act) held by such Resident Holder in the taxation year of the election and each subsequent taxation year, be treated as capital property. This election does not apply to Warrants or Pre-Funded Warrants. Resident Holders contemplating making such an election should consult their own tax advisors for advice as to whether it is available and, if available, whether it is advisable in their particular circumstances.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Expiry of Warrants and Pre-Funded Warrants</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Pre-Funded Warrants will not expire. In the case of Warrants, which do have an expiry date (or if the Pre-Funded Warrants do have an expiry date), in the event of the expiry of an unexercised Warrant or Pre-Funded Warrant, the Resident Holder will realize a capital loss equal to the Resident Holder's adjusted cost base of such Warrant or Pre-Funded Warrant, as applicable. The tax treatment of capital gains and losses is discussed in greater detail below under the subheading "</w:t>
      </w:r>
      <w:r>
        <w:rPr>
          <w:rFonts w:ascii="Times New Roman" w:cs="Times New Roman" w:eastAsia="Times New Roman" w:hAnsi="Times New Roman"/>
          <w:sz w:val="17"/>
          <w:szCs w:val="17"/>
          <w:i w:val="1"/>
          <w:iCs w:val="1"/>
          <w:color w:val="auto"/>
        </w:rPr>
        <w:t>Capital Gains and Capital Losses</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A Resident Holder will be required to include in computing income for a taxation year any dividends received, or deemed to be received, in the year by the Resident Holder on the Common Shares. In the case of a Resident Holder that is an individual (other than certain trusts), such dividends will be subject to the gross-up and dividend tax credit rules normally applicable under the Tax Act to "taxable dividends" received from "taxable Canadian corporations" (as defined in the Tax Act), including the enhanced gross-up and dividend tax credit provisions where the Corporation designates the dividend as an "eligible dividend" in accordance with the provisions of the Tax Act. There may be restrictions on the ability of the Corporation to designate any particular dividend as an "eligible dividend".</w:t>
      </w:r>
    </w:p>
    <w:p>
      <w:pPr>
        <w:spacing w:after="0" w:line="3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 dividend received or deemed to be received on the Common Shares held by a Resident Holder that is a corporation must be included in computing its income but will generally be deductible in computing the corporation's taxable income, subject to all of the rules and restrictions under the Tax Act in that regard. In certain circumstances, subsection 55(2) of the Tax Act will treat a taxable dividend received (or deemed to be received) by a Resident Holder that is a corporation as proceeds of disposition or a capital gain. Resident Holders that are corporations should consult their own tax advisors having regard to their own circumstances.</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 Resident Holder that is a "private corporation" or a "subject corporation" (each as defined in the Tax Act), generally will be liable to pay an additional tax (refundable under certain circumstances) under Part IV of the Tax Act on dividends received or deemed to be received on the Common Shares in a year to the extent such dividends are deductible in computing the Resident Holder's taxable income for the year.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color w:val="auto"/>
        </w:rPr>
        <w:t>Disposition of Common Shares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A Resident Holder who disposes, or is deemed to dispose, a Common Share (other than a disposition to the Corporation that is not a sale in the open market in the manner in which shares would normally be purchased by any member of the public in an open market), a Warrant or a Pre-Funded Warrant (other than upon the expiry or exercise thereof) will generally realize a capital gain (or capital loss) equal to the amount, if any, by which the proceeds of disposition, net of any reasonable costs of disposition, exceed (or are exceeded by) the aggregate of the adjusted cost base to the Resident Holder of such Common Shares, Warrants or Pre-Funded Warrants immediately before the disposition or deemed disposition. The taxation of capital gains and losses is generally described below under the heading "</w:t>
      </w:r>
      <w:r>
        <w:rPr>
          <w:rFonts w:ascii="Times New Roman" w:cs="Times New Roman" w:eastAsia="Times New Roman" w:hAnsi="Times New Roman"/>
          <w:sz w:val="17"/>
          <w:szCs w:val="17"/>
          <w:i w:val="1"/>
          <w:iCs w:val="1"/>
          <w:color w:val="auto"/>
        </w:rPr>
        <w:t>Capital Gains and Capital Losses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Gains and Capital Losses</w:t>
      </w:r>
    </w:p>
    <w:p>
      <w:pPr>
        <w:spacing w:after="0" w:line="1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Generally, a Resident Holder is required to include in computing income for a taxation year one-half of the amount of any capital gain (a "</w:t>
      </w:r>
      <w:r>
        <w:rPr>
          <w:rFonts w:ascii="Times New Roman" w:cs="Times New Roman" w:eastAsia="Times New Roman" w:hAnsi="Times New Roman"/>
          <w:sz w:val="17"/>
          <w:szCs w:val="17"/>
          <w:b w:val="1"/>
          <w:bCs w:val="1"/>
          <w:color w:val="auto"/>
        </w:rPr>
        <w:t>taxable capital gain</w:t>
      </w:r>
      <w:r>
        <w:rPr>
          <w:rFonts w:ascii="Times New Roman" w:cs="Times New Roman" w:eastAsia="Times New Roman" w:hAnsi="Times New Roman"/>
          <w:sz w:val="17"/>
          <w:szCs w:val="17"/>
          <w:color w:val="auto"/>
        </w:rPr>
        <w:t>") realized by the Resident Holder in such taxation year. Subject to and in accordance with the rules contained in the Tax Act, a Resident Holder is required to deduct one-half of the amount of any capital loss (an "</w:t>
      </w:r>
      <w:r>
        <w:rPr>
          <w:rFonts w:ascii="Times New Roman" w:cs="Times New Roman" w:eastAsia="Times New Roman" w:hAnsi="Times New Roman"/>
          <w:sz w:val="17"/>
          <w:szCs w:val="17"/>
          <w:b w:val="1"/>
          <w:bCs w:val="1"/>
          <w:color w:val="auto"/>
        </w:rPr>
        <w:t>allowable capital loss</w:t>
      </w:r>
      <w:r>
        <w:rPr>
          <w:rFonts w:ascii="Times New Roman" w:cs="Times New Roman" w:eastAsia="Times New Roman" w:hAnsi="Times New Roman"/>
          <w:sz w:val="17"/>
          <w:szCs w:val="17"/>
          <w:color w:val="auto"/>
        </w:rPr>
        <w:t>") realized in a particular taxation year against taxable capital gains realized by the Resident Holder in the year. Allowable capital losses in excess of taxable capital gains realized in a particular taxation year may be carried back and deducted in any of the three preceding taxation years or carried forward and deducted in any subsequent taxation year against net taxable capital gains realized in such years, to the extent and under the circumstances described in the Tax Act.</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amount of any capital loss realized by a Resident Holder that is a corporation on the disposition or deemed disposition of a Common Share may be reduced by the amount of any dividends received or deemed to have been received by such Resident Holder on such Common Shares (or on a share for which the Common Share has been substituted), to the extent and under the circumstances described in the Tax Act. Similar rules may apply where a Resident Holder that is a corporation is a member of a partnership or a beneficiary of a trust that owns Common Shares. Resident Holders to whom these rules may be relevant should consult their own tax advisors.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 Resident Holder that is throughout the relevant taxation year a "Canadian-controlled private corporation" or, at any time in the year, is or is deemed to be a "substantive CCPC" (each as defined in the Tax Act) may be liable to pay an additional tax (refundable in certain circumstances) on certain investment income, including amounts in respect of net taxable capital gains. Such Resident Holders should consult their own tax advisors.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Minimum Tax</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Capital gains realized (or deemed to be realized) and dividends received (or deemed to be received) by a Resident Holder that is an individual or a trust, other than certain specified trusts, may give rise to alternative minimum tax under the Tax Act. Resident Holders should consult their own tax advisors in this regard.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 of Non-Resident Holders</w:t>
      </w:r>
    </w:p>
    <w:p>
      <w:pPr>
        <w:spacing w:after="0" w:line="14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following portion of this summary is generally applicable to Holders who, at all relevant times, for the purposes of the Tax Act and any applicable income tax treaty and convention, (i) are neither resident nor deemed to be resident in Canada, and (ii) do not and will not use or hold, and are not and will not be deemed to use or hold, the Common Shares, Warrants or Pre-Funded Warrants in the course of business (including an adventure or concern in the nature of trade) carried on or deemed to be carried on in Canada. Holders who meet all of the foregoing requirements are referred to herein as "</w:t>
      </w:r>
      <w:r>
        <w:rPr>
          <w:rFonts w:ascii="Times New Roman" w:cs="Times New Roman" w:eastAsia="Times New Roman" w:hAnsi="Times New Roman"/>
          <w:sz w:val="17"/>
          <w:szCs w:val="17"/>
          <w:b w:val="1"/>
          <w:bCs w:val="1"/>
          <w:color w:val="auto"/>
        </w:rPr>
        <w:t>Non-Resident Holders</w:t>
      </w:r>
      <w:r>
        <w:rPr>
          <w:rFonts w:ascii="Times New Roman" w:cs="Times New Roman" w:eastAsia="Times New Roman" w:hAnsi="Times New Roman"/>
          <w:sz w:val="17"/>
          <w:szCs w:val="17"/>
          <w:color w:val="auto"/>
        </w:rPr>
        <w:t>", and this portion of the summary only addresses such Non-Resident Holders. Special rules, which are not discussed in this summary, may apply to a Non-Resident Holder that is an insurer carrying on, or deemed to carry on, business in Canada and elsewhere or is an "authorized foreign bank" (as defined in the Tax Act). Such Non-Resident Holders should consult their own tax advisors.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4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Dividends paid or credited or deemed to be paid or credited to a Non-Resident Holder by the Corporation on the Common Shares will be subject to Canadian withholding tax at the rate of 25% of the gross amount of the dividend unless such rate is reduced by the terms of an applicable tax treaty or convention between Canada and the country in which the Non-Resident Holder is resident. Under the </w:t>
      </w:r>
      <w:r>
        <w:rPr>
          <w:rFonts w:ascii="Times New Roman" w:cs="Times New Roman" w:eastAsia="Times New Roman" w:hAnsi="Times New Roman"/>
          <w:sz w:val="17"/>
          <w:szCs w:val="17"/>
          <w:i w:val="1"/>
          <w:iCs w:val="1"/>
          <w:color w:val="auto"/>
        </w:rPr>
        <w:t>Canada-United States Tax Convention (1980),</w:t>
      </w:r>
      <w:r>
        <w:rPr>
          <w:rFonts w:ascii="Times New Roman" w:cs="Times New Roman" w:eastAsia="Times New Roman" w:hAnsi="Times New Roman"/>
          <w:sz w:val="17"/>
          <w:szCs w:val="17"/>
          <w:color w:val="auto"/>
        </w:rPr>
        <w:t xml:space="preserve"> as amended (the "</w:t>
      </w:r>
      <w:r>
        <w:rPr>
          <w:rFonts w:ascii="Times New Roman" w:cs="Times New Roman" w:eastAsia="Times New Roman" w:hAnsi="Times New Roman"/>
          <w:sz w:val="17"/>
          <w:szCs w:val="17"/>
          <w:b w:val="1"/>
          <w:bCs w:val="1"/>
          <w:color w:val="auto"/>
        </w:rPr>
        <w:t>Treaty</w:t>
      </w:r>
      <w:r>
        <w:rPr>
          <w:rFonts w:ascii="Times New Roman" w:cs="Times New Roman" w:eastAsia="Times New Roman" w:hAnsi="Times New Roman"/>
          <w:sz w:val="17"/>
          <w:szCs w:val="17"/>
          <w:color w:val="auto"/>
        </w:rPr>
        <w:t>"), the rate of withholding tax on dividends paid or credited to a Non-Resident Holder who is the beneficial owner of the dividends, resident in the U.S. for purposes of the Treaty and entitled to full benefits under the Treaty (a "</w:t>
      </w:r>
      <w:r>
        <w:rPr>
          <w:rFonts w:ascii="Times New Roman" w:cs="Times New Roman" w:eastAsia="Times New Roman" w:hAnsi="Times New Roman"/>
          <w:sz w:val="17"/>
          <w:szCs w:val="17"/>
          <w:b w:val="1"/>
          <w:bCs w:val="1"/>
          <w:color w:val="auto"/>
        </w:rPr>
        <w:t>U.S. Holder</w:t>
      </w:r>
      <w:r>
        <w:rPr>
          <w:rFonts w:ascii="Times New Roman" w:cs="Times New Roman" w:eastAsia="Times New Roman" w:hAnsi="Times New Roman"/>
          <w:sz w:val="17"/>
          <w:szCs w:val="17"/>
          <w:color w:val="auto"/>
        </w:rPr>
        <w:t>") is generally reduced to 15% of the gross amount of the dividends (or 5% in the case of a U.S. Holder that is a company beneficially owning at least 10% of the Corporation's voting shares). Non-Resident Holders should consult their own tax advisors to determine their entitlement to benefits under any applicable tax treaty or convention based on their particular circumstances.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Disposition of Common Shares, Warrants and Pre-Funded Warrants</w:t>
      </w:r>
    </w:p>
    <w:p>
      <w:pPr>
        <w:spacing w:after="0" w:line="14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 Non-Resident Holder generally will not be subject to tax under the Tax Act in respect of a capital gain realized on the disposition or deemed disposition of a Common Share, a Warrant or a Pre-Funded Warrant unless such Common Share, Warrant or Pre-Funded Warrant, as the case may be, constitutes (or is deemed to constitute) "taxable Canadian property" (as defined in the Tax Act) of the Non-Resident Holder at the time of disposition and the gain is not exempt from tax pursuant to the terms of an applicable tax treaty or convention. In addition, capital losses arising on the disposition or deemed disposition of a Common Share, Warrant or a Pre-Funded Warrant will not be recognized under the Tax Act, unless the Common Share constitutes (or is deemed to constitute) "taxable Canadian property" to the Non-Resident Holder thereof for purposes of the Tax Act, and the Non-Resident Holder is not entitled to relief under the terms of an applicable tax treaty.</w:t>
      </w:r>
    </w:p>
    <w:p>
      <w:pPr>
        <w:spacing w:after="0" w:line="1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Provided the Common Shares are listed on a "designated stock exchange", as defined in the Tax Act (which currently includes Cboe Canada and the NYSE American), at the time of disposition or deemed disposition, the Common Shares, Warrants and Pre-Funded Warrants will generally not constitute taxable Canadian property of a Non-Resident Holder at that time unless, at any time during the 60-month period immediately preceding the disposition, the following two conditions are satisfied concurrently: (i) (a) the Non-Resident Holder; (b) persons with whom the Non-Resident Holder did not deal at arm's length; (c) partnerships in which the Non-Resident Holder or a person described in (b) holds a membership interest directly or indirectly through one or more partnerships; or</w:t>
      </w:r>
    </w:p>
    <w:p>
      <w:pPr>
        <w:spacing w:after="0" w:line="2" w:lineRule="exact"/>
        <w:rPr>
          <w:sz w:val="20"/>
          <w:szCs w:val="20"/>
          <w:color w:val="auto"/>
        </w:rPr>
      </w:pPr>
    </w:p>
    <w:p>
      <w:pPr>
        <w:jc w:val="both"/>
        <w:ind w:firstLine="6"/>
        <w:spacing w:after="0" w:line="241" w:lineRule="auto"/>
        <w:tabs>
          <w:tab w:leader="none" w:pos="25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combination of the persons and partnerships described in (a) through (c), owned 25% or more of the issued shares of any class or series of shares of the Corporation; and (ii) more than 50% of the fair market value of the shares of the Corporation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in certain circumstances set out in the Tax Act, the Common Shares, Warrants or Pre-Funded Warrants may be deemed to be taxable Canadian property of a Non-Resident Holder.</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Non-Resident Holders should consult their own tax advisors as to whether their Common Shares, Warrants or Pre-Funded Warrants constitute "taxable Canadian property".</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the event that the Common Shares, Warrants or Pre-Funded Warrants are taxable Canadian property of a Non-Resident Holder, such Non-Resident Holder may be exempt from tax under the Tax Act in respect of any capital gain arising on the disposition of such Common Shares, Warrants or Pre-Funded Warrants by virtue of an applicable income tax treaty or convention. In cases where a Non-Resident Holder disposes, or is deemed to have disposed, Common Shares, Warrants or Pre-Funded Warrants that are, or are deemed to be, taxable Canadian property of that Non-Resident Holder, and the Non-Resident Holder is not entitled to an exemption from tax under the Tax Act or pursuant to the terms of an applicable income tax treaty or convention, the consequences under the heading "</w:t>
      </w:r>
      <w:r>
        <w:rPr>
          <w:rFonts w:ascii="Times New Roman" w:cs="Times New Roman" w:eastAsia="Times New Roman" w:hAnsi="Times New Roman"/>
          <w:sz w:val="17"/>
          <w:szCs w:val="17"/>
          <w:i w:val="1"/>
          <w:iCs w:val="1"/>
          <w:color w:val="auto"/>
        </w:rPr>
        <w:t>Taxation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Resident Holders - Capital Gains and Capital Losses</w:t>
      </w:r>
      <w:r>
        <w:rPr>
          <w:rFonts w:ascii="Times New Roman" w:cs="Times New Roman" w:eastAsia="Times New Roman" w:hAnsi="Times New Roman"/>
          <w:sz w:val="17"/>
          <w:szCs w:val="17"/>
          <w:color w:val="auto"/>
        </w:rPr>
        <w:t>" will generally be applicable to such disposition.</w:t>
      </w:r>
    </w:p>
    <w:p>
      <w:pPr>
        <w:spacing w:after="0" w:line="10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Non-Resident Holders who may hold Common Shares, Warrants or Pre-Funded Warrants as taxable Canadian property should consult their own tax advisors.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CERTAIN UNITED STATES FEDERAL INCOME TAX CONSIDERATIONS TO U.S. HOLDERS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following is a general summary of certain material U.S. federal income tax considerations applicable to a U.S. Holder (as defined below) arising from and relating to the acquisition, ownership and disposition of Offered Shares and Warrants (one Offered Share and 0.35 of one Warrant acquired together pursuant to this Offering is referred to in this summary as an “</w:t>
      </w:r>
      <w:r>
        <w:rPr>
          <w:rFonts w:ascii="Times New Roman" w:cs="Times New Roman" w:eastAsia="Times New Roman" w:hAnsi="Times New Roman"/>
          <w:sz w:val="17"/>
          <w:szCs w:val="17"/>
          <w:b w:val="1"/>
          <w:bCs w:val="1"/>
          <w:color w:val="auto"/>
        </w:rPr>
        <w:t>Offered Share Unit</w:t>
      </w:r>
      <w:r>
        <w:rPr>
          <w:rFonts w:ascii="Times New Roman" w:cs="Times New Roman" w:eastAsia="Times New Roman" w:hAnsi="Times New Roman"/>
          <w:sz w:val="17"/>
          <w:szCs w:val="17"/>
          <w:color w:val="auto"/>
        </w:rPr>
        <w:t>”) or Pre-Funded Warrants and Warrants (one Pre-Funded Warrant and 0.35 of one Warrant acquired together pursuant to this Offering is referred to in this summary as a “</w:t>
      </w:r>
      <w:r>
        <w:rPr>
          <w:rFonts w:ascii="Times New Roman" w:cs="Times New Roman" w:eastAsia="Times New Roman" w:hAnsi="Times New Roman"/>
          <w:sz w:val="17"/>
          <w:szCs w:val="17"/>
          <w:b w:val="1"/>
          <w:bCs w:val="1"/>
          <w:color w:val="auto"/>
        </w:rPr>
        <w:t>Pre-Funded Warrant Unit</w:t>
      </w:r>
      <w:r>
        <w:rPr>
          <w:rFonts w:ascii="Times New Roman" w:cs="Times New Roman" w:eastAsia="Times New Roman" w:hAnsi="Times New Roman"/>
          <w:sz w:val="17"/>
          <w:szCs w:val="17"/>
          <w:color w:val="auto"/>
        </w:rPr>
        <w:t>”), the exercise and disposition of Pre-Funded Warrants, the exercise, disposition and expiration of Warrants, the acquisition, ownership and disposition of Pre-Funded Warrant Shares received upon exercise of the Pre-Funded Warrants, and the acquisition, ownership and disposition of Warrant Shares received upon exercise of the Warrants, in each case as acquired pursuant to this Offering. This summary is for general information purposes only and does not purport to be a complete analysis or listing of all potential U.S. federal income tax considerations that may apply to a U.S. Holder arising from and relating to the acquisition, ownership or disposition of Offered Shares, Pre-Funded Warrants, Warrants, Pre-Funded Warrant Shares or Warrant Shares. In addition, this summary does not take into account the individual facts and circumstances of any particular U.S. Holder that may affect the U.S. federal income tax considerations relevant to such U.S. Holder, including, without limitation, specific tax considerations applicable to a U.S. Holder under an applicable income tax treaty. Accordingly, this summary is not intended to be, and should not be construed as, legal or U.S. federal income tax advice with respect to any particular U.S. Holder. This summary does not address any U.S. federal alternative minimum tax, U.S. federal net investment income tax, U.S. federal estate and gift tax, U.S. state and local tax, or non-U.S. tax considerations applicable to U.S. Holders of the acquisition, ownership or disposition of Offered Shares, Pre-Funded Warrants, Warrants, Pre-Funded Warrant Shares, or Warrant Shares. In addition, except as specifically set forth below, this summary does not discuss applicable income tax reporting requirements. Each prospective U.S. Holder should consult its own tax advisors regarding the U.S. federal, U.S. state and local, and non-U.S. tax considerations relating to the acquisition, ownership and disposition of Offered Shares, Pre-Funded Warrants, Warrants, Pre-Funded Warrant Shares, and Warrant Shares.</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No ruling from the Internal Revenue Service (the "</w:t>
      </w:r>
      <w:r>
        <w:rPr>
          <w:rFonts w:ascii="Times New Roman" w:cs="Times New Roman" w:eastAsia="Times New Roman" w:hAnsi="Times New Roman"/>
          <w:sz w:val="17"/>
          <w:szCs w:val="17"/>
          <w:b w:val="1"/>
          <w:bCs w:val="1"/>
          <w:color w:val="auto"/>
        </w:rPr>
        <w:t>IRS</w:t>
      </w:r>
      <w:r>
        <w:rPr>
          <w:rFonts w:ascii="Times New Roman" w:cs="Times New Roman" w:eastAsia="Times New Roman" w:hAnsi="Times New Roman"/>
          <w:sz w:val="17"/>
          <w:szCs w:val="17"/>
          <w:color w:val="auto"/>
        </w:rPr>
        <w:t>") has been requested, or will be obtained, regarding the U.S. federal income tax considerations applicable to U.S. Holders discussed in this summary.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 There can be no assurance that the IRS will not challenge one or more of the tax consequences described in this summary.</w:t>
      </w:r>
    </w:p>
    <w:p>
      <w:pPr>
        <w:spacing w:after="0" w:line="1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This summary is based on the U.S.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Treasury Regulations (whether final, temporary, or proposed) promulgated under the Code, published rulings of the IRS, published administrative positions of the IRS, the current provisions of the Treaty, and U.S. court decisions that are applicable, and, in each case, as in effect and available, as of the date of this Prospectus Supplement. Any of the authorities on which this summary is based could be changed in a material and adverse manner at any time, and any such change could be applied retroactively. This summary does not discuss the potential effects, whether adverse or beneficial, of any proposed legislation that, if enacted, could be applied on a retroactive or prospective basis.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summary, the term "U.S. Holder" means a beneficial owner of Offered Shares, Pre-Funded Warrants, Warrants, Pre-Funded Warrant Shares 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in each case, as acquired pursuant to this Offering that is for U.S. federal income tax purposes: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a trust that (i) is subject to the primary supervision of a court within the United States and the control of one or more U.S. persons for all substantial decisions or (ii)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color w:val="auto"/>
        </w:rPr>
        <w:t>U.S. Holders Subject to Special U.S. Federal Income Tax Rules Not Addressed</w:t>
      </w:r>
    </w:p>
    <w:p>
      <w:pPr>
        <w:spacing w:after="0" w:line="14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This summary does not address the U.S. federal income tax considerations applicable to U.S. Holders that are subject to special provisions under the Code, including, but not limited to U.S. Holders that: (i) are tax-exempt organizations, qualified retirement plans, individual retirement accounts, or other tax-deferred accounts; (ii) are banks, financial institutions, underwriters, insurance companies, real estate investment trusts, or regulated investment companies; (iii) are broker-dealers, dealers, or traders in securities or currencies that elect to apply a mark-to-market accounting method; (iv) have a "functional currency" other than the U.S. dollar; (v) own Offered Shares, Pre-Funded Warrants, Warrants, Pre-Funded Warrant Shares or Warrant Shares as part of a straddle, hedge, conversion transaction, constructive sale, or other integrated transaction; (vi) acquired Offered Shares, Pre-Funded Warrants, Warrants, Pre-Funded Warrant Shares or Warrant Shares in connection with the exercise or cancellation of employee stock options or otherwise as compensation for services; (vii) hold Offered Shares, Pre-Funded Warrants, Warrants, Pre-Funded Warrant Shares or Warrant Shares other than as a capital asset within the meaning of Section 1221 of the Code (generally, property held for investment purposes); (viii) are subject to special tax accounting rules with respect to the Offered Shares, Pre-Funded Warrants, Warrants, Pre-Funded Warrant Shares or Warrant Shares; (ix) are partnerships, other arrangements classified as partnerships or other "pass-through" entities (and partners or other investors in such partnerships); (x) are S corporations (and shareholders thereof); (xi) are U.S. expatriates or former long-term residents of the United States; (xii) hold Offered Shares, Pre-Funded Warrants, Warrants, Pre-Funded Warrant Shares or Warrant Shares in connection with a trade or business, permanent establishment, or fixed base outside the United States; (xiii) own, have owned or will own (directly, indirectly, or by attribution) 10% or more of the total combined voting power or value of the outstanding shares of the Corporation; or (xiv) are deemed to sell Offered Shares, Pre-Funded Warrants, Warrants, Pre-Funded Warrant Shares or Warrant Shares under the constructive sale provisions of the Code. U.S. Holders that are subject to special provisions under the Code, including, but not limited to, U.S. Holders described immediately above, should consult their own tax advisors regarding the U.S. federal, U.S. state and local, and non-U.S. tax consequences relating to the acquisition, ownership and disposition of Offered Shares, Pre-Funded Warrants, Warrants, Pre-Funded Warrant Shares or Warrant Shares.</w:t>
      </w:r>
    </w:p>
    <w:p>
      <w:pPr>
        <w:spacing w:after="0" w:line="1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If an entity or arrangement that is classified as a partnership (or other "pass-through" entity) for U.S. federal income tax purposes holds Offered Shares, Pre-Funded Warrants, Warrants Pre-Funded Warrant Shares or Warrant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Offered Shares, Pre-Funded Warrants, Warrants, Pre-Funded Warrant Shares or Warrant Shares.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Consequences of the Acquisition of Offered Share Units or Pre-Funded Warrant Units</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For U.S. federal income tax purposes, the acquisition by a U.S. Holder of an Offered Share Unit will be treated as the acquisition of one Offered Share and 0.35 of one Warrant. The purchase price for each Offered Share Unit will be allocated between these two components in proportion to their relative fair market values at the time the Offered Share Unit is purchased by the U.S. Holder. This allocation of the purchase price for each Offered Share Unit will establish a U.S. Holder’s initial tax basis for U.S. federal income tax purposes in the one Offered Share and 0.35 of one Warrant that compose each Offered Share Unit.</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For this purpose, the Corporation will allocate US$5.9373 of the purchase price for the Offered Share Unit to the one Offered Share and US$0.5727 of the purchase price for each Offered Share Unit to the 0.35 of one Warrant. However, the IRS will not be bound by such allocation of the purchase price for the Offered Share Units, and therefore, the IRS or a U.S. court may not respect the allocation set forth above. Each U.S. Holder should consult its own tax advisor regarding the allocation of the purchase price for the Offered Share Units.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9" w:name="page40"/>
    <w:bookmarkEnd w:id="39"/>
    <w:p>
      <w:pPr>
        <w:jc w:val="both"/>
        <w:spacing w:after="0" w:line="246" w:lineRule="auto"/>
        <w:rPr>
          <w:sz w:val="20"/>
          <w:szCs w:val="20"/>
          <w:color w:val="auto"/>
        </w:rPr>
      </w:pPr>
      <w:r>
        <w:rPr>
          <w:rFonts w:ascii="Times New Roman" w:cs="Times New Roman" w:eastAsia="Times New Roman" w:hAnsi="Times New Roman"/>
          <w:sz w:val="17"/>
          <w:szCs w:val="17"/>
          <w:color w:val="auto"/>
        </w:rPr>
        <w:t>For U.S. federal income tax purposes, the acquisition by a U.S. Holder of a Pre-Funded Warrant Unit will be treated as the acquisition of one Pre-Funded Warrant and 0.35 of one Warrant. The purchase price for each Pre-Funded Warrant Unit will be allocated between these two components in proportion to their relative fair market values at the time the Pre-Funded Warrant Unit is purchased by the U.S. Holder. This allocation of the purchase price for each Pre-Funded Warrant Unit will establish a U.S. Holder’s initial tax basis for U.S. federal income tax purposes in the one Pre-Funded Warrant and 0.35 of one Warrant that compose each Pre-Funded Warrant Unit.</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For this purpose, the Corporation will allocate US$5.93729 of the purchase price for the Pre-Funded Warrant Unit to the one Pre-Funded Warrant and US$0.5727 of the purchase price for each Pre-Funded Warrant Unit to the 0.35 of one Warrant. However, the IRS will not be bound by such allocation of the purchase price for the Pre-Funded Warrant Units, and therefore, the IRS or a U.S. court may not respect the allocation set forth above. Each U.S. Holder should consult its own tax advisor regarding the allocation of the purchase price for the Pre-Funded Warrant Units.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Treatment of Pre-Funded Warrants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Although it is not entirely free from doubt, the Corporation believes that a Pre-Funded Warrant should be treated as a separate class of the Corporation's Common Shares for U.S. federal income tax purposes and a U.S. Holder of Pre-Funded Warrants should generally be taxed in the same manner as a holder of Offered Shares except as described below. Accordingly, upon exercise, the holding period of a Pre-Funded Warrant should carry over to the Pre-Funded Warrant Shares received upon exercise. Similarly, the tax basis of the Pre-Funded Warrant should carry over to the Pre-Funded Warrant Shares received upon exercise, increased by the exercise price of US$0.00001 per Pre-Funded Warrant Share (unless exercised on a "cashless" basis), subject to adjustment for any whole Pre-Funded Warrant Share or cash received in lieu of a fractional Pre-Funded Warrant Share.</w:t>
      </w:r>
    </w:p>
    <w:p>
      <w:pPr>
        <w:spacing w:after="0" w:line="1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No fractional Pre-Funded Warrant Shares will be issued pursuant to the exercise of a Pre-Funded Warrant. In lieu of any fractional Pre-Funded Warrant Shares that would otherwise be issuable, the number of Pre-Funded Warrant Shares to be issued shall be rounded up to the next whole number or the Corporation shall pay the holder a cash adjustment in respect of such final fraction in an amount equal to such fraction multiplied by the Pre-Funded Warrant Exercise Price. The U.S. federal income tax consequences of the receipt of such additional fraction of a Pre-Funded Warrant Share are not clear. A U.S. Holder who receives one whole Pre-Funded Warrant Share in lieu of a fractional Pre-Funded Warrant Share may recognize income or gain in an amount not to exceed the excess of the fair market value of such Pre-Funded Warrant Share over the fair market value of the fractional Pre-Funded Warrant Share to which such U.S. Holder was otherwise entitled. A stockholder who receives cash in lieu of a fractional Pre-Funded Warrant Share should generally recognize capital gain or loss equal to the difference between the amount of cash received and the stockholder’s adjusted tax basis allocable to the fractional Pre-Funded Warrant Share. Any capital gain or loss will be treated as long term capital gain or loss if the U.S. Holder’s holding period is longer than one year as of the exercise date. Deductions for capital losses are subject to significant limitations.</w:t>
      </w:r>
    </w:p>
    <w:p>
      <w:pPr>
        <w:spacing w:after="0" w:line="3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However, the characterization of the Pre-Funded Warrants as a separate class of the Corporation's Common Shares, as described above, is not binding on the IRS, and the IRS may treat the Pre-Funded Warrants as warrants to acquire Common Shares. If so, the amount and character of a U.S. Holder's gain with respect to an investment in Pre-Funded Warrants could change, and a U.S. Holder of Pre-Funded Warrants may not be entitled to make an effective "QEF Election", as defined below, to mitigate PFIC consequences in the event that the Corporation is classified as a PFIC. Accordingly, each U.S. Holder should consult its own tax advisor regarding the risks associated with the acquisition of a Pre-Funded Warrant pursuant to this Offering (including potential alternative characterizations). The balance of this discussion generally assumes that the characterization described above is respected for U.S. federal income tax purposes.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Passive Foreign Investment Company Rules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PFIC Status</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If the Corporation were to constitute a "passive foreign investment company" within the meaning of Section 1297(a) of the Code (a "</w:t>
      </w:r>
      <w:r>
        <w:rPr>
          <w:rFonts w:ascii="Times New Roman" w:cs="Times New Roman" w:eastAsia="Times New Roman" w:hAnsi="Times New Roman"/>
          <w:sz w:val="17"/>
          <w:szCs w:val="17"/>
          <w:b w:val="1"/>
          <w:bCs w:val="1"/>
          <w:color w:val="auto"/>
        </w:rPr>
        <w:t>PFIC</w:t>
      </w:r>
      <w:r>
        <w:rPr>
          <w:rFonts w:ascii="Times New Roman" w:cs="Times New Roman" w:eastAsia="Times New Roman" w:hAnsi="Times New Roman"/>
          <w:sz w:val="17"/>
          <w:szCs w:val="17"/>
          <w:color w:val="auto"/>
        </w:rPr>
        <w:t>") for any year during a U.S. Holder's holding period, then certain potentially adverse rules would affect the U.S. federal income tax consequences to a U.S. Holder as a result of the acquisition, ownership and disposition of Offered Shares, Pre-Funded Warrants, Warrants, Pre-Funded Warrant Shares or Warrant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is made following the end of the tax year and depends on the assets and income of such corporation over the course of each such tax year and, as a result, the Corporation's status as a PFIC and the status of any of the Corporation's subsidiaries as a PFIC for the current tax year cannot be predicted with certainty as of the date of this document. Accordingly, there can be no assurance that the IRS will not challenge any determination made by the Corporation (or any subsidiary of the Corporation) concerning its PFIC status. If the Corporation is a PFIC for any tax year (or portion thereof) during which a U.S. Holder holds Offered Shares, Pre-Funded Warrants, Warrants, Pre-Funded Warrant Shares or Warrant Shares, the Corporation will continue to be treated as a PFIC with respect to such U.S. Holder, regardless of whether the Corporation ceases to be a PFIC in one or more subsequent tax years and regardless of whether such U.S. Holder held its Offered Shares, Pre-Funded Warrants, Warrants, Pre-Funded Warrant Shares or Warrant Shares for the entirety of any such tax year (or portion thereof). Each U.S. Holder should consult its own tax advisors regarding the PFIC status of the Corporation and each subsidiary of the Corporation.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 w:name="page41"/>
    <w:bookmarkEnd w:id="40"/>
    <w:p>
      <w:pPr>
        <w:jc w:val="both"/>
        <w:spacing w:after="0" w:line="249" w:lineRule="auto"/>
        <w:rPr>
          <w:sz w:val="20"/>
          <w:szCs w:val="20"/>
          <w:color w:val="auto"/>
        </w:rPr>
      </w:pPr>
      <w:r>
        <w:rPr>
          <w:rFonts w:ascii="Times New Roman" w:cs="Times New Roman" w:eastAsia="Times New Roman" w:hAnsi="Times New Roman"/>
          <w:sz w:val="17"/>
          <w:szCs w:val="17"/>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 generally will be a PFIC if, for a tax year, (i) 75% or more of the gross income of the Corporation is passive income (the "</w:t>
      </w:r>
      <w:r>
        <w:rPr>
          <w:rFonts w:ascii="Times New Roman" w:cs="Times New Roman" w:eastAsia="Times New Roman" w:hAnsi="Times New Roman"/>
          <w:sz w:val="17"/>
          <w:szCs w:val="17"/>
          <w:b w:val="1"/>
          <w:bCs w:val="1"/>
          <w:color w:val="auto"/>
        </w:rPr>
        <w:t>PFIC income test</w:t>
      </w:r>
      <w:r>
        <w:rPr>
          <w:rFonts w:ascii="Times New Roman" w:cs="Times New Roman" w:eastAsia="Times New Roman" w:hAnsi="Times New Roman"/>
          <w:sz w:val="17"/>
          <w:szCs w:val="17"/>
          <w:color w:val="auto"/>
        </w:rPr>
        <w:t>") or</w:t>
      </w:r>
    </w:p>
    <w:p>
      <w:pPr>
        <w:spacing w:after="0" w:line="20" w:lineRule="exact"/>
        <w:rPr>
          <w:sz w:val="20"/>
          <w:szCs w:val="20"/>
          <w:color w:val="auto"/>
        </w:rPr>
      </w:pPr>
    </w:p>
    <w:p>
      <w:pPr>
        <w:jc w:val="both"/>
        <w:ind w:firstLine="6"/>
        <w:spacing w:after="0" w:line="241" w:lineRule="auto"/>
        <w:tabs>
          <w:tab w:leader="none" w:pos="26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17"/>
          <w:szCs w:val="17"/>
          <w:b w:val="1"/>
          <w:bCs w:val="1"/>
          <w:color w:val="auto"/>
        </w:rPr>
        <w:t>PFIC asset test</w:t>
      </w:r>
      <w:r>
        <w:rPr>
          <w:rFonts w:ascii="Times New Roman" w:cs="Times New Roman" w:eastAsia="Times New Roman" w:hAnsi="Times New Roman"/>
          <w:sz w:val="17"/>
          <w:szCs w:val="17"/>
          <w:color w:val="auto"/>
        </w:rPr>
        <w:t>"). "Gross income" generally includes all sales revenues less the cost of goods sold, plus income from investments and from incidental or outside operations or sources, and "passive income" generally includes, for example, dividends, interest, certain rents and royalties, certain gains from the sale of stock and securities, and certain gains from commodities transactions. Cash is generally a passive asset for these purposes.</w:t>
      </w:r>
    </w:p>
    <w:p>
      <w:pPr>
        <w:spacing w:after="0" w:line="3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For purposes of the PFIC income test and PFIC asset test described above, if the Corporation owns, directly or indirectly, 25% or more of the total value of the outstanding shares of another corporation, the Corporation will be treated as if the Corporation (i) held a proportionate share of the assets of such other corporation and (ii)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to the extent such items are properly allocable to the income of such related person that is not passive income.</w:t>
      </w:r>
    </w:p>
    <w:p>
      <w:pPr>
        <w:spacing w:after="0" w:line="1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17"/>
          <w:szCs w:val="17"/>
          <w:b w:val="1"/>
          <w:bCs w:val="1"/>
          <w:color w:val="auto"/>
        </w:rPr>
        <w:t>Subsidiary PFIC</w:t>
      </w:r>
      <w:r>
        <w:rPr>
          <w:rFonts w:ascii="Times New Roman" w:cs="Times New Roman" w:eastAsia="Times New Roman" w:hAnsi="Times New Roman"/>
          <w:sz w:val="17"/>
          <w:szCs w:val="17"/>
          <w:color w:val="auto"/>
        </w:rPr>
        <w:t>"), and will generally be subject to U.S. federal income tax on their proportionate share of (i) any "excess distributions," as described below, on the stock of a Subsidiary PFIC and (ii)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Offered Shares, Pre-Funded Warrants, Warrants, Pre-Funded Warrant Shares or Warrant Shares. Accordingly, U.S. Holders should be aware that they could be subject to tax under the PFIC rules even if no distributions are received and no redemptions or other dispositions of Offered Shares, Pre-Funded Warrants, Warrants, Pre-Funded Warrant Shares or Warrant Shares are made.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Default PFIC Rules Under Section 1291 of the Code</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If the Corporation is a PFIC for any tax year during which a U.S. Holder owns Offered Shares, Pre-Funded Warrants, Warrants, Pre-Funded Warrant Shares or Warrant Shares, the U.S. federal income tax consequences to such U.S. Holder of the acquisition, ownership, and disposition of Offered Shares, Pre-Funded Warrants, Warrants, Pre-Funded Warrant Shares or Warrant Shares will depend on whether such U.S. Holder makes elections to treat the Corporation and each Subsidiary PFIC, if any, as a "qualified electing fund" or "QEF" under Section 1295 of the Code (each, a "</w:t>
      </w:r>
      <w:r>
        <w:rPr>
          <w:rFonts w:ascii="Times New Roman" w:cs="Times New Roman" w:eastAsia="Times New Roman" w:hAnsi="Times New Roman"/>
          <w:sz w:val="17"/>
          <w:szCs w:val="17"/>
          <w:b w:val="1"/>
          <w:bCs w:val="1"/>
          <w:color w:val="auto"/>
        </w:rPr>
        <w:t>QEF Election</w:t>
      </w:r>
      <w:r>
        <w:rPr>
          <w:rFonts w:ascii="Times New Roman" w:cs="Times New Roman" w:eastAsia="Times New Roman" w:hAnsi="Times New Roman"/>
          <w:sz w:val="17"/>
          <w:szCs w:val="17"/>
          <w:color w:val="auto"/>
        </w:rPr>
        <w:t>") for the first taxable year the Corporation or Subsidiary PFIC (as applicable) is a PFIC in which the U.S. Holder holds (or is deemed to hold) Offered Shares, Pre-Funded Warrants, Warrants, Pre-Funded Warrant Shares or Warrant Shares, or a QEF Election together with a "purging" election with respect to such entity, or makes a mark-to-market election under Section 1296 of the Code with respect to the Offered Shares, Pre-Funded Warrant Shares or Warrant Shares (a "</w:t>
      </w:r>
      <w:r>
        <w:rPr>
          <w:rFonts w:ascii="Times New Roman" w:cs="Times New Roman" w:eastAsia="Times New Roman" w:hAnsi="Times New Roman"/>
          <w:sz w:val="17"/>
          <w:szCs w:val="17"/>
          <w:b w:val="1"/>
          <w:bCs w:val="1"/>
          <w:color w:val="auto"/>
        </w:rPr>
        <w:t>Mark-to-Market Election</w:t>
      </w:r>
      <w:r>
        <w:rPr>
          <w:rFonts w:ascii="Times New Roman" w:cs="Times New Roman" w:eastAsia="Times New Roman" w:hAnsi="Times New Roman"/>
          <w:sz w:val="17"/>
          <w:szCs w:val="17"/>
          <w:color w:val="auto"/>
        </w:rPr>
        <w:t>"). A U.S. Holder that does not make either a QEF Election or a Mark-to-Market Election will be referred to in this summary as a "</w:t>
      </w:r>
      <w:r>
        <w:rPr>
          <w:rFonts w:ascii="Times New Roman" w:cs="Times New Roman" w:eastAsia="Times New Roman" w:hAnsi="Times New Roman"/>
          <w:sz w:val="17"/>
          <w:szCs w:val="17"/>
          <w:b w:val="1"/>
          <w:bCs w:val="1"/>
          <w:color w:val="auto"/>
        </w:rPr>
        <w:t>Non-Electing U.S. Holder</w:t>
      </w:r>
      <w:r>
        <w:rPr>
          <w:rFonts w:ascii="Times New Roman" w:cs="Times New Roman" w:eastAsia="Times New Roman" w:hAnsi="Times New Roman"/>
          <w:sz w:val="17"/>
          <w:szCs w:val="17"/>
          <w:color w:val="auto"/>
        </w:rPr>
        <w:t>" and will generally be subject to tax as described below.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1" w:name="page42"/>
    <w:bookmarkEnd w:id="41"/>
    <w:p>
      <w:pPr>
        <w:jc w:val="both"/>
        <w:spacing w:after="0" w:line="243" w:lineRule="auto"/>
        <w:rPr>
          <w:sz w:val="20"/>
          <w:szCs w:val="20"/>
          <w:color w:val="auto"/>
        </w:rPr>
      </w:pPr>
      <w:r>
        <w:rPr>
          <w:rFonts w:ascii="Times New Roman" w:cs="Times New Roman" w:eastAsia="Times New Roman" w:hAnsi="Times New Roman"/>
          <w:sz w:val="17"/>
          <w:szCs w:val="17"/>
          <w:color w:val="auto"/>
        </w:rPr>
        <w:t>A Non-Electing U.S. Holder will be subject to the default rules of Section 1291 of the Code (described below) with respect to: (i) any gain recognized on the sale or other taxable disposition of Offered Shares, Pre-Funded Warrants, Warrants, Pre-Funded Warrant Shares or Warrant Shares (which, subject to the effectiveness of proposed Treasury Regulations, may include gain realized by reason of transfers of Offered Shares, Pre-Funded Warrants, Warrants, Pre-Funded Warrant Shares or Warrant Shares that would otherwise qualify as non-recognition transactions for U.S. federal income tax purposes); and (ii) any "excess distribution" received on the Offered Shares, Pre-Funded Warrants, Pre-Funded Warrant Shares or Warrant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Offered Shares, Pre-Funded Warrants, Warrants, Pre-Funded Warrant Shares or Warrant Shares, if shorter).</w:t>
      </w:r>
    </w:p>
    <w:p>
      <w:pPr>
        <w:spacing w:after="0" w:line="3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Under Section 1291 of the Code, if the Corporation were to constitute a PFIC during a Non-Electing U.S. Holder's holding period, any gain recognized on the sale or other taxable disposition of Offered Shares, Pre-Funded Warrants, Warrants, Pre-Funded Warrant Shares or Warrant Shares (including an indirect disposition of the stock of any Subsidiary PFIC), and any "excess distribution" received on the Offered Shares, Pre-Funded Warrants, Pre-Funded Warrant Shares or Warrant Shares or with respect to the stock of a Subsidiary PFIC, must be ratably allocated to each day in a Non-Electing U.S. Holder's holding period for the respective Offered Shares, Pre-Funded Warrants, Warrants, Pre-Funded Warrant Shares or Warrant Shares. The amount of any such gain or excess distribution allocated to the tax year of disposition or distribution of the excess distribution and to years before the Corporation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If the Corporation ceases to be a PFIC, a Non-Electing U.S. Holder may terminate this deemed PFIC status with respect to the Offered Shares, Pre-Funded Warrants, Pre-Funded Warrant Shares or Warrant Shares by electing to recognize gain (which will be taxed under the default rules of Section 1291 of the Code discussed above), but not loss, as if such Offered Shares, Pre-Funded Warrants, Pre-Funded Warrant Shares or Warrant Shares were sold on the last day of the last tax year for which the Corporation was a PFIC. No such election, however, may be made with respect to the Warrants.</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Under proposed Treasury Regulations, if a U.S. Holder has an option, warrant, or other right to acquire stock of a PFIC (such as the Warrants), such option, warrant or right is considered to be PFIC stock subject to the default rules of Section 1291 of the Code. Under rules described below, the holding period for the Warrant Shares will begin on the date a U.S. Holder acquires the Warrants. This will impact the availability of the QEF Election and Mark-to-Market Election with respect to the Warrant Shares. Thus, a U.S. Holder may have to account for Warrant Shares, Offered Shares, Pre-Funded Warrants and Pre-Funded Warrant Shares under the PFIC rules and the applicable elections differently.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QEF Election</w:t>
      </w:r>
    </w:p>
    <w:p>
      <w:pPr>
        <w:spacing w:after="0" w:line="15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A U.S. Holder that makes a timely and effective QEF Election for the first tax year in which the holding period of its Offered Shares, Pre-Funded Warrants, Pre-Funded Warrant Shares or Warrant Shares begins generally will not be subject to the default rules of Section 1291 of the Code discussed above with respect to its Offered Shares, Pre-Funded Warrants, Pre-Funded Warrant Shares or Warrant Shares. A QEF Election generally will not be effective with respect to the Warrants. A U.S. Holder that makes a timely and effective QEF Election will be subject to U.S. federal income tax on such U.S. Holder's pro rata share of (i) the net capital gain of the Corporation, which will be taxed as long-term capital gain to such U.S. Holder, and (ii) the ordinary earnings of the Corporation, which will be taxed as ordinary income to such U.S. Holder. Generally, "net capital gain" is the excess of (i) net long-term capital gain over (ii) net short-term capital loss, and "ordinary earnings" are the excess of (a) "earnings and profits" over (b)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2" w:name="page43"/>
    <w:bookmarkEnd w:id="42"/>
    <w:p>
      <w:pPr>
        <w:jc w:val="both"/>
        <w:spacing w:after="0" w:line="245" w:lineRule="auto"/>
        <w:rPr>
          <w:sz w:val="20"/>
          <w:szCs w:val="20"/>
          <w:color w:val="auto"/>
        </w:rPr>
      </w:pPr>
      <w:r>
        <w:rPr>
          <w:rFonts w:ascii="Times New Roman" w:cs="Times New Roman" w:eastAsia="Times New Roman" w:hAnsi="Times New Roman"/>
          <w:sz w:val="17"/>
          <w:szCs w:val="17"/>
          <w:color w:val="auto"/>
        </w:rPr>
        <w:t>A U.S. Holder that makes a timely and effective QEF Election with respect to the Corporation generally (i) may receive a tax-free distribution from the Corporation to the extent that such distribution represents "earnings and profits", as computed for U.S. federal income tax purposes, that were previously included in income by the U.S. Holder because of such QEF Election and (ii) will adjust such U.S. Holder's tax basis in the Offered Shares, Pre-Funded Warrants, Pre-Funded Warrant Shares or Warrant Shares to reflect the amount included in income or allowed as a tax-free distribution because of such QEF Election. In addition, a U.S. Holder that makes a timely and effective QEF Election generally will recognize capital gain or loss on the sale or other taxable disposition of the Offered Shares, Pre-Funded Warrants, Pre-Funded Warrant Shares or Warrant Shares, as applicable.</w:t>
      </w:r>
    </w:p>
    <w:p>
      <w:pPr>
        <w:spacing w:after="0" w:line="1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Offered Shares, Pre-Funded Warrants, Pre-Funded Warrant Shares or Warrant Shares in which the Corporation was a PFIC. A U.S. Holder may make a timely QEF Election by filing the appropriate QEF Election documents at the time such U.S. Holder files a timely-filed U.S. federal income tax return for such year. If a U.S. Holder does not make a timely and effective QEF Election for the first year in the U.S. Holder's holding period for the Offered Shares, Pre-Funded Warrants, Pre-Funded Warrant Shares or Warrant Shares, as applicable, the U.S. Holder may still be able to make a timely and effective QEF Election in a subsequent year if such U.S. Holder meets certain requirements and makes a "purging" election to recognize gain (which will be taxed under the default rules of Section 1291 of the Code discussed above) as if such Offered Shares, Pre-Funded Warrants, Pre-Funded Warrant Shares or Warrant Shares, as applicable,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Offered Shares, Pre-Funded Warrants, Pre-Funded Warrant Shares and Warrant Shares, as applicable. If a U.S. Holder makes a "purging" election, the U.S. Holder will have additional basis (to the extent of any gain recognized on the deemed sale) and, solely for purposes of the PFIC rules, a new holding period in the Offered Shares, Pre-Funded Warrants, Pre-Funded Warrant Shares or Warrant Shares, as applicable. If a U.S. Holder owns PFIC stock indirectly through another PFIC, separate QEF Elections must be made for the PFIC in which the U.S. Holder is a direct shareholder and the Subsidiary PFIC for the QEF rules to apply to both PFICs.</w:t>
      </w:r>
    </w:p>
    <w:p>
      <w:pPr>
        <w:spacing w:after="0" w:line="1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 QEF Election is made on a shareholder-by-shareholder basis and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again in a later tax year, the QEF Election will still be effective and the U.S. Holder will be subject to the QEF rules described above during any subsequent tax year in which the Corporation qualifies as a PFIC.</w:t>
      </w:r>
    </w:p>
    <w:p>
      <w:pPr>
        <w:spacing w:after="0" w:line="1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discussed above, under proposed Treasury Regulations, if a U.S. Holder has an option, warrant or other right to acquire stock of a PFIC (such as the Warrants), such option, warrant or right is considered to be PFIC stock subject to the default rules of Section 1291 of the Code. However, a U.S. Holder of an option, warrant or other right to acquire stock of a PFIC may not make a QEF Election that will apply to the option, warrant or other right to acquire PFIC stock. In addition, under proposed Treasury Regulations, if a U.S. Holder holds an option, warrant or other right to acquire stock of a PFIC, the holding period with respect to shares of stock of the PFIC acquired upon exercise of such option, warrant or other right will include the period that the option, warrant or other right was held.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3" w:name="page44"/>
    <w:bookmarkEnd w:id="43"/>
    <w:p>
      <w:pPr>
        <w:jc w:val="both"/>
        <w:spacing w:after="0" w:line="242" w:lineRule="auto"/>
        <w:rPr>
          <w:sz w:val="20"/>
          <w:szCs w:val="20"/>
          <w:color w:val="auto"/>
        </w:rPr>
      </w:pPr>
      <w:r>
        <w:rPr>
          <w:rFonts w:ascii="Times New Roman" w:cs="Times New Roman" w:eastAsia="Times New Roman" w:hAnsi="Times New Roman"/>
          <w:sz w:val="17"/>
          <w:szCs w:val="17"/>
          <w:color w:val="auto"/>
        </w:rPr>
        <w:t>Consequently, if a U.S. Holder of Offered Shares, Pre-Funded Warrants or Pre-Funded Warrant Shares makes a QEF Election, such election would not apply with respect to the Warrants and, under the proposed Treasury Regulations, may not be treated as a timely QEF Election with respect to the Warrant Shares, unless the Warrant Shares are acquired in the same tax year as the Warrants, and the rules of Section 1291 of the Code discussed above will continue to apply with respect to such U.S. Holder’s Warrant Shares. However, a U.S. Holder of Warrant Shares should be eligible to make a timely QEF Election if such U.S. Holder makes a “purging” or “deemed sale” election to recognize gain (which will be taxed under the default rules of Section 1291 of the Code discussed above) as if such Warrant Shares were sold for their fair market value on the day the QEF Election is effective. As a result of the “purging” or “deemed sale” election, the U.S. Holder will have a new basis and holding period in the Warrant Shares acquired upon the exercise of the Warrants for purposes of the PFIC rules. In addition, gain recognized on the sale or other taxable disposition (other than by exercise) of the Warrants by a U.S. Holder will be subject to the default rules of Section 1291 of the Code discussed above.</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 U.S. Holder makes a QEF Election by attaching a completed IRS Form 8621, including a PFIC Annual Information Statement, to a timely-filed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default rules of Section 1291 of the Code discussed above that apply to Non-Electing U.S. Holders with respect to the taxation of gains and excess distributions. Retroactive QEF elections generally may be made only by filing a protective statement with such return and if certain other conditions are met or with the consent of the IRS.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For each tax year that the Corporation qualifies as a PFIC, the Corporation: (i) intends to make publicly available to U.S. Holders, upon their written request, a "PFIC Annual Information Statement" for the Corporation as described in Treasury Regulations Section 1.1295-1(g) (or any successor Treasury Regulation), and</w:t>
      </w:r>
    </w:p>
    <w:p>
      <w:pPr>
        <w:jc w:val="both"/>
        <w:ind w:firstLine="6"/>
        <w:spacing w:after="0"/>
        <w:tabs>
          <w:tab w:leader="none" w:pos="26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be able to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Mark-to-Market Election</w:t>
      </w:r>
    </w:p>
    <w:p>
      <w:pPr>
        <w:spacing w:after="0" w:line="1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A U.S. Holder may make a Mark-to-Market Election with respect to Common Shares only if the Common Shares are marketable stock. The Offered Shares, Pre-Funded Warrant Shares or Warrant Shares, as applicable, generally will be "marketable stock" if the Offered Shares, Pre-Funded Warrant Shares or Warrant Shares, as applicable, are regularly traded on (i) a national securities exchange that is registered with the SEC, (ii) the national market system established pursuant to section 11A of the Exchange Act, or (iii) a foreign securities exchange that is regulated or supervised by a governmental authority of the country in which the market is located, provided that (a)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(b)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 A Mark-to-Market Election will likely not be available with respect to the Pre-Funded Warrants or Warrants.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4" w:name="page45"/>
    <w:bookmarkEnd w:id="44"/>
    <w:p>
      <w:pPr>
        <w:jc w:val="both"/>
        <w:spacing w:after="0" w:line="246" w:lineRule="auto"/>
        <w:rPr>
          <w:sz w:val="20"/>
          <w:szCs w:val="20"/>
          <w:color w:val="auto"/>
        </w:rPr>
      </w:pPr>
      <w:r>
        <w:rPr>
          <w:rFonts w:ascii="Times New Roman" w:cs="Times New Roman" w:eastAsia="Times New Roman" w:hAnsi="Times New Roman"/>
          <w:sz w:val="17"/>
          <w:szCs w:val="17"/>
          <w:color w:val="auto"/>
        </w:rPr>
        <w:t>A U.S. Holder that makes a Mark-to-Market Election with respect to its Common Shares generally will not be subject to the default rules of Section 1291 of the Code discussed above with respect to such Offered Shares, Pre-Funded Warrant Shares and/or Warrant Shares, as applicable. However, if a U.S. Holder does not make a Mark-to-Market Election beginning in the first tax year of such U.S. Holder's holding period for the Common Shares for which the Corporation is a PFIC and such U.S. Holder has not made a timely QEF Election, the default rules of Section 1291 of the Code discussed above will apply to certain dispositions of, and distributions on, the Offered Shares, Pre-Funded Warrant Shares or Warrant Shares, as applicable.</w:t>
      </w:r>
    </w:p>
    <w:p>
      <w:pPr>
        <w:spacing w:after="0" w:line="1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Any Mark-to-Market Election made by a U.S. Holder for the Common Shares will also apply to such U.S. Holder's Pre-Funded Warrant Shares and Warrant Shares. As a result, if a Mark-to-Market Election has been made by a U.S. Holder with respect to the Common Shares, any Pre-Funded Warrant Shares or Warrant Shares received will automatically be marked-to-market in the year of exercise of the Pre-Funded Warrants or Warrants, as applicable. Because, under the proposed Treasury Regulations, a U.S. Holder's holding period for Pre-Funded Warrant Shares or Warrant Shares, as applicable, includes the period during which such U.S. Holder held the Pre-Funded Warrants or Warrants, as applicable, a U.S. Holder will be treated as making a Mark-to-Market Election with respect to its Pre-Funded Warrant Shares or Warrant Shares, as applicable, after the beginning of such U.S. Holder's holding period for the Pre-Funded Warrant Shares or Warrant Shares unless the Pre-Funded Warrant Shares or Warrant Shares are acquired in the same tax year as the year in which the U.S. Holder acquired its Pre-Funded Warrants or Warrants, as applicable. Consequently, the default rules under Section 1291 of the Code described above generally will apply to the mark-to-market gain realized in the tax year in which Pre-Funded Warrant Shares are received upon exercise of the Pre-Funded Warrants or Warrant Shares are received upon the exercise of the Warrants, as applicable. However, the general mark-to-market rules will apply to subsequent tax years.</w:t>
      </w:r>
    </w:p>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 U.S. Holder that makes a Mark-to-Market Election will include in ordinary income, for each tax year in which the Corporation is a PFIC, an amount equal to the excess, if any, of (i) the fair market value of the Offered Shares, Pre-Funded Warrant Shares or Warrant Shares, as applicable, as of the close of such tax year over</w:t>
      </w:r>
    </w:p>
    <w:p>
      <w:pPr>
        <w:jc w:val="both"/>
        <w:ind w:firstLine="6"/>
        <w:spacing w:after="0" w:line="242" w:lineRule="auto"/>
        <w:tabs>
          <w:tab w:leader="none" w:pos="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U.S. Holder's adjusted tax basis in such Offered Shares, Pre-Funded Warrant Shares or Warrant Shares, as applicable. A U.S. Holder that makes a Mark-to-Market Election will be allowed a deduction in an amount equal to the excess, if any, of (i) such U.S. Holder's adjusted tax basis in the Offered Shares, Pre-Funded Warrant Shares or Warrant Shares, as applicable, over (ii) the fair market value of such Offered Shares, Pre-Funded Warrant Shares or Warrant Shares, as applicable (but only to the extent of the net amount of previously included income as a result of the Mark-to-Market Election for prior tax years).</w:t>
      </w:r>
    </w:p>
    <w:p>
      <w:pPr>
        <w:spacing w:after="0" w:line="1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A U.S. Holder that makes a Mark-to-Market Election generally also will adjust such U.S. Holder's tax basis in the Offered Shares, Pre-Funded Warrant Shares or Warrant Shares, as applicable, to reflect the amount included in gross income or allowed as a deduction because of such Mark-to-Market Election. In addition, upon a sale or other taxable disposition of Offered Shares, Pre-Funded Warrant Shares or Warrant Shares, as applicable, a U.S. Holder that makes a Mark-to-Market Election will recognize ordinary income or ordinary loss (not to exceed the excess, if any, of (i) the amount included in ordinary income because of such Mark-to-Market Election for prior tax years over (ii) the amount allowed as a deduction because of such Mark-to-Market Election for prior tax years). Losses that exceed this limitation are subject to the rules generally applicable to losses provided in the Code and Treasury Regulations. These amounts of ordinary income would not be eligible for the preferential tax rates applicable to qualified dividend income or long-term capital gains.</w:t>
      </w:r>
    </w:p>
    <w:p>
      <w:pPr>
        <w:spacing w:after="0" w:line="1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 U.S. Holder makes a Mark-to-Market Election by attaching a completed IRS Form 8621 to a timely filed United States federal income tax return. A timely Mark-to-Market Election applies to the tax year in which such Mark-to-Market Election is made and to each subsequent tax year, unless the Offered Shares, Pre-Funded Warrant Shares or Warrant Shares, as applicable, cease to be "marketable stock" or the IRS consents to revocation of such election. Each U.S. Holder should consult its own tax advisors regarding the availability of, and procedure for making, a Mark-to-Market Election.</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Although a U.S. Holder may be eligible to make a Mark-to-Market Election with respect to the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color w:val="auto"/>
        </w:rPr>
        <w:t>Other PFIC Rules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Under Section 1291 of the Code, the IRS has issued proposed Treasury Regulations that would impact certain consequences of the application of the PFIC regime to U.S. Holders. Among other consequences, and subject to certain exceptions, such proposed Treasury Regulations would cause a U.S. Holder that had not made a timely QEF Election to recognize gain (but not loss) upon certain transfers of Offered Shares, Pre-Funded Warrants, Warrants, Pre-Funded Warrant Shares or Warrant Shares that would otherwise be tax-deferred (e.g., gifts and exchanges pursuant to corporate reorganizations). However, the specific U.S. federal income tax consequences to a U.S. Holder may vary based on the manner in which Offered Shares, Pre-Funded Warrants, Warrants, Pre-Funded Warrant Shares or Warrant Shares are transferred.</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been promulgated and which, when promulgated, may have retroactive effect. U.S. Holders should consult their own tax advisors about the potential applicability of the proposed Treasury Regulations.</w:t>
      </w:r>
    </w:p>
    <w:p>
      <w:pPr>
        <w:spacing w:after="0" w:line="1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Certain additional adverse rules may apply with respect to a U.S. Holder if the Corporation is a PFIC, regardless of whether such U.S. Holder makes a QEF Election. For example, under Section 1298(b)(6) of the Code, a U.S. Holder that uses Offered Shares, Pre-Funded Warrants, Warrants, Pre-Funded Warrant Shares or Warrant Shares as security for a loan will, except as may be provided in Treasury Regulations, be treated as having made a taxable disposition of such Offered Shares, Pre-Funded Warrants, Warrants Pre-Funded Warrant Shares or Warrant Shares.</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a U.S. Holder who acquires Offered Shares, Pre-Funded Warrants, Warrants, Pre-Funded Warrant Shares or Warrant Shares from a decedent will not receive a "step up" in tax basis of such Offered Shares, Pre-Funded Warrants, Warrants, Pre-Funded Warrant Shares or Warrant Shares to fair market value unless such decedent had a timely and effective QEF Election in place.</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PFIC rules are complex, and each U.S. Holder should consult its own tax advisors regarding the PFIC rules and how the PFIC rules may affect the U.S. federal income tax consequences of the acquisition, ownership, and disposition of Offered Shares, Pre-Funded Warrants, Warrants, Pre-Funded Warrant Shares or Warrant Shares.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Consequences of the Exercise, Disposition or Expiration of Warrants</w:t>
      </w:r>
    </w:p>
    <w:p>
      <w:pPr>
        <w:spacing w:after="0" w:line="15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following discussion describes the general rules applicable to the ownership and disposition of the Warrants, but is subject in its entirety to the special rules described above under the heading "Passive Foreign Investment Company Rules."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Exercise of Warrants</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A U.S. Holder should not recognize gain or loss on the exercise of a Warrant and related receipt of a Warrant Share (unless cash is received in lieu of the issuance of a fractional Warrant Share). A U.S. Holder's initial tax basis in the Warrant Share received on the exercise of a Warrant should be equal to the sum of (a) such U.S. Holder's tax basis in such Warrant plus (b) the exercise price paid by such U.S. Holder on the exercise of such Warrant. It is unclear whether a U.S. Holder's holding period for the Warrant Share received on the exercise of a Warrant would commence on the date of exercise of the Warrant or the day following the date of exercise of the Warrant. If the Corporation is a PFIC, a U.S. Holder's holding period for the Warrant Share for PFIC purposes will begin on the date on which such U.S. Holder acquired its Warrant.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6" w:name="page47"/>
    <w:bookmarkEnd w:id="46"/>
    <w:p>
      <w:pPr>
        <w:jc w:val="both"/>
        <w:spacing w:after="0" w:line="249" w:lineRule="auto"/>
        <w:rPr>
          <w:sz w:val="20"/>
          <w:szCs w:val="20"/>
          <w:color w:val="auto"/>
        </w:rPr>
      </w:pPr>
      <w:r>
        <w:rPr>
          <w:rFonts w:ascii="Times New Roman" w:cs="Times New Roman" w:eastAsia="Times New Roman" w:hAnsi="Times New Roman"/>
          <w:sz w:val="17"/>
          <w:szCs w:val="17"/>
          <w:color w:val="auto"/>
        </w:rPr>
        <w:t>In certain limited circumstances, a U.S. Holder may be permitted to undertake a cashless exercise of Warrants into Warrant Shares. The U.S. federal income tax treatment of a cashless exercise of Warrants into Warrant Shares is unclear, and the tax consequences of a cashless exercise could differ from the consequences upon the exercise of a Warrant described in the preceding paragraph. U.S. Holders should consult their own tax advisors regarding the U.S. federal income tax consequences of a cashless exercise of Warrants.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Disposition of Warrants</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 U.S. Holder will recognize gain or loss on the sale or other taxable disposition of a Warrant in an amount equal to the difference, if any, between (a) the amount of cash plus the fair market value of any property received and (b) such U.S. Holder's tax basis in the Warrant sold or otherwise disposed of. Subject to the PFIC rules discussed above, any such gain or loss generally will be a capital gain or loss, which will be long-term capital gain or loss if the Warrant is held for longer than one year. Deductions for capital losses are subject to complex limitations under the Code.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Expiration of Warrants Without Exercise</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Upon the lapse or expiration of a Warrant, a U.S. Holder will recognize a loss in an amount equal to such U.S. Holder's tax basis in the Warrant. Any such loss generally will be a capital loss and will be long-term capital loss if the Warrants are held for more than one year. Deductions for capital losses are subject to complex limitations under the Code.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Certain Adjustments to the Warrants</w:t>
      </w:r>
    </w:p>
    <w:p>
      <w:pPr>
        <w:spacing w:after="0" w:line="1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Under Section 305 of the Code, an adjustment to the number of Warrant Shares that will be issued on the exercise of the Warrants, or an adjustment to the exercise price of the Warrants, may be treated as a constructive distribution to a U.S. Holder of the Warrants if, and to the extent that, such adjustment has the effect of increasing such U.S. Holder's proportionate interest in the "earnings and profits" or the Corporation's assets, depending on the circumstances of such adjustment (for example, if such adjustment is to compensate for a distribution of cash or other property to the shareholders). Adjustments to the exercise price of Warrants made pursuant to a bona fide reasonable adjustment formula that has the effect of preventing dilution of the interest of the holders of the Warrants should generally not be considered to result in a constructive distribution. Any such constructive distribution would be taxable whether or not there is an actual distribution of cash or other property. (See more detailed discussion of the rules applicable to distributions made by the Corporation at "Distributions on Offered Shares, Pre-Funded Warrants, Pre-Funded Warrant Shares and Warrant Shares" below).</w:t>
      </w:r>
    </w:p>
    <w:p>
      <w:pPr>
        <w:spacing w:after="0" w:line="1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b w:val="1"/>
          <w:bCs w:val="1"/>
          <w:color w:val="auto"/>
        </w:rPr>
        <w:t>General Rules Applicable to the Acquisition, Ownership and Disposition of Offered Shares, Pre-Funded Warrants, Pre-Funded Warrant Shares and Warrant Shares</w:t>
      </w:r>
    </w:p>
    <w:p>
      <w:pPr>
        <w:spacing w:after="0" w:line="91" w:lineRule="exact"/>
        <w:rPr>
          <w:sz w:val="20"/>
          <w:szCs w:val="20"/>
          <w:color w:val="auto"/>
        </w:rPr>
      </w:pPr>
    </w:p>
    <w:p>
      <w:pPr>
        <w:ind w:right="1300"/>
        <w:spacing w:after="0" w:line="409" w:lineRule="auto"/>
        <w:rPr>
          <w:sz w:val="20"/>
          <w:szCs w:val="20"/>
          <w:color w:val="auto"/>
        </w:rPr>
      </w:pPr>
      <w:r>
        <w:rPr>
          <w:rFonts w:ascii="Times New Roman" w:cs="Times New Roman" w:eastAsia="Times New Roman" w:hAnsi="Times New Roman"/>
          <w:sz w:val="17"/>
          <w:szCs w:val="17"/>
          <w:color w:val="auto"/>
        </w:rPr>
        <w:t xml:space="preserve">The following discussion is subject, in its entirety, to the rules described above under the heading "Passive Foreign Investment Company Rules". </w:t>
      </w:r>
      <w:r>
        <w:rPr>
          <w:rFonts w:ascii="Times New Roman" w:cs="Times New Roman" w:eastAsia="Times New Roman" w:hAnsi="Times New Roman"/>
          <w:sz w:val="17"/>
          <w:szCs w:val="17"/>
          <w:i w:val="1"/>
          <w:iCs w:val="1"/>
          <w:color w:val="auto"/>
        </w:rPr>
        <w:t>Distributions on Offered Shares, Pre-Funded Warrants, Pre-Funded Warrant Shares and Warrant Shares</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A U.S. Holder that receives a distribution, including a constructive distribution of cash or other property (other than certain distributions of Common Shares or rights to acquire Common Shares), with respect to an Offered Share, Pre-Funded Warrant, Pre-Funded Warrant Share or Warrant Share will be required to include the amount of such distribution in gross income as a dividend (without reduction for any Canadian income tax withheld from such distribution) to the extent of the current and accumulated "earnings and profits" of the Corporation, as computed under U.S. federal income tax principles. A dividend generally will be taxed to a U.S. Holder at ordinary income tax rates (rather than preferential rates for qualified dividend income to the extent otherwise applicable)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the U.S. Holder's adjusted tax basis in the Offered Shares, Pre-Funded Warrants, Pre-Funded Warrant Shares or Warrant Shares, as applicable, and thereafter as gain from the sale or exchange of such Offered Shares, Pre-Funded Warrants, Pre-Funded Warrant Shares or Warrant Shares, as applicable (see the section below entitled "</w:t>
      </w:r>
      <w:r>
        <w:rPr>
          <w:rFonts w:ascii="Times New Roman" w:cs="Times New Roman" w:eastAsia="Times New Roman" w:hAnsi="Times New Roman"/>
          <w:sz w:val="17"/>
          <w:szCs w:val="17"/>
          <w:i w:val="1"/>
          <w:iCs w:val="1"/>
          <w:color w:val="auto"/>
        </w:rPr>
        <w:t>Sale or Other Taxable Disposition of Offered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Shares, Pre-Funded Warrants, Pre-Funded Warrant Shares and Warrant Shares</w:t>
      </w:r>
      <w:r>
        <w:rPr>
          <w:rFonts w:ascii="Times New Roman" w:cs="Times New Roman" w:eastAsia="Times New Roman" w:hAnsi="Times New Roman"/>
          <w:sz w:val="17"/>
          <w:szCs w:val="17"/>
          <w:color w:val="auto"/>
        </w:rPr>
        <w:t>"). However, the Corporation does not intend to maintain calculations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earnings and profits in accordance with U.S. federal income tax principles, and each U.S. Holder should therefore assume that any distribution by the Corporation with respect to the Offered Shares, Pre-Funded Warrants, Pre-Funded Warrant Shares or Warrant Shares will constitute dividend income. Dividends received on the Offered Shares, Pre-Funded Warrants, Pre-Funded Warrant Shares or Warrant Shares by corporate U.S. Holders generally will not be eligible for the "dividends received deduction" generally allowed to domestic corporations in respect of dividends received from other domestic corporations. Subject to applicable limitations and provided the Corporation is eligible for the benefits of the Treaty or the Offered Shares, Pre-Funded Warrant Shares or Warrant Shares, as applicable, are readily tradable on an established securities market in the United States,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advisors regarding the application of such rules.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color w:val="auto"/>
        </w:rPr>
        <w:t>Sale or Other Taxable Disposition of Offered Shares, Pre-Funded Warrants, Pre-Funded Warrant Shares and Warrant Shares</w:t>
      </w:r>
    </w:p>
    <w:p>
      <w:pPr>
        <w:spacing w:after="0" w:line="14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Upon the sale or other taxable disposition of the Offered Shares, Pre-Funded Warrants, Pre-Funded Warrant Shares or Warrant Shares, a U.S. Holder generally will recognize capital gain or loss in an amount equal to the difference, if any, between (i) the U.S. dollar value of cash received plus the fair market value of any property received and (ii) such U.S. Holder's adjusted tax basis in such Offered Shares, Pre-Funded Warrants, Pre-Funded Warrant Shares or Warrant Shares sold or otherwise disposed of. A U.S. Holder's tax basis in Offered Shares, Pre-Funded Warrants, Pre-Funded Warrant Shares or Warrant Shares generally will be such U.S. Holder's U.S. dollar cost for such Offered Shares, Pre-Funded Warrants, Pre-Funded Warrant Shares or Warrant Shares, as applicable. Any such gain or loss generally will be capital gain or loss, which will be long-term capital gain or loss if, at the time of the sale or other disposition, the Offered Shares, Pre-Funded Warrants, Pre-Funded Warrant Shares or Warrant Shares have been held for longer than one year.</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Receipt of Foreign Currency</w:t>
      </w:r>
    </w:p>
    <w:p>
      <w:pPr>
        <w:spacing w:after="0" w:line="1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amount of any distribution paid to a U.S. Holder in foreign currency, or on the sale, exchange or other taxable disposition of Offered Shares, Pre-Funded Warrants, Pre-Funded Warrant Shares or Warrant Shares, generally will be equal to the U.S. dollar value of such foreign currency based on the exchange rate applicable on the date of receipt or, if applicable, the date of settlement if the Offered Shares, Pre-Funded Warrant Shares or Warrant Shares, as applicable, are traded on an established securities market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Tax Credit</w:t>
      </w:r>
    </w:p>
    <w:p>
      <w:pPr>
        <w:spacing w:after="0" w:line="1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Dividends paid on the Offered Shares, Pre-Funded Warrants, Pre-Funded Warrant Shares or Warrant Shares (or constructive dividends on the Warrants) will be treated as foreign-source income, and generally will be treated as "passive category income" or "general category income" for U.S. foreign tax credit purposes. Any gain or loss recognized on a sale or other disposition of Offered Shares, Pre-Funded Warrants, Warrants, Pre-Funded Warrant Shares or Warrant Shares generally will be U.S.-source gain or loss. Certain U.S. Holders that are eligible for the benefits of the Treaty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17"/>
          <w:szCs w:val="17"/>
          <w:b w:val="1"/>
          <w:bCs w:val="1"/>
          <w:color w:val="auto"/>
        </w:rPr>
        <w:t>Foreign Tax Credit Regulations</w:t>
      </w:r>
      <w:r>
        <w:rPr>
          <w:rFonts w:ascii="Times New Roman" w:cs="Times New Roman" w:eastAsia="Times New Roman" w:hAnsi="Times New Roman"/>
          <w:sz w:val="17"/>
          <w:szCs w:val="17"/>
          <w:color w:val="auto"/>
        </w:rPr>
        <w:t>") impose additional requirements for Canadian withholding taxes to be eligible for a foreign tax credit, and there can be no assurance that those requirements will be satisfied. The Treasury Department has released guidance temporarily pausing the application of certain of the Foreign Tax Credit Regulations.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8" w:name="page49"/>
    <w:bookmarkEnd w:id="48"/>
    <w:p>
      <w:pPr>
        <w:jc w:val="both"/>
        <w:spacing w:after="0" w:line="243" w:lineRule="auto"/>
        <w:rPr>
          <w:sz w:val="20"/>
          <w:szCs w:val="20"/>
          <w:color w:val="auto"/>
        </w:rPr>
      </w:pPr>
      <w:r>
        <w:rPr>
          <w:rFonts w:ascii="Times New Roman" w:cs="Times New Roman" w:eastAsia="Times New Roman" w:hAnsi="Times New Roman"/>
          <w:sz w:val="17"/>
          <w:szCs w:val="17"/>
          <w:color w:val="auto"/>
        </w:rPr>
        <w:t>Subject to the PFIC rules and the Foreign Tax Credit Regulations, each as discussed above, a U.S. Holder that pays (whether directly or through withholding) Canadian income tax with respect to dividends paid on the Offered Shares, Pre-Funded Warrants, Pre-Funded Warrant Shares or Warrant Shares (or constructive dividends on the Warrants)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advisors regarding the foreign tax credit rules.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Backup Withholding and Information Reporting</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Offered Shares, Pre-Funded Warrants, Pre-Funded Warrant Shares or Warrant Shares, as applicable,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Payments made within the U.S. or by a U.S. payor or U.S. middleman, of dividends on, and proceeds arising from the sale or other taxable disposition of Offered Shares, Pre-Funded Warrants, Pre-Funded Warrant Shares or Warrant Shares, as applicable, will generally be subject to information reporting and backup withholding tax, currently at a rate of 24%, if a U.S. Holder (i) fails to furnish such U.S. Holder's correct U.S. taxpayer identification number (generally on IRS Form W-9), (ii) furnishes an incorrect U.S. taxpayer identification number, (iii) is notified by the IRS that such U.S. Holder has previously failed to properly report items subject to backup withholding tax, or (iv)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generally will be allowed as a credit against a U.S. Holder's U.S. federal income tax liability, if any, or will be refunded, if such U.S. Holder furnishes required information to the IRS in a timely manner.</w:t>
      </w:r>
    </w:p>
    <w:p>
      <w:pPr>
        <w:spacing w:after="0" w:line="1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advisors regarding the information reporting and backup withholding rules.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9" w:name="page50"/>
    <w:bookmarkEnd w:id="49"/>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THE ABOVE SUMMARY IS NOT INTENDED TO CONSTITUTE A COMPLETE ANALYSIS OF ALL TAX CONSIDERATIONS APPLICABLE TO U.S. HOLDERS WITH RESPECT TO THE ACQUISITION, OWNERSHIP AND DISPOSITION OF OFFERED SHARES, PRE-FUNDED WARRANTS, WARRANTS, PRE-FUNDED WARRANT SHARES OR WARRANT SHARES. U.S. HOLDERS SHOULD CONSULT THEIR OWN TAX ADVISORS AS TO THE TAX CONSIDERATIONS APPLICABLE TO THEM IN LIGHT OF THEIR OWN PARTICULAR CIRCUMSTANCES.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Certain legal matters relating to the Offering and the validity of the Securities offered hereby are being passed upon on behalf of the Corporation by Aird &amp; Berlis LLP, as Canadian counsel to the Corporation, and Dorsey &amp; Whitney LLP, as U.S. counsel to the Corporation, and on behalf of the Placement Agents by Bennett Jones LLP, as Canadian counsel to the Placement Agents, and Davis Polk &amp; Wardwell LLP, as U.S. counsel to the Placement Agents.</w:t>
      </w:r>
    </w:p>
    <w:p>
      <w:pPr>
        <w:spacing w:after="0" w:line="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As of the date of this Prospectus Supplement, the "designated professionals" (as such term is defined in Form 51-102F2 - </w:t>
      </w:r>
      <w:r>
        <w:rPr>
          <w:rFonts w:ascii="Times New Roman" w:cs="Times New Roman" w:eastAsia="Times New Roman" w:hAnsi="Times New Roman"/>
          <w:sz w:val="17"/>
          <w:szCs w:val="17"/>
          <w:i w:val="1"/>
          <w:iCs w:val="1"/>
          <w:color w:val="auto"/>
        </w:rPr>
        <w:t>Annual Information Form</w:t>
      </w:r>
      <w:r>
        <w:rPr>
          <w:rFonts w:ascii="Times New Roman" w:cs="Times New Roman" w:eastAsia="Times New Roman" w:hAnsi="Times New Roman"/>
          <w:sz w:val="17"/>
          <w:szCs w:val="17"/>
          <w:color w:val="auto"/>
        </w:rPr>
        <w:t>) of each of Aird &amp; Berlis LLP and Bennett Jones LLP, respectively, beneficially own, directly or indirectly, less than 1% of the outstanding securities of the Corporation.</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AUDITORS, TRANSFER AGENT AND REGISTRAR</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of its "designated professionals" (as such term is defined in Form 51-102F2 - </w:t>
      </w:r>
      <w:r>
        <w:rPr>
          <w:rFonts w:ascii="Times New Roman" w:cs="Times New Roman" w:eastAsia="Times New Roman" w:hAnsi="Times New Roman"/>
          <w:sz w:val="17"/>
          <w:szCs w:val="17"/>
          <w:i w:val="1"/>
          <w:iCs w:val="1"/>
          <w:color w:val="auto"/>
        </w:rPr>
        <w:t>Annual Information Form</w:t>
      </w:r>
      <w:r>
        <w:rPr>
          <w:rFonts w:ascii="Times New Roman" w:cs="Times New Roman" w:eastAsia="Times New Roman" w:hAnsi="Times New Roman"/>
          <w:sz w:val="17"/>
          <w:szCs w:val="17"/>
          <w:color w:val="auto"/>
        </w:rPr>
        <w:t>), had any registered or beneficial interest in any securities or other property of the Corporation at the time they audited the relevant financial statements incorporated by reference in this Prospectus Supplement or at any time thereafter.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registrar and transfer agent of the Common Shares is Odyssey Trust Company at its principal office in Calgary, Alberta.</w:t>
      </w:r>
    </w:p>
    <w:p>
      <w:pPr>
        <w:spacing w:after="0" w:line="13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ENFORCEMENT OF CIVIL LIABILITIES BY U.S. INVESTORS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Corporation is a corporation existing under the OBCA. Other than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Securities who reside in the United States to effect service within the United States upon those directors, officers and experts who are not residents of the United States. It may also be difficult for holders of the Securities who reside in the United States to realize upon judgments of courts of the United States predicated upon the Corporation's civil liability and the civil liability of its directors, officers and experts under the United States federal securities laws or "Blue Sky" laws of any state within the United States.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 or "Blue Sky" laws of any state within the United States.</w:t>
      </w:r>
    </w:p>
    <w:p>
      <w:pPr>
        <w:spacing w:after="0" w:line="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 filed with the SEC, concurrently with the Registration Statement, an appointment of agent for service of process on Form F-X. Under the Form F-X, the Corporation appointed CT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Securities under this Prospectus Supplement and the accompanying Base Shelf Prospectus.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0" w:name="page51"/>
    <w:bookmarkEnd w:id="50"/>
    <w:p>
      <w:pPr>
        <w:jc w:val="both"/>
        <w:spacing w:after="0" w:line="250" w:lineRule="auto"/>
        <w:rPr>
          <w:sz w:val="20"/>
          <w:szCs w:val="20"/>
          <w:color w:val="auto"/>
        </w:rPr>
      </w:pPr>
      <w:r>
        <w:rPr>
          <w:rFonts w:ascii="Times New Roman" w:cs="Times New Roman" w:eastAsia="Times New Roman" w:hAnsi="Times New Roman"/>
          <w:sz w:val="17"/>
          <w:szCs w:val="17"/>
          <w:i w:val="1"/>
          <w:iCs w:val="1"/>
          <w:color w:val="FF0000"/>
        </w:rPr>
        <w:t>This short form prospectus is a base shelf prospectus. 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17"/>
          <w:szCs w:val="17"/>
          <w:i w:val="1"/>
          <w:iCs w:val="1"/>
          <w:color w:val="auto"/>
        </w:rPr>
        <w:t>Copies of the documents incorporated herein by reference may be obtained on request without charge from the Secretary of Cybin Inc.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100 King Street West, Suite 5600, Toronto, Ontario M5X 1C9, telephone 1-866-292-4601, and are also available electronically at www.sedarplus.ca.</w:t>
      </w:r>
    </w:p>
    <w:p>
      <w:pPr>
        <w:spacing w:after="0" w:line="103" w:lineRule="exact"/>
        <w:rPr>
          <w:sz w:val="20"/>
          <w:szCs w:val="20"/>
          <w:color w:val="auto"/>
        </w:rPr>
      </w:pPr>
    </w:p>
    <w:p>
      <w:pPr>
        <w:spacing w:after="0"/>
        <w:tabs>
          <w:tab w:leader="none" w:pos="10100" w:val="left"/>
        </w:tabs>
        <w:rPr>
          <w:sz w:val="20"/>
          <w:szCs w:val="20"/>
          <w:color w:val="auto"/>
        </w:rPr>
      </w:pPr>
      <w:r>
        <w:rPr>
          <w:rFonts w:ascii="Times New Roman" w:cs="Times New Roman" w:eastAsia="Times New Roman" w:hAnsi="Times New Roman"/>
          <w:sz w:val="14"/>
          <w:szCs w:val="14"/>
          <w:u w:val="single" w:color="auto"/>
          <w:color w:val="auto"/>
        </w:rPr>
        <w:t>New Issue and/or Secondary Offering</w:t>
      </w:r>
      <w:r>
        <w:rPr>
          <w:sz w:val="20"/>
          <w:szCs w:val="20"/>
          <w:color w:val="auto"/>
        </w:rPr>
        <w:tab/>
      </w:r>
      <w:r>
        <w:rPr>
          <w:rFonts w:ascii="Times New Roman" w:cs="Times New Roman" w:eastAsia="Times New Roman" w:hAnsi="Times New Roman"/>
          <w:sz w:val="14"/>
          <w:szCs w:val="14"/>
          <w:color w:val="auto"/>
        </w:rPr>
        <w:t>September 17, 2025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103505</wp:posOffset>
            </wp:positionV>
            <wp:extent cx="1415415" cy="8274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15415" cy="82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auto"/>
        </w:rPr>
        <w:t>CYBIN INC.</w:t>
      </w:r>
    </w:p>
    <w:p>
      <w:pPr>
        <w:spacing w:after="0" w:line="14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$800,000,000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Shares</w:t>
      </w:r>
    </w:p>
    <w:p>
      <w:pPr>
        <w:jc w:val="center"/>
        <w:spacing w:after="0" w:line="237" w:lineRule="auto"/>
        <w:rPr>
          <w:sz w:val="20"/>
          <w:szCs w:val="20"/>
          <w:color w:val="auto"/>
        </w:rPr>
      </w:pPr>
      <w:r>
        <w:rPr>
          <w:rFonts w:ascii="Times New Roman" w:cs="Times New Roman" w:eastAsia="Times New Roman" w:hAnsi="Times New Roman"/>
          <w:sz w:val="17"/>
          <w:szCs w:val="17"/>
          <w:b w:val="1"/>
          <w:bCs w:val="1"/>
          <w:color w:val="auto"/>
        </w:rPr>
        <w:t>Warrants</w:t>
      </w:r>
    </w:p>
    <w:p>
      <w:pPr>
        <w:jc w:val="center"/>
        <w:spacing w:after="0"/>
        <w:rPr>
          <w:sz w:val="20"/>
          <w:szCs w:val="20"/>
          <w:color w:val="auto"/>
        </w:rPr>
      </w:pPr>
      <w:r>
        <w:rPr>
          <w:rFonts w:ascii="Times New Roman" w:cs="Times New Roman" w:eastAsia="Times New Roman" w:hAnsi="Times New Roman"/>
          <w:sz w:val="17"/>
          <w:szCs w:val="17"/>
          <w:b w:val="1"/>
          <w:bCs w:val="1"/>
          <w:color w:val="auto"/>
        </w:rPr>
        <w:t>Units</w:t>
      </w:r>
    </w:p>
    <w:p>
      <w:pPr>
        <w:jc w:val="center"/>
        <w:spacing w:after="0" w:line="237" w:lineRule="auto"/>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Subscription Receipts</w:t>
      </w:r>
    </w:p>
    <w:p>
      <w:pPr>
        <w:spacing w:after="0" w:line="1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This short form base shelf prospectus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relates to the offering for sale from time to time (each, an "</w:t>
      </w:r>
      <w:r>
        <w:rPr>
          <w:rFonts w:ascii="Times New Roman" w:cs="Times New Roman" w:eastAsia="Times New Roman" w:hAnsi="Times New Roman"/>
          <w:sz w:val="17"/>
          <w:szCs w:val="17"/>
          <w:b w:val="1"/>
          <w:bCs w:val="1"/>
          <w:color w:val="auto"/>
        </w:rPr>
        <w:t>Offering</w:t>
      </w:r>
      <w:r>
        <w:rPr>
          <w:rFonts w:ascii="Times New Roman" w:cs="Times New Roman" w:eastAsia="Times New Roman" w:hAnsi="Times New Roman"/>
          <w:sz w:val="17"/>
          <w:szCs w:val="17"/>
          <w:color w:val="auto"/>
        </w:rPr>
        <w:t>") by Cybin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Cybin</w:t>
      </w:r>
      <w:r>
        <w:rPr>
          <w:rFonts w:ascii="Times New Roman" w:cs="Times New Roman" w:eastAsia="Times New Roman" w:hAnsi="Times New Roman"/>
          <w:sz w:val="17"/>
          <w:szCs w:val="17"/>
          <w:color w:val="auto"/>
        </w:rPr>
        <w:t>") during the 25-month period that this Prospectus, including any of amendments thereto, remains valid, of up to $800,000,000 in the aggregate of: (i) common shares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of the Corporation; (ii) warrants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to purchase other Securities (as defined below) of the Corporation; (iii) units ("</w:t>
      </w:r>
      <w:r>
        <w:rPr>
          <w:rFonts w:ascii="Times New Roman" w:cs="Times New Roman" w:eastAsia="Times New Roman" w:hAnsi="Times New Roman"/>
          <w:sz w:val="17"/>
          <w:szCs w:val="17"/>
          <w:b w:val="1"/>
          <w:bCs w:val="1"/>
          <w:color w:val="auto"/>
        </w:rPr>
        <w:t>Units</w:t>
      </w:r>
      <w:r>
        <w:rPr>
          <w:rFonts w:ascii="Times New Roman" w:cs="Times New Roman" w:eastAsia="Times New Roman" w:hAnsi="Times New Roman"/>
          <w:sz w:val="17"/>
          <w:szCs w:val="17"/>
          <w:color w:val="auto"/>
        </w:rPr>
        <w:t>") comprising of one or more of the other Securities, (iv) senior and subordinated unsecured debt securities (collectively, "</w:t>
      </w:r>
      <w:r>
        <w:rPr>
          <w:rFonts w:ascii="Times New Roman" w:cs="Times New Roman" w:eastAsia="Times New Roman" w:hAnsi="Times New Roman"/>
          <w:sz w:val="17"/>
          <w:szCs w:val="17"/>
          <w:b w:val="1"/>
          <w:bCs w:val="1"/>
          <w:color w:val="auto"/>
        </w:rPr>
        <w:t>Debt Securities</w:t>
      </w:r>
      <w:r>
        <w:rPr>
          <w:rFonts w:ascii="Times New Roman" w:cs="Times New Roman" w:eastAsia="Times New Roman" w:hAnsi="Times New Roman"/>
          <w:sz w:val="17"/>
          <w:szCs w:val="17"/>
          <w:color w:val="auto"/>
        </w:rPr>
        <w:t>"), including debt securities convertible or exchangeable into other securities of the Corporation, and (v) subscription receipts ("</w:t>
      </w:r>
      <w:r>
        <w:rPr>
          <w:rFonts w:ascii="Times New Roman" w:cs="Times New Roman" w:eastAsia="Times New Roman" w:hAnsi="Times New Roman"/>
          <w:sz w:val="17"/>
          <w:szCs w:val="17"/>
          <w:b w:val="1"/>
          <w:bCs w:val="1"/>
          <w:color w:val="auto"/>
        </w:rPr>
        <w:t>Subscription Receipts</w:t>
      </w:r>
      <w:r>
        <w:rPr>
          <w:rFonts w:ascii="Times New Roman" w:cs="Times New Roman" w:eastAsia="Times New Roman" w:hAnsi="Times New Roman"/>
          <w:sz w:val="17"/>
          <w:szCs w:val="17"/>
          <w:color w:val="auto"/>
        </w:rPr>
        <w:t>" and together with the Common Shares, Warrants, Units and Debt Securities, collectively referred to herein as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17"/>
          <w:szCs w:val="17"/>
          <w:b w:val="1"/>
          <w:bCs w:val="1"/>
          <w:color w:val="auto"/>
        </w:rPr>
        <w:t>Prospectus Supplement</w:t>
      </w:r>
      <w:r>
        <w:rPr>
          <w:rFonts w:ascii="Times New Roman" w:cs="Times New Roman" w:eastAsia="Times New Roman" w:hAnsi="Times New Roman"/>
          <w:sz w:val="17"/>
          <w:szCs w:val="17"/>
          <w:color w:val="auto"/>
        </w:rPr>
        <w:t>"). In addition, one or more securityholders of the Corporation (each a "</w:t>
      </w:r>
      <w:r>
        <w:rPr>
          <w:rFonts w:ascii="Times New Roman" w:cs="Times New Roman" w:eastAsia="Times New Roman" w:hAnsi="Times New Roman"/>
          <w:sz w:val="17"/>
          <w:szCs w:val="17"/>
          <w:b w:val="1"/>
          <w:bCs w:val="1"/>
          <w:color w:val="auto"/>
        </w:rPr>
        <w:t>Selling Securityholder</w:t>
      </w:r>
      <w:r>
        <w:rPr>
          <w:rFonts w:ascii="Times New Roman" w:cs="Times New Roman" w:eastAsia="Times New Roman" w:hAnsi="Times New Roman"/>
          <w:sz w:val="17"/>
          <w:szCs w:val="17"/>
          <w:color w:val="auto"/>
        </w:rPr>
        <w:t>") may also offer and sell Securities under this Prospectus. See "</w:t>
      </w:r>
      <w:r>
        <w:rPr>
          <w:rFonts w:ascii="Times New Roman" w:cs="Times New Roman" w:eastAsia="Times New Roman" w:hAnsi="Times New Roman"/>
          <w:sz w:val="17"/>
          <w:szCs w:val="17"/>
          <w:i w:val="1"/>
          <w:iCs w:val="1"/>
          <w:color w:val="auto"/>
        </w:rPr>
        <w:t>Selling Securityholders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17931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1" w:name="page52"/>
    <w:bookmarkEnd w:id="51"/>
    <w:p>
      <w:pPr>
        <w:jc w:val="both"/>
        <w:spacing w:after="0" w:line="249" w:lineRule="auto"/>
        <w:rPr>
          <w:sz w:val="20"/>
          <w:szCs w:val="20"/>
          <w:color w:val="auto"/>
        </w:rPr>
      </w:pPr>
      <w:r>
        <w:rPr>
          <w:rFonts w:ascii="Times New Roman" w:cs="Times New Roman" w:eastAsia="Times New Roman" w:hAnsi="Times New Roman"/>
          <w:sz w:val="17"/>
          <w:szCs w:val="17"/>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0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pacing w:after="0" w:line="1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17"/>
          <w:szCs w:val="17"/>
          <w:i w:val="1"/>
          <w:iCs w:val="1"/>
          <w:color w:val="auto"/>
        </w:rPr>
        <w:t>Shelf Distributions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NI 44-102</w:t>
      </w:r>
      <w:r>
        <w:rPr>
          <w:rFonts w:ascii="Times New Roman" w:cs="Times New Roman" w:eastAsia="Times New Roman" w:hAnsi="Times New Roman"/>
          <w:sz w:val="17"/>
          <w:szCs w:val="17"/>
          <w:color w:val="auto"/>
        </w:rPr>
        <w:t>").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rFonts w:ascii="Times New Roman" w:cs="Times New Roman" w:eastAsia="Times New Roman" w:hAnsi="Times New Roman"/>
          <w:sz w:val="17"/>
          <w:szCs w:val="17"/>
          <w:b w:val="1"/>
          <w:bCs w:val="1"/>
          <w:color w:val="auto"/>
        </w:rPr>
        <w:t>CBOE Canada</w:t>
      </w:r>
      <w:r>
        <w:rPr>
          <w:rFonts w:ascii="Times New Roman" w:cs="Times New Roman" w:eastAsia="Times New Roman" w:hAnsi="Times New Roman"/>
          <w:sz w:val="17"/>
          <w:szCs w:val="17"/>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2" w:name="page53"/>
    <w:bookmarkEnd w:id="52"/>
    <w:p>
      <w:pPr>
        <w:jc w:val="both"/>
        <w:spacing w:after="0" w:line="243" w:lineRule="auto"/>
        <w:rPr>
          <w:sz w:val="20"/>
          <w:szCs w:val="20"/>
          <w:color w:val="auto"/>
        </w:rPr>
      </w:pPr>
      <w:r>
        <w:rPr>
          <w:rFonts w:ascii="Times New Roman" w:cs="Times New Roman" w:eastAsia="Times New Roman" w:hAnsi="Times New Roman"/>
          <w:sz w:val="17"/>
          <w:szCs w:val="17"/>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3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In determining that the Corporation has a reasonable expectation to distribute, during the 25-month period that this Prospectus, including any amendments hereto, remains valid, up to $800,000,000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$265,998,942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17"/>
          <w:szCs w:val="17"/>
          <w:b w:val="1"/>
          <w:bCs w:val="1"/>
          <w:color w:val="auto"/>
        </w:rPr>
        <w:t>Commitment Amount</w:t>
      </w:r>
      <w:r>
        <w:rPr>
          <w:rFonts w:ascii="Times New Roman" w:cs="Times New Roman" w:eastAsia="Times New Roman" w:hAnsi="Times New Roman"/>
          <w:sz w:val="17"/>
          <w:szCs w:val="17"/>
          <w:color w:val="auto"/>
        </w:rPr>
        <w:t>"). Given the Commitment Amount, the Corporation will have approximately $473,917,796 available under the Prospectus, which management of the Corporation reasonably expects to distribute during the 25-month period that this</w:t>
      </w:r>
    </w:p>
    <w:p>
      <w:pPr>
        <w:spacing w:after="0" w:line="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Prospectus, including any amendments hereto, remains valid.</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17"/>
          <w:szCs w:val="17"/>
          <w:b w:val="1"/>
          <w:bCs w:val="1"/>
          <w:color w:val="auto"/>
        </w:rPr>
        <w:t>U.S. Securities Act</w:t>
      </w:r>
      <w:r>
        <w:rPr>
          <w:rFonts w:ascii="Times New Roman" w:cs="Times New Roman" w:eastAsia="Times New Roman" w:hAnsi="Times New Roman"/>
          <w:sz w:val="17"/>
          <w:szCs w:val="17"/>
          <w:color w:val="auto"/>
        </w:rPr>
        <w:t>") of the Common Shares underlying Warrants initially sold to, or for the account or benefit of, U.S. persons (as defined in 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 The Corporation has filed a registration statement on Form F-10, as amended (File No. 333-289139)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which was initially filed with the SEC, under the U.S. Securities Act, on July 31, 2025, as amended on September 17, 2025 concurrent with the filing of this Prospectus, for the equivalent United States dollar value of this Prospectus, being US$577,700.572 (converted from $800,000,000 at an exchange rate of US$1.00=CAD$1.3848, which was the daily average exchange rate reported by the Bank of Canada on September 12, 2025).</w:t>
      </w:r>
    </w:p>
    <w:p>
      <w:pPr>
        <w:spacing w:after="0" w:line="1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illustrative purposes only, if the Corporation were to complete an Offering for US$150,000,000, and if the Offering was an Offering of Units with each Unit consisting of one Common Share and one Warrant, with each Warrant exercisable at 115% of the Unit purchase price, then the Offering would require a total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$446,598,000 worth of space under this Prospectus. The following calculations are demonstrated in USD and CAD:</w:t>
      </w:r>
      <w:r>
        <w:rPr>
          <w:rFonts w:ascii="Times New Roman" w:cs="Times New Roman" w:eastAsia="Times New Roman" w:hAnsi="Times New Roman"/>
          <w:sz w:val="28"/>
          <w:szCs w:val="28"/>
          <w:color w:val="auto"/>
          <w:vertAlign w:val="superscript"/>
        </w:rPr>
        <w:t>2</w:t>
      </w:r>
    </w:p>
    <w:p>
      <w:pPr>
        <w:spacing w:after="0" w:line="4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302"/>
        </w:trPr>
        <w:tc>
          <w:tcPr>
            <w:tcW w:w="52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Amount to Qualify a Unit Distribution</w:t>
            </w:r>
          </w:p>
        </w:tc>
        <w:tc>
          <w:tcPr>
            <w:tcW w:w="28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US$150,000,000</w:t>
            </w:r>
          </w:p>
        </w:tc>
        <w:tc>
          <w:tcPr>
            <w:tcW w:w="32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C$207,720,000</w:t>
            </w:r>
            <w:r>
              <w:rPr>
                <w:rFonts w:ascii="Times New Roman" w:cs="Times New Roman" w:eastAsia="Times New Roman" w:hAnsi="Times New Roman"/>
                <w:sz w:val="23"/>
                <w:szCs w:val="23"/>
                <w:color w:val="auto"/>
                <w:vertAlign w:val="superscript"/>
              </w:rPr>
              <w:t>(1)</w:t>
            </w:r>
          </w:p>
        </w:tc>
      </w:tr>
      <w:tr>
        <w:trPr>
          <w:trHeight w:val="282"/>
        </w:trPr>
        <w:tc>
          <w:tcPr>
            <w:tcW w:w="5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Amount to Qualify the Underlying Warrant Shares</w:t>
            </w:r>
          </w:p>
        </w:tc>
        <w:tc>
          <w:tcPr>
            <w:tcW w:w="2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US$172,500,000</w:t>
            </w:r>
            <w:r>
              <w:rPr>
                <w:rFonts w:ascii="Times New Roman" w:cs="Times New Roman" w:eastAsia="Times New Roman" w:hAnsi="Times New Roman"/>
                <w:sz w:val="23"/>
                <w:szCs w:val="23"/>
                <w:color w:val="auto"/>
                <w:vertAlign w:val="superscript"/>
              </w:rPr>
              <w:t>(2)</w:t>
            </w:r>
          </w:p>
        </w:tc>
        <w:tc>
          <w:tcPr>
            <w:tcW w:w="32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C$238,878,000</w:t>
            </w:r>
          </w:p>
        </w:tc>
      </w:tr>
      <w:tr>
        <w:trPr>
          <w:trHeight w:val="205"/>
        </w:trPr>
        <w:tc>
          <w:tcPr>
            <w:tcW w:w="5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Total Base Shelf Amount Used</w:t>
            </w:r>
          </w:p>
        </w:tc>
        <w:tc>
          <w:tcPr>
            <w:tcW w:w="28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US$322,500,000</w:t>
            </w:r>
          </w:p>
        </w:tc>
        <w:tc>
          <w:tcPr>
            <w:tcW w:w="32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C$446,598,000</w:t>
            </w:r>
          </w:p>
        </w:tc>
      </w:tr>
      <w:tr>
        <w:trPr>
          <w:trHeight w:val="44"/>
        </w:trPr>
        <w:tc>
          <w:tcPr>
            <w:tcW w:w="5200" w:type="dxa"/>
            <w:vAlign w:val="bottom"/>
            <w:tcBorders>
              <w:left w:val="single" w:sz="8" w:color="auto"/>
              <w:bottom w:val="single" w:sz="8" w:color="auto"/>
              <w:right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Notes:</w:t>
      </w:r>
    </w:p>
    <w:p>
      <w:pPr>
        <w:spacing w:after="0" w:line="20" w:lineRule="exact"/>
        <w:rPr>
          <w:sz w:val="20"/>
          <w:szCs w:val="20"/>
          <w:color w:val="auto"/>
        </w:rPr>
      </w:pPr>
    </w:p>
    <w:p>
      <w:pPr>
        <w:ind w:left="520" w:hanging="342"/>
        <w:spacing w:after="0" w:line="237" w:lineRule="auto"/>
        <w:tabs>
          <w:tab w:leader="none" w:pos="53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Conversion to Canadian dollars completed on the basis of the Bank of Canada's daily average exchange rate on September 12, 2025 (being US$1.00=C$1.3848).</w:t>
      </w:r>
    </w:p>
    <w:p>
      <w:pPr>
        <w:spacing w:after="0" w:line="1" w:lineRule="exact"/>
        <w:rPr>
          <w:rFonts w:ascii="Times New Roman" w:cs="Times New Roman" w:eastAsia="Times New Roman" w:hAnsi="Times New Roman"/>
          <w:sz w:val="17"/>
          <w:szCs w:val="17"/>
          <w:color w:val="auto"/>
        </w:rPr>
      </w:pPr>
    </w:p>
    <w:p>
      <w:pPr>
        <w:ind w:left="540" w:hanging="362"/>
        <w:spacing w:after="0"/>
        <w:tabs>
          <w:tab w:leader="none" w:pos="5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 theoretical Unit purchase price (US$150,000,000) multiplied by 115% (representing the theoretical Warrant exercise price).</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Common Shares are listed on the CBOE Canada under the trading symbol "CYBN", and in the United States on the NYSE American LLC stock exchange (the "</w:t>
      </w:r>
      <w:r>
        <w:rPr>
          <w:rFonts w:ascii="Times New Roman" w:cs="Times New Roman" w:eastAsia="Times New Roman" w:hAnsi="Times New Roman"/>
          <w:sz w:val="17"/>
          <w:szCs w:val="17"/>
          <w:b w:val="1"/>
          <w:bCs w:val="1"/>
          <w:color w:val="auto"/>
        </w:rPr>
        <w:t>NYSE American</w:t>
      </w:r>
      <w:r>
        <w:rPr>
          <w:rFonts w:ascii="Times New Roman" w:cs="Times New Roman" w:eastAsia="Times New Roman" w:hAnsi="Times New Roman"/>
          <w:sz w:val="17"/>
          <w:szCs w:val="17"/>
          <w:color w:val="auto"/>
        </w:rPr>
        <w:t>") under the symbol "CYBN". On September 16, 2025, the last trading day prior to the filing of this Prospectus, the closing prices of the Common Shares listed on the CBOE Canada and the NYSE American were $8.32 and US$6.04 respectively.</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w:t>
      </w:r>
    </w:p>
    <w:p>
      <w:pPr>
        <w:spacing w:after="0" w:line="1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17"/>
          <w:szCs w:val="17"/>
          <w:b w:val="1"/>
          <w:bCs w:val="1"/>
          <w:i w:val="1"/>
          <w:iCs w:val="1"/>
          <w:color w:val="auto"/>
        </w:rPr>
        <w:t>Risk Factors - Enforcement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of Civil Liabilities</w:t>
      </w:r>
      <w:r>
        <w:rPr>
          <w:rFonts w:ascii="Times New Roman" w:cs="Times New Roman" w:eastAsia="Times New Roman" w:hAnsi="Times New Roman"/>
          <w:sz w:val="17"/>
          <w:szCs w:val="17"/>
          <w:b w:val="1"/>
          <w:bCs w:val="1"/>
          <w:color w:val="auto"/>
        </w:rPr>
        <w:t>".</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in this Prospectus and in the Corporation's Annual Information Form and Interim MD&amp;A (each as defined herein) incorporated by reference 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313" w:right="319" w:bottom="1440" w:gutter="0" w:footer="0" w:header="0"/>
        </w:sectPr>
      </w:pPr>
    </w:p>
    <w:bookmarkStart w:id="54" w:name="page55"/>
    <w:bookmarkEnd w:id="54"/>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underwriter has been involved in the preparation of this Prospectus or performed any review of the contents hereof.</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17"/>
          <w:szCs w:val="17"/>
          <w:i w:val="1"/>
          <w:iCs w:val="1"/>
          <w:color w:val="auto"/>
        </w:rPr>
        <w:t>"Risk Factors - Risks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to an Offering - Enforcement of Civil Liabilities"</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this Prospectus, references to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Cybin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us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our</w:t>
      </w:r>
      <w:r>
        <w:rPr>
          <w:rFonts w:ascii="Times New Roman" w:cs="Times New Roman" w:eastAsia="Times New Roman" w:hAnsi="Times New Roman"/>
          <w:sz w:val="17"/>
          <w:szCs w:val="17"/>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7160260" cy="22840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2284095"/>
                    </a:xfrm>
                    <a:prstGeom prst="rect">
                      <a:avLst/>
                    </a:prstGeom>
                    <a:noFill/>
                  </pic:spPr>
                </pic:pic>
              </a:graphicData>
            </a:graphic>
          </wp:anchor>
        </w:drawing>
      </w:r>
    </w:p>
    <w:p>
      <w:pPr>
        <w:spacing w:after="0" w:line="151" w:lineRule="exact"/>
        <w:rPr>
          <w:sz w:val="20"/>
          <w:szCs w:val="20"/>
          <w:color w:val="auto"/>
        </w:rPr>
      </w:pPr>
    </w:p>
    <w:p>
      <w:pPr>
        <w:jc w:val="both"/>
        <w:ind w:left="80" w:right="8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4"/>
          <w:szCs w:val="14"/>
          <w:b w:val="1"/>
          <w:bCs w:val="1"/>
          <w:i w:val="1"/>
          <w:iCs w:val="1"/>
          <w:color w:val="auto"/>
        </w:rPr>
        <w:t>"Use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Proceeds"</w:t>
      </w:r>
      <w:r>
        <w:rPr>
          <w:rFonts w:ascii="Times New Roman" w:cs="Times New Roman" w:eastAsia="Times New Roman" w:hAnsi="Times New Roman"/>
          <w:sz w:val="14"/>
          <w:szCs w:val="14"/>
          <w:b w:val="1"/>
          <w:bCs w:val="1"/>
          <w:color w:val="auto"/>
        </w:rPr>
        <w:t>.</w:t>
      </w:r>
    </w:p>
    <w:p>
      <w:pPr>
        <w:spacing w:after="0" w:line="135" w:lineRule="exact"/>
        <w:rPr>
          <w:sz w:val="20"/>
          <w:szCs w:val="20"/>
          <w:color w:val="auto"/>
        </w:rPr>
      </w:pPr>
    </w:p>
    <w:p>
      <w:pPr>
        <w:jc w:val="both"/>
        <w:ind w:left="80" w:right="80"/>
        <w:spacing w:after="0" w:line="278" w:lineRule="auto"/>
        <w:rPr>
          <w:sz w:val="20"/>
          <w:szCs w:val="20"/>
          <w:color w:val="auto"/>
        </w:rPr>
      </w:pPr>
      <w:r>
        <w:rPr>
          <w:rFonts w:ascii="Times New Roman" w:cs="Times New Roman" w:eastAsia="Times New Roman" w:hAnsi="Times New Roman"/>
          <w:sz w:val="14"/>
          <w:szCs w:val="14"/>
          <w:b w:val="1"/>
          <w:bCs w:val="1"/>
          <w:color w:val="auto"/>
        </w:rPr>
        <w:t xml:space="preserve">The Canadian and United States federal governments regulate drugs through the </w:t>
      </w:r>
      <w:r>
        <w:rPr>
          <w:rFonts w:ascii="Times New Roman" w:cs="Times New Roman" w:eastAsia="Times New Roman" w:hAnsi="Times New Roman"/>
          <w:sz w:val="14"/>
          <w:szCs w:val="14"/>
          <w:b w:val="1"/>
          <w:bCs w:val="1"/>
          <w:i w:val="1"/>
          <w:iCs w:val="1"/>
          <w:color w:val="auto"/>
        </w:rPr>
        <w:t>Controlled Drugs and Substances Act</w:t>
      </w:r>
      <w:r>
        <w:rPr>
          <w:rFonts w:ascii="Times New Roman" w:cs="Times New Roman" w:eastAsia="Times New Roman" w:hAnsi="Times New Roman"/>
          <w:sz w:val="14"/>
          <w:szCs w:val="14"/>
          <w:b w:val="1"/>
          <w:bCs w:val="1"/>
          <w:color w:val="auto"/>
        </w:rPr>
        <w:t xml:space="preserve"> (Canada) (the "CDSA") and the </w:t>
      </w:r>
      <w:r>
        <w:rPr>
          <w:rFonts w:ascii="Times New Roman" w:cs="Times New Roman" w:eastAsia="Times New Roman" w:hAnsi="Times New Roman"/>
          <w:sz w:val="14"/>
          <w:szCs w:val="14"/>
          <w:b w:val="1"/>
          <w:bCs w:val="1"/>
          <w:i w:val="1"/>
          <w:iCs w:val="1"/>
          <w:color w:val="auto"/>
        </w:rPr>
        <w:t>Controlled Substances Act</w:t>
      </w:r>
      <w:r>
        <w:rPr>
          <w:rFonts w:ascii="Times New Roman" w:cs="Times New Roman" w:eastAsia="Times New Roman" w:hAnsi="Times New Roman"/>
          <w:sz w:val="14"/>
          <w:szCs w:val="14"/>
          <w:b w:val="1"/>
          <w:bCs w:val="1"/>
          <w:color w:val="auto"/>
        </w:rPr>
        <w:t xml:space="preserve"> (21 U.S.C. § 811) (the "CSA"), respectively, which place controlled substances in a schedule. Under the CDSA, psilocin is currently a Schedule III drug. Under the CSA, psilocin is currently a Schedule I drug.</w:t>
      </w:r>
    </w:p>
    <w:p>
      <w:pPr>
        <w:spacing w:after="0" w:line="132" w:lineRule="exact"/>
        <w:rPr>
          <w:sz w:val="20"/>
          <w:szCs w:val="20"/>
          <w:color w:val="auto"/>
        </w:rPr>
      </w:pPr>
    </w:p>
    <w:p>
      <w:pPr>
        <w:jc w:val="both"/>
        <w:ind w:left="80" w:right="8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4"/>
          <w:szCs w:val="14"/>
          <w:b w:val="1"/>
          <w:bCs w:val="1"/>
          <w:i w:val="1"/>
          <w:iCs w:val="1"/>
          <w:color w:val="auto"/>
        </w:rPr>
        <w:t>"Regulatory Overview - Research and Development"</w:t>
      </w:r>
      <w:r>
        <w:rPr>
          <w:rFonts w:ascii="Times New Roman" w:cs="Times New Roman" w:eastAsia="Times New Roman" w:hAnsi="Times New Roman"/>
          <w:sz w:val="14"/>
          <w:szCs w:val="14"/>
          <w:b w:val="1"/>
          <w:bCs w:val="1"/>
          <w:color w:val="auto"/>
        </w:rPr>
        <w:t>.</w:t>
      </w:r>
    </w:p>
    <w:p>
      <w:pPr>
        <w:spacing w:after="0" w:line="137" w:lineRule="exact"/>
        <w:rPr>
          <w:sz w:val="20"/>
          <w:szCs w:val="20"/>
          <w:color w:val="auto"/>
        </w:rPr>
      </w:pPr>
    </w:p>
    <w:p>
      <w:pPr>
        <w:jc w:val="both"/>
        <w:ind w:left="80" w:right="80"/>
        <w:spacing w:after="0" w:line="264" w:lineRule="auto"/>
        <w:rPr>
          <w:sz w:val="20"/>
          <w:szCs w:val="20"/>
          <w:color w:val="auto"/>
        </w:rPr>
      </w:pPr>
      <w:r>
        <w:rPr>
          <w:rFonts w:ascii="Times New Roman" w:cs="Times New Roman" w:eastAsia="Times New Roman" w:hAnsi="Times New Roman"/>
          <w:sz w:val="14"/>
          <w:szCs w:val="14"/>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3268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3268980"/>
                    </a:xfrm>
                    <a:prstGeom prst="rect">
                      <a:avLst/>
                    </a:prstGeom>
                    <a:noFill/>
                  </pic:spPr>
                </pic:pic>
              </a:graphicData>
            </a:graphic>
          </wp:anchor>
        </w:drawing>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herein and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in the Annual Information Form.</w:t>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herein and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in the Annual Information Form.</w:t>
      </w:r>
    </w:p>
    <w:p>
      <w:pPr>
        <w:spacing w:after="0" w:line="3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color w:val="auto"/>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4"/>
          <w:szCs w:val="14"/>
          <w:b w:val="1"/>
          <w:bCs w:val="1"/>
          <w:i w:val="1"/>
          <w:iCs w:val="1"/>
          <w:color w:val="auto"/>
        </w:rPr>
        <w:t>"Compliance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Program"</w:t>
      </w:r>
      <w:r>
        <w:rPr>
          <w:rFonts w:ascii="Times New Roman" w:cs="Times New Roman" w:eastAsia="Times New Roman" w:hAnsi="Times New Roman"/>
          <w:sz w:val="14"/>
          <w:szCs w:val="14"/>
          <w:b w:val="1"/>
          <w:bCs w:val="1"/>
          <w:color w:val="auto"/>
        </w:rPr>
        <w:t>. Additionally, the Corporation has received legal opinions or advice in each jurisdiction where it currently operates regarding (a) compliance with applicable regulatory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b w:val="1"/>
          <w:bCs w:val="1"/>
          <w:color w:val="auto"/>
        </w:rPr>
        <w:t>frameworks and (b) potential exposure and implications arising from applicable laws in jurisdictions where the Corporation has operations or intends to operate.</w:t>
      </w:r>
    </w:p>
    <w:p>
      <w:pPr>
        <w:spacing w:after="0" w:line="1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herein and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in the Annual Information Form.</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4"/>
          <w:szCs w:val="14"/>
          <w:b w:val="1"/>
          <w:bCs w:val="1"/>
          <w:i w:val="1"/>
          <w:iCs w:val="1"/>
          <w:color w:val="auto"/>
        </w:rPr>
        <w:t>"Risk Factors"</w:t>
      </w:r>
      <w:r>
        <w:rPr>
          <w:rFonts w:ascii="Times New Roman" w:cs="Times New Roman" w:eastAsia="Times New Roman" w:hAnsi="Times New Roman"/>
          <w:sz w:val="14"/>
          <w:szCs w:val="14"/>
          <w:b w:val="1"/>
          <w:bCs w:val="1"/>
          <w:color w:val="auto"/>
        </w:rPr>
        <w:t xml:space="preserve"> in this Prospectus, prior to investing in the Securities. See </w:t>
      </w:r>
      <w:r>
        <w:rPr>
          <w:rFonts w:ascii="Times New Roman" w:cs="Times New Roman" w:eastAsia="Times New Roman" w:hAnsi="Times New Roman"/>
          <w:sz w:val="14"/>
          <w:szCs w:val="14"/>
          <w:b w:val="1"/>
          <w:bCs w:val="1"/>
          <w:i w:val="1"/>
          <w:iCs w:val="1"/>
          <w:color w:val="auto"/>
        </w:rPr>
        <w:t>"Cautionary Note Regarding Forward-Looking Information"</w:t>
      </w:r>
      <w:r>
        <w:rPr>
          <w:rFonts w:ascii="Times New Roman" w:cs="Times New Roman" w:eastAsia="Times New Roman" w:hAnsi="Times New Roman"/>
          <w:sz w:val="14"/>
          <w:szCs w:val="14"/>
          <w:b w:val="1"/>
          <w:bCs w:val="1"/>
          <w:color w:val="auto"/>
        </w:rPr>
        <w:t xml:space="preserve"> and </w:t>
      </w:r>
      <w:r>
        <w:rPr>
          <w:rFonts w:ascii="Times New Roman" w:cs="Times New Roman" w:eastAsia="Times New Roman" w:hAnsi="Times New Roman"/>
          <w:sz w:val="14"/>
          <w:szCs w:val="14"/>
          <w:b w:val="1"/>
          <w:bCs w:val="1"/>
          <w:i w:val="1"/>
          <w:iCs w:val="1"/>
          <w:color w:val="auto"/>
        </w:rPr>
        <w:t>"Risk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Factors"</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104775</wp:posOffset>
            </wp:positionV>
            <wp:extent cx="717931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120"/>
          </w:cols>
          <w:pgMar w:left="380" w:top="198" w:right="3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9"/>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0" w:type="dxa"/>
            <w:vAlign w:val="bottom"/>
          </w:tcPr>
          <w:p>
            <w:pPr>
              <w:spacing w:after="0"/>
              <w:rPr>
                <w:sz w:val="1"/>
                <w:szCs w:val="1"/>
                <w:color w:val="auto"/>
              </w:rPr>
            </w:pPr>
          </w:p>
        </w:tc>
      </w:tr>
      <w:tr>
        <w:trPr>
          <w:trHeight w:val="647"/>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80" w:type="dxa"/>
            <w:vAlign w:val="bottom"/>
            <w:gridSpan w:val="4"/>
          </w:tcPr>
          <w:p>
            <w:pPr>
              <w:ind w:left="6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GENERAL MATTERS</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EEEE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CAUTIONARY NOTE REGARDING FORWARD-LOOKING INFORMATION</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92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EEEE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TRADEMARKS AND SERVICE MARKS</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3</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EEEE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MARKETING MATERIALS</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EEEE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MARKET AND INDUSTRY DATA</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EEEE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DOCUMENTS INCORPORATED BY REFERENCE</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EEEE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DOCUMENTS FILED AS PART OF THE REGISTRATION STATEMENT</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920" w:type="dxa"/>
            <w:vAlign w:val="bottom"/>
            <w:tcBorders>
              <w:top w:val="single" w:sz="8" w:color="0000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EEEE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THE CORPORATION</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6</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8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EEEE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REGULATORY OVERVIEW</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EEEE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COMPLIANCE PROGRAM</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CONSOLIDATED CAPITALIZATION</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USE OF PROCEEDS</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8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SELLING SECURITYHOLDERS</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DIVIDEND POLICY</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8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DESCRIPTION OF SECURITIES BEING DISTRIBUTED</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PLAN OF DISTRIBUTION</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RISK FACTORS</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EEEEEE"/>
            </w:tcBorders>
          </w:tcPr>
          <w:p>
            <w:pPr>
              <w:spacing w:after="0"/>
              <w:rPr>
                <w:sz w:val="14"/>
                <w:szCs w:val="14"/>
                <w:color w:val="auto"/>
              </w:rPr>
            </w:pPr>
          </w:p>
        </w:tc>
        <w:tc>
          <w:tcPr>
            <w:tcW w:w="100" w:type="dxa"/>
            <w:vAlign w:val="bottom"/>
            <w:tcBorders>
              <w:top w:val="single" w:sz="8" w:color="EEEEEE"/>
            </w:tcBorders>
          </w:tcPr>
          <w:p>
            <w:pPr>
              <w:spacing w:after="0"/>
              <w:rPr>
                <w:sz w:val="14"/>
                <w:szCs w:val="14"/>
                <w:color w:val="auto"/>
              </w:rPr>
            </w:pPr>
          </w:p>
        </w:tc>
        <w:tc>
          <w:tcPr>
            <w:tcW w:w="6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8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CERTAIN FEDERAL INCOME TAX CONSIDERATIONS</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60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LEGAL MATTERS</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00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EEEEEE"/>
            </w:tcBorders>
          </w:tcPr>
          <w:p>
            <w:pPr>
              <w:spacing w:after="0"/>
              <w:rPr>
                <w:sz w:val="14"/>
                <w:szCs w:val="14"/>
                <w:color w:val="auto"/>
              </w:rPr>
            </w:pPr>
          </w:p>
        </w:tc>
        <w:tc>
          <w:tcPr>
            <w:tcW w:w="6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8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40" w:type="dxa"/>
            <w:vAlign w:val="bottom"/>
            <w:tcBorders>
              <w:top w:val="single" w:sz="8" w:color="EEEEEE"/>
            </w:tcBorders>
          </w:tcPr>
          <w:p>
            <w:pPr>
              <w:spacing w:after="0"/>
              <w:rPr>
                <w:sz w:val="14"/>
                <w:szCs w:val="14"/>
                <w:color w:val="auto"/>
              </w:rPr>
            </w:pPr>
          </w:p>
        </w:tc>
        <w:tc>
          <w:tcPr>
            <w:tcW w:w="26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18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600" w:type="dxa"/>
            <w:vAlign w:val="bottom"/>
            <w:tcBorders>
              <w:top w:val="single" w:sz="8" w:color="EEEEEE"/>
            </w:tcBorders>
          </w:tcPr>
          <w:p>
            <w:pPr>
              <w:spacing w:after="0"/>
              <w:rPr>
                <w:sz w:val="14"/>
                <w:szCs w:val="14"/>
                <w:color w:val="auto"/>
              </w:rPr>
            </w:pPr>
          </w:p>
        </w:tc>
        <w:tc>
          <w:tcPr>
            <w:tcW w:w="120" w:type="dxa"/>
            <w:vAlign w:val="bottom"/>
            <w:tcBorders>
              <w:top w:val="single" w:sz="8" w:color="EEEEEE"/>
            </w:tcBorders>
          </w:tcPr>
          <w:p>
            <w:pPr>
              <w:spacing w:after="0"/>
              <w:rPr>
                <w:sz w:val="14"/>
                <w:szCs w:val="14"/>
                <w:color w:val="auto"/>
              </w:rPr>
            </w:pPr>
          </w:p>
        </w:tc>
        <w:tc>
          <w:tcPr>
            <w:tcW w:w="22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920" w:type="dxa"/>
            <w:vAlign w:val="bottom"/>
            <w:tcBorders>
              <w:top w:val="single" w:sz="8" w:color="EEEEEE"/>
            </w:tcBorders>
          </w:tcPr>
          <w:p>
            <w:pPr>
              <w:spacing w:after="0"/>
              <w:rPr>
                <w:sz w:val="14"/>
                <w:szCs w:val="14"/>
                <w:color w:val="auto"/>
              </w:rPr>
            </w:pPr>
          </w:p>
        </w:tc>
        <w:tc>
          <w:tcPr>
            <w:tcW w:w="300" w:type="dxa"/>
            <w:vAlign w:val="bottom"/>
            <w:tcBorders>
              <w:top w:val="single" w:sz="8" w:color="EEEEEE"/>
            </w:tcBorders>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6420" w:type="dxa"/>
            <w:vAlign w:val="bottom"/>
            <w:tcBorders>
              <w:top w:val="single" w:sz="8" w:color="EEEE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20" w:type="dxa"/>
            <w:vAlign w:val="bottom"/>
            <w:gridSpan w:val="20"/>
            <w:shd w:val="clear" w:color="auto" w:fill="EEEEEE"/>
          </w:tcPr>
          <w:p>
            <w:pPr>
              <w:spacing w:after="0" w:line="140" w:lineRule="exact"/>
              <w:rPr>
                <w:sz w:val="20"/>
                <w:szCs w:val="20"/>
                <w:color w:val="auto"/>
              </w:rPr>
            </w:pPr>
            <w:r>
              <w:rPr>
                <w:rFonts w:ascii="Times New Roman" w:cs="Times New Roman" w:eastAsia="Times New Roman" w:hAnsi="Times New Roman"/>
                <w:sz w:val="14"/>
                <w:szCs w:val="14"/>
                <w:color w:val="0000EE"/>
              </w:rPr>
              <w:t>AUDITORS, TRANSFER AGENT AND REGISTRAR</w:t>
            </w:r>
          </w:p>
        </w:tc>
        <w:tc>
          <w:tcPr>
            <w:tcW w:w="6560" w:type="dxa"/>
            <w:vAlign w:val="bottom"/>
            <w:gridSpan w:val="3"/>
            <w:shd w:val="clear" w:color="auto" w:fill="EEEEEE"/>
          </w:tcPr>
          <w:p>
            <w:pPr>
              <w:jc w:val="right"/>
              <w:spacing w:after="0" w:line="140" w:lineRule="exact"/>
              <w:rPr>
                <w:sz w:val="20"/>
                <w:szCs w:val="20"/>
                <w:color w:val="auto"/>
              </w:rPr>
            </w:pPr>
            <w:r>
              <w:rPr>
                <w:rFonts w:ascii="Times New Roman" w:cs="Times New Roman" w:eastAsia="Times New Roman" w:hAnsi="Times New Roman"/>
                <w:sz w:val="14"/>
                <w:szCs w:val="14"/>
                <w:color w:val="0000EE"/>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10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220" w:type="dxa"/>
            <w:vAlign w:val="bottom"/>
            <w:tcBorders>
              <w:top w:val="single" w:sz="8" w:color="EEEEEE"/>
            </w:tcBorders>
          </w:tcPr>
          <w:p>
            <w:pPr>
              <w:spacing w:after="0"/>
              <w:rPr>
                <w:sz w:val="23"/>
                <w:szCs w:val="23"/>
                <w:color w:val="auto"/>
              </w:rPr>
            </w:pPr>
          </w:p>
        </w:tc>
        <w:tc>
          <w:tcPr>
            <w:tcW w:w="20" w:type="dxa"/>
            <w:vAlign w:val="bottom"/>
            <w:tcBorders>
              <w:top w:val="single" w:sz="8" w:color="EEEEEE"/>
            </w:tcBorders>
          </w:tcPr>
          <w:p>
            <w:pPr>
              <w:spacing w:after="0"/>
              <w:rPr>
                <w:sz w:val="23"/>
                <w:szCs w:val="23"/>
                <w:color w:val="auto"/>
              </w:rPr>
            </w:pPr>
          </w:p>
        </w:tc>
        <w:tc>
          <w:tcPr>
            <w:tcW w:w="920" w:type="dxa"/>
            <w:vAlign w:val="bottom"/>
            <w:tcBorders>
              <w:top w:val="single" w:sz="8" w:color="EEEEEE"/>
            </w:tcBorders>
          </w:tcPr>
          <w:p>
            <w:pPr>
              <w:spacing w:after="0"/>
              <w:rPr>
                <w:sz w:val="23"/>
                <w:szCs w:val="23"/>
                <w:color w:val="auto"/>
              </w:rPr>
            </w:pPr>
          </w:p>
        </w:tc>
        <w:tc>
          <w:tcPr>
            <w:tcW w:w="300" w:type="dxa"/>
            <w:vAlign w:val="bottom"/>
            <w:tcBorders>
              <w:top w:val="single" w:sz="8" w:color="EEEEEE"/>
            </w:tcBorders>
          </w:tcPr>
          <w:p>
            <w:pPr>
              <w:spacing w:after="0"/>
              <w:rPr>
                <w:sz w:val="23"/>
                <w:szCs w:val="23"/>
                <w:color w:val="auto"/>
              </w:rPr>
            </w:pPr>
          </w:p>
        </w:tc>
        <w:tc>
          <w:tcPr>
            <w:tcW w:w="20" w:type="dxa"/>
            <w:vAlign w:val="bottom"/>
            <w:tcBorders>
              <w:top w:val="single" w:sz="8" w:color="EEEEEE"/>
            </w:tcBorders>
          </w:tcPr>
          <w:p>
            <w:pPr>
              <w:spacing w:after="0"/>
              <w:rPr>
                <w:sz w:val="23"/>
                <w:szCs w:val="23"/>
                <w:color w:val="auto"/>
              </w:rPr>
            </w:pPr>
          </w:p>
        </w:tc>
        <w:tc>
          <w:tcPr>
            <w:tcW w:w="6420" w:type="dxa"/>
            <w:vAlign w:val="bottom"/>
            <w:tcBorders>
              <w:top w:val="single" w:sz="8" w:color="EEEE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10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4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14" w:right="29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GENERAL MATTERS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17"/>
          <w:szCs w:val="17"/>
          <w:b w:val="1"/>
          <w:bCs w:val="1"/>
          <w:color w:val="auto"/>
        </w:rPr>
        <w:t>Information contained on the Corporation's website shall not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17"/>
          <w:szCs w:val="17"/>
          <w:color w:val="auto"/>
        </w:rPr>
        <w:t>The Corporation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information contained on </w:t>
      </w:r>
      <w:r>
        <w:rPr>
          <w:rFonts w:ascii="Times New Roman" w:cs="Times New Roman" w:eastAsia="Times New Roman" w:hAnsi="Times New Roman"/>
          <w:sz w:val="17"/>
          <w:szCs w:val="17"/>
          <w:u w:val="single" w:color="auto"/>
          <w:color w:val="auto"/>
        </w:rPr>
        <w:t>www.cybin.com</w:t>
      </w:r>
      <w:r>
        <w:rPr>
          <w:rFonts w:ascii="Times New Roman" w:cs="Times New Roman" w:eastAsia="Times New Roman" w:hAnsi="Times New Roman"/>
          <w:sz w:val="17"/>
          <w:szCs w:val="17"/>
          <w:color w:val="auto"/>
        </w:rPr>
        <w:t xml:space="preserve"> is not intended to be included in or incorporated by reference herein, and prospective purchasers should not rely on such information when deciding whether or not to invest in any Securities.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this Prospectus, unless stated otherwise or the context requires otherwise, all dollar amounts are expressed in Canadian dollars.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Corporation currently has an effective base shelf prospectus dated August 17, 2023, as amended on December 22, 2023, April 8, 2024 and January 6, 2025 (the "</w:t>
      </w:r>
      <w:r>
        <w:rPr>
          <w:rFonts w:ascii="Times New Roman" w:cs="Times New Roman" w:eastAsia="Times New Roman" w:hAnsi="Times New Roman"/>
          <w:sz w:val="17"/>
          <w:szCs w:val="17"/>
          <w:b w:val="1"/>
          <w:bCs w:val="1"/>
          <w:color w:val="auto"/>
        </w:rPr>
        <w:t>Original Base Prospectus</w:t>
      </w:r>
      <w:r>
        <w:rPr>
          <w:rFonts w:ascii="Times New Roman" w:cs="Times New Roman" w:eastAsia="Times New Roman" w:hAnsi="Times New Roman"/>
          <w:sz w:val="17"/>
          <w:szCs w:val="17"/>
          <w:color w:val="auto"/>
        </w:rPr>
        <w:t>"). The Corporation does not currently have any plans to initiate additional drawdowns under the Original Base Prospectus and intends to withdraw the Original Base Prospectus when this Prospectus becomes effective.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CAUTIONARY NOTE REGARDING FORWARD-LOOKING </w:t>
      </w:r>
      <w:r>
        <w:rPr>
          <w:rFonts w:ascii="Times New Roman" w:cs="Times New Roman" w:eastAsia="Times New Roman" w:hAnsi="Times New Roman"/>
          <w:sz w:val="17"/>
          <w:szCs w:val="17"/>
          <w:color w:val="auto"/>
        </w:rPr>
        <w:t>INFORMATION</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58" w:name="page59"/>
    <w:bookmarkEnd w:id="58"/>
    <w:p>
      <w:pPr>
        <w:jc w:val="both"/>
        <w:spacing w:after="0" w:line="239" w:lineRule="auto"/>
        <w:rPr>
          <w:sz w:val="20"/>
          <w:szCs w:val="20"/>
          <w:color w:val="auto"/>
        </w:rPr>
      </w:pPr>
      <w:r>
        <w:rPr>
          <w:rFonts w:ascii="Times New Roman" w:cs="Times New Roman" w:eastAsia="Times New Roman" w:hAnsi="Times New Roman"/>
          <w:sz w:val="17"/>
          <w:szCs w:val="17"/>
          <w:color w:val="auto"/>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09" w:lineRule="exact"/>
        <w:rPr>
          <w:sz w:val="20"/>
          <w:szCs w:val="20"/>
          <w:color w:val="auto"/>
        </w:rPr>
      </w:pPr>
    </w:p>
    <w:p>
      <w:pPr>
        <w:ind w:left="520" w:hanging="255"/>
        <w:spacing w:after="0" w:line="249" w:lineRule="auto"/>
        <w:tabs>
          <w:tab w:leader="none" w:pos="53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fluctuation of losses from quarter to quarter and year to year due to numerous external risk factors, and anticipation that the Corporation will continue to incur significant losses in the future;</w:t>
      </w:r>
    </w:p>
    <w:p>
      <w:pPr>
        <w:ind w:left="540" w:hanging="275"/>
        <w:spacing w:after="0" w:line="23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as to the Corporation's ability to raise additional funding to support operations;</w:t>
      </w:r>
    </w:p>
    <w:p>
      <w:pPr>
        <w:ind w:left="540" w:hanging="275"/>
        <w:spacing w:after="0" w:line="23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ability to access additional funding;</w:t>
      </w:r>
    </w:p>
    <w:p>
      <w:pPr>
        <w:ind w:left="540" w:hanging="275"/>
        <w:spacing w:after="0" w:line="23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fluctuation of foreign exchange rates;</w:t>
      </w:r>
    </w:p>
    <w:p>
      <w:pPr>
        <w:ind w:left="540" w:hanging="275"/>
        <w:spacing w:after="0" w:line="23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pandemics;</w:t>
      </w:r>
    </w:p>
    <w:p>
      <w:pPr>
        <w:ind w:left="540" w:hanging="275"/>
        <w:spacing w:after="0" w:line="23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associated with the development of the Corporation's product candidates which are at early stages of development;</w:t>
      </w:r>
    </w:p>
    <w:p>
      <w:pPr>
        <w:ind w:left="540" w:hanging="275"/>
        <w:spacing w:after="0" w:line="23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upon industry publications as the Corporation's primary sources for third-party industry data and forecasts;</w:t>
      </w:r>
    </w:p>
    <w:p>
      <w:pPr>
        <w:ind w:left="540" w:hanging="275"/>
        <w:spacing w:after="0" w:line="23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parties to plan, conduct and monitor the Corporation's preclinical studies and clinical trials;</w:t>
      </w:r>
    </w:p>
    <w:p>
      <w:pPr>
        <w:ind w:left="540" w:hanging="275"/>
        <w:spacing w:after="0" w:line="23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third party contract manufacturers to deliver quality clinical and preclinical materials;</w:t>
      </w:r>
    </w:p>
    <w:p>
      <w:pPr>
        <w:ind w:left="520" w:hanging="255"/>
        <w:spacing w:after="0" w:line="237" w:lineRule="auto"/>
        <w:tabs>
          <w:tab w:leader="none" w:pos="53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17"/>
          <w:szCs w:val="17"/>
          <w:color w:val="auto"/>
        </w:rPr>
      </w:pPr>
    </w:p>
    <w:p>
      <w:pPr>
        <w:ind w:left="540" w:hanging="275"/>
        <w:spacing w:after="0" w:line="237" w:lineRule="auto"/>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filing investigational new drug applications to commence clinical trials and to continue clinical trials if approved;</w:t>
      </w:r>
    </w:p>
    <w:p>
      <w:pPr>
        <w:ind w:left="540" w:hanging="275"/>
        <w:spacing w:after="0"/>
        <w:tabs>
          <w:tab w:leader="none" w:pos="5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delays and inability to complete clinical trials due to difficulties enrolling patients;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9" w:name="page60"/>
    <w:bookmarkEnd w:id="59"/>
    <w:p>
      <w:pPr>
        <w:ind w:left="540" w:hanging="27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other biotechnology and pharmaceutical companies;</w:t>
      </w:r>
    </w:p>
    <w:p>
      <w:pPr>
        <w:spacing w:after="0" w:line="17" w:lineRule="exact"/>
        <w:rPr>
          <w:rFonts w:ascii="Times New Roman" w:cs="Times New Roman" w:eastAsia="Times New Roman" w:hAnsi="Times New Roman"/>
          <w:sz w:val="17"/>
          <w:szCs w:val="17"/>
          <w:color w:val="auto"/>
        </w:rPr>
      </w:pPr>
    </w:p>
    <w:p>
      <w:pPr>
        <w:ind w:left="520" w:hanging="255"/>
        <w:spacing w:after="0" w:line="237" w:lineRule="auto"/>
        <w:tabs>
          <w:tab w:leader="none" w:pos="53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17"/>
          <w:szCs w:val="17"/>
          <w:color w:val="auto"/>
        </w:rPr>
      </w:pPr>
    </w:p>
    <w:p>
      <w:pPr>
        <w:ind w:left="540" w:hanging="275"/>
        <w:spacing w:after="0" w:line="237"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ability to fully realize the benefits of acquisitions;</w:t>
      </w:r>
    </w:p>
    <w:p>
      <w:pPr>
        <w:ind w:left="540" w:hanging="275"/>
        <w:spacing w:after="0" w:line="237"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ability to adequately protect the Corporation's intellectual property and trade secrets;</w:t>
      </w:r>
    </w:p>
    <w:p>
      <w:pPr>
        <w:ind w:left="540" w:hanging="275"/>
        <w:spacing w:after="0" w:line="237"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patent-related or other litigation; and</w:t>
      </w:r>
    </w:p>
    <w:p>
      <w:pPr>
        <w:ind w:left="520" w:hanging="255"/>
        <w:spacing w:after="0" w:line="250" w:lineRule="auto"/>
        <w:tabs>
          <w:tab w:leader="none" w:pos="53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unforeseen changes to the laws or regulations in the United States, Canada, the United Kingdom, the Netherlands, Ireland and other jurisdictions in which the Corporation operates.</w:t>
      </w:r>
    </w:p>
    <w:p>
      <w:pPr>
        <w:spacing w:after="0" w:line="1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In addition to the factors set out above and those identified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color w:val="auto"/>
        </w:rPr>
        <w:t>Many of these factors are beyond the Corporation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17"/>
          <w:szCs w:val="17"/>
          <w:color w:val="auto"/>
        </w:rPr>
        <w:t>Investors should read this entire Prospectus, including the Annual Information Form, the documents incorporated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reference herein, and each applicable Prospectus Supplement, and consult their own professional advisers to ascertain and assess the income tax and legal risks and other aspects associated with holding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TRADEMARKS AND SERVICE MARKS</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MARKETING MATERIALS</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Any template version of marketing materials (as such terms are defined in National Instrument 41-101 - </w:t>
      </w:r>
      <w:r>
        <w:rPr>
          <w:rFonts w:ascii="Times New Roman" w:cs="Times New Roman" w:eastAsia="Times New Roman" w:hAnsi="Times New Roman"/>
          <w:sz w:val="17"/>
          <w:szCs w:val="17"/>
          <w:i w:val="1"/>
          <w:iCs w:val="1"/>
          <w:color w:val="auto"/>
        </w:rPr>
        <w:t>General Prospectus Requirements</w:t>
      </w:r>
      <w:r>
        <w:rPr>
          <w:rFonts w:ascii="Times New Roman" w:cs="Times New Roman" w:eastAsia="Times New Roman" w:hAnsi="Times New Roman"/>
          <w:sz w:val="17"/>
          <w:szCs w:val="17"/>
          <w:color w:val="auto"/>
        </w:rPr>
        <w:t xml:space="preserve">) that are utilized in connection with the distribution of Securities will be filed under the Corporation's profile on </w:t>
      </w:r>
      <w:r>
        <w:rPr>
          <w:rFonts w:ascii="Times New Roman" w:cs="Times New Roman" w:eastAsia="Times New Roman" w:hAnsi="Times New Roman"/>
          <w:sz w:val="17"/>
          <w:szCs w:val="17"/>
          <w:u w:val="single" w:color="auto"/>
          <w:color w:val="auto"/>
        </w:rPr>
        <w:t>www.sedarplus.ca</w:t>
      </w:r>
      <w:r>
        <w:rPr>
          <w:rFonts w:ascii="Times New Roman" w:cs="Times New Roman" w:eastAsia="Times New Roman" w:hAnsi="Times New Roman"/>
          <w:sz w:val="17"/>
          <w:szCs w:val="17"/>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17"/>
          <w:szCs w:val="17"/>
          <w:i w:val="1"/>
          <w:iCs w:val="1"/>
          <w:color w:val="auto"/>
        </w:rPr>
        <w:t>Cautionary Note Regarding Forward-Looking Information"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this Prospectus.</w:t>
      </w:r>
    </w:p>
    <w:p>
      <w:pPr>
        <w:spacing w:after="0" w:line="11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17"/>
          <w:szCs w:val="17"/>
          <w:color w:val="auto"/>
        </w:rPr>
        <w:t>Copies of the documents incorporated herein by reference may be obtained on request without charge from the Secretary of the Corporation at 100 King Street West, Suite 5600, Toronto, Ontario M5X 1C9, telephone (908) 764-8385, and are also available electronically on SEDAR+.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of the Corporation filed with the securities commissions or similar authorities in Canada are incorporated by reference in this Prospectus:</w:t>
      </w:r>
    </w:p>
    <w:p>
      <w:pPr>
        <w:spacing w:after="0" w:line="145" w:lineRule="exact"/>
        <w:rPr>
          <w:sz w:val="20"/>
          <w:szCs w:val="20"/>
          <w:color w:val="auto"/>
        </w:rPr>
      </w:pPr>
    </w:p>
    <w:p>
      <w:pPr>
        <w:ind w:left="440" w:hanging="230"/>
        <w:spacing w:after="0"/>
        <w:tabs>
          <w:tab w:leader="none" w:pos="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information form of the Corporation dated June 30, 2025, for the year ended March 31, 2025 (the "</w:t>
      </w:r>
      <w:r>
        <w:rPr>
          <w:rFonts w:ascii="Times New Roman" w:cs="Times New Roman" w:eastAsia="Times New Roman" w:hAnsi="Times New Roman"/>
          <w:sz w:val="17"/>
          <w:szCs w:val="17"/>
          <w:b w:val="1"/>
          <w:bCs w:val="1"/>
          <w:color w:val="auto"/>
        </w:rPr>
        <w:t>Annual Information Form</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ind w:left="420" w:hanging="210"/>
        <w:spacing w:after="0" w:line="272" w:lineRule="auto"/>
        <w:tabs>
          <w:tab w:leader="none" w:pos="44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audited consolidated financial statements of the Corporation and the notes thereto as at and for the fiscal years ended March 31, 2025 and 2024, together with the auditor's report thereon;</w:t>
      </w:r>
    </w:p>
    <w:p>
      <w:pPr>
        <w:spacing w:after="0" w:line="84" w:lineRule="exact"/>
        <w:rPr>
          <w:rFonts w:ascii="Times New Roman" w:cs="Times New Roman" w:eastAsia="Times New Roman" w:hAnsi="Times New Roman"/>
          <w:sz w:val="17"/>
          <w:szCs w:val="17"/>
          <w:color w:val="auto"/>
        </w:rPr>
      </w:pPr>
    </w:p>
    <w:p>
      <w:pPr>
        <w:ind w:left="440" w:hanging="230"/>
        <w:spacing w:after="0"/>
        <w:tabs>
          <w:tab w:leader="none" w:pos="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discussion and analysis of the Corporation for the year ended March 31, 2025;</w:t>
      </w:r>
    </w:p>
    <w:p>
      <w:pPr>
        <w:spacing w:after="0" w:line="149" w:lineRule="exact"/>
        <w:rPr>
          <w:rFonts w:ascii="Times New Roman" w:cs="Times New Roman" w:eastAsia="Times New Roman" w:hAnsi="Times New Roman"/>
          <w:sz w:val="17"/>
          <w:szCs w:val="17"/>
          <w:color w:val="auto"/>
        </w:rPr>
      </w:pPr>
    </w:p>
    <w:p>
      <w:pPr>
        <w:ind w:left="420" w:hanging="210"/>
        <w:spacing w:after="0" w:line="272" w:lineRule="auto"/>
        <w:tabs>
          <w:tab w:leader="none" w:pos="44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17"/>
          <w:szCs w:val="17"/>
          <w:b w:val="1"/>
          <w:bCs w:val="1"/>
          <w:color w:val="auto"/>
        </w:rPr>
        <w:t>Interim Financial Statements</w:t>
      </w:r>
      <w:r>
        <w:rPr>
          <w:rFonts w:ascii="Times New Roman" w:cs="Times New Roman" w:eastAsia="Times New Roman" w:hAnsi="Times New Roman"/>
          <w:sz w:val="17"/>
          <w:szCs w:val="17"/>
          <w:color w:val="auto"/>
        </w:rPr>
        <w:t>");</w:t>
      </w:r>
    </w:p>
    <w:p>
      <w:pPr>
        <w:spacing w:after="0" w:line="80" w:lineRule="exact"/>
        <w:rPr>
          <w:rFonts w:ascii="Times New Roman" w:cs="Times New Roman" w:eastAsia="Times New Roman" w:hAnsi="Times New Roman"/>
          <w:sz w:val="17"/>
          <w:szCs w:val="17"/>
          <w:color w:val="auto"/>
        </w:rPr>
      </w:pPr>
    </w:p>
    <w:p>
      <w:pPr>
        <w:ind w:left="440" w:hanging="230"/>
        <w:spacing w:after="0"/>
        <w:tabs>
          <w:tab w:leader="none" w:pos="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discussion and analysis of the Corporation for the three months ended June 30, 2025 (the "</w:t>
      </w:r>
      <w:r>
        <w:rPr>
          <w:rFonts w:ascii="Times New Roman" w:cs="Times New Roman" w:eastAsia="Times New Roman" w:hAnsi="Times New Roman"/>
          <w:sz w:val="17"/>
          <w:szCs w:val="17"/>
          <w:b w:val="1"/>
          <w:bCs w:val="1"/>
          <w:color w:val="auto"/>
        </w:rPr>
        <w:t>Interim MD&amp;A</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color w:val="auto"/>
        </w:rPr>
      </w:pPr>
    </w:p>
    <w:p>
      <w:pPr>
        <w:jc w:val="both"/>
        <w:ind w:left="420" w:hanging="210"/>
        <w:spacing w:after="0" w:line="249" w:lineRule="auto"/>
        <w:tabs>
          <w:tab w:leader="none" w:pos="44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change report dated July 9, 2025, in connection with a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17"/>
          <w:szCs w:val="17"/>
          <w:b w:val="1"/>
          <w:bCs w:val="1"/>
          <w:color w:val="auto"/>
        </w:rPr>
        <w:t>Convertible Debentures</w:t>
      </w:r>
      <w:r>
        <w:rPr>
          <w:rFonts w:ascii="Times New Roman" w:cs="Times New Roman" w:eastAsia="Times New Roman" w:hAnsi="Times New Roman"/>
          <w:sz w:val="17"/>
          <w:szCs w:val="17"/>
          <w:color w:val="auto"/>
        </w:rPr>
        <w:t>") issued to a single investor ("</w:t>
      </w:r>
      <w:r>
        <w:rPr>
          <w:rFonts w:ascii="Times New Roman" w:cs="Times New Roman" w:eastAsia="Times New Roman" w:hAnsi="Times New Roman"/>
          <w:sz w:val="17"/>
          <w:szCs w:val="17"/>
          <w:b w:val="1"/>
          <w:bCs w:val="1"/>
          <w:color w:val="auto"/>
        </w:rPr>
        <w:t>High Trail</w:t>
      </w:r>
      <w:r>
        <w:rPr>
          <w:rFonts w:ascii="Times New Roman" w:cs="Times New Roman" w:eastAsia="Times New Roman" w:hAnsi="Times New Roman"/>
          <w:sz w:val="17"/>
          <w:szCs w:val="17"/>
          <w:color w:val="auto"/>
        </w:rPr>
        <w:t>") pursuant to a securities purchase agreement, dated June 30, 2025, as amended on August 12, 2025 (the "</w:t>
      </w:r>
      <w:r>
        <w:rPr>
          <w:rFonts w:ascii="Times New Roman" w:cs="Times New Roman" w:eastAsia="Times New Roman" w:hAnsi="Times New Roman"/>
          <w:sz w:val="17"/>
          <w:szCs w:val="17"/>
          <w:b w:val="1"/>
          <w:bCs w:val="1"/>
          <w:color w:val="auto"/>
        </w:rPr>
        <w:t>Securities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w:t>
      </w:r>
    </w:p>
    <w:p>
      <w:pPr>
        <w:spacing w:after="0" w:line="114" w:lineRule="exact"/>
        <w:rPr>
          <w:rFonts w:ascii="Times New Roman" w:cs="Times New Roman" w:eastAsia="Times New Roman" w:hAnsi="Times New Roman"/>
          <w:sz w:val="17"/>
          <w:szCs w:val="17"/>
          <w:color w:val="auto"/>
        </w:rPr>
      </w:pPr>
    </w:p>
    <w:p>
      <w:pPr>
        <w:ind w:left="440" w:hanging="230"/>
        <w:spacing w:after="0"/>
        <w:tabs>
          <w:tab w:leader="none" w:pos="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change report dated September 3, 2025, relating to senior leadership changes; and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61" w:name="page62"/>
    <w:bookmarkEnd w:id="61"/>
    <w:p>
      <w:pPr>
        <w:ind w:left="420" w:hanging="210"/>
        <w:spacing w:after="0" w:line="273" w:lineRule="auto"/>
        <w:tabs>
          <w:tab w:leader="none" w:pos="44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information circular of the Corporation dated July 14, 2025 relating to the annual and special meeting of shareholders of the Corporation to be held on August 18, 2025.</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Any document of the type referred to in Item 11.1 of Form 44-101F1 - </w:t>
      </w:r>
      <w:r>
        <w:rPr>
          <w:rFonts w:ascii="Times New Roman" w:cs="Times New Roman" w:eastAsia="Times New Roman" w:hAnsi="Times New Roman"/>
          <w:sz w:val="17"/>
          <w:szCs w:val="17"/>
          <w:i w:val="1"/>
          <w:iCs w:val="1"/>
          <w:color w:val="auto"/>
        </w:rPr>
        <w:t>Short Form Prospectus</w:t>
      </w:r>
      <w:r>
        <w:rPr>
          <w:rFonts w:ascii="Times New Roman" w:cs="Times New Roman" w:eastAsia="Times New Roman" w:hAnsi="Times New Roman"/>
          <w:sz w:val="17"/>
          <w:szCs w:val="17"/>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17"/>
          <w:szCs w:val="17"/>
          <w:u w:val="single" w:color="auto"/>
          <w:color w:val="auto"/>
        </w:rPr>
        <w:t>www.sedarplus.ca</w:t>
      </w:r>
      <w:r>
        <w:rPr>
          <w:rFonts w:ascii="Times New Roman" w:cs="Times New Roman" w:eastAsia="Times New Roman" w:hAnsi="Times New Roman"/>
          <w:sz w:val="17"/>
          <w:szCs w:val="17"/>
          <w:color w:val="auto"/>
        </w:rPr>
        <w:t xml:space="preserve">, and from the Corporation's EDGAR profile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The Corporation's filings through SEDAR+ and EDGAR are not incorporated by reference in the Prospectus except as specifically set out herein.</w:t>
      </w:r>
    </w:p>
    <w:p>
      <w:pPr>
        <w:spacing w:after="0" w:line="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FILED AS PART OF THE REGISTRATION STATEMENT</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The following documents have been, or will be, filed with the SEC as part of the Registration Statement of which this Prospectus forms a part: (i) the documents listed under </w:t>
      </w:r>
      <w:r>
        <w:rPr>
          <w:rFonts w:ascii="Times New Roman" w:cs="Times New Roman" w:eastAsia="Times New Roman" w:hAnsi="Times New Roman"/>
          <w:sz w:val="17"/>
          <w:szCs w:val="17"/>
          <w:i w:val="1"/>
          <w:iCs w:val="1"/>
          <w:color w:val="auto"/>
        </w:rPr>
        <w:t>"Documents Incorporated by Reference"</w:t>
      </w:r>
      <w:r>
        <w:rPr>
          <w:rFonts w:ascii="Times New Roman" w:cs="Times New Roman" w:eastAsia="Times New Roman" w:hAnsi="Times New Roman"/>
          <w:sz w:val="17"/>
          <w:szCs w:val="17"/>
          <w:color w:val="auto"/>
        </w:rPr>
        <w:t>;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b w:val="1"/>
          <w:bCs w:val="1"/>
          <w:color w:val="auto"/>
        </w:rPr>
        <w:t>THE CORPORATION</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the Business</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w:t>
      </w:r>
    </w:p>
    <w:p>
      <w:pPr>
        <w:spacing w:after="0"/>
        <w:rPr>
          <w:sz w:val="20"/>
          <w:szCs w:val="20"/>
          <w:color w:val="auto"/>
        </w:rPr>
      </w:pPr>
      <w:r>
        <w:rPr>
          <w:rFonts w:ascii="Times New Roman" w:cs="Times New Roman" w:eastAsia="Times New Roman" w:hAnsi="Times New Roman"/>
          <w:sz w:val="17"/>
          <w:szCs w:val="17"/>
          <w:color w:val="auto"/>
        </w:rPr>
        <w:t>innovative drug delivery systems, and novel formulation approaches and treatment regimens.</w:t>
      </w:r>
      <w:r>
        <w:rPr>
          <w:rFonts w:ascii="Times New Roman" w:cs="Times New Roman" w:eastAsia="Times New Roman" w:hAnsi="Times New Roman"/>
          <w:sz w:val="28"/>
          <w:szCs w:val="28"/>
          <w:color w:val="auto"/>
          <w:vertAlign w:val="superscript"/>
        </w:rPr>
        <w:t>3</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17"/>
          <w:szCs w:val="17"/>
          <w:b w:val="1"/>
          <w:bCs w:val="1"/>
          <w:color w:val="auto"/>
        </w:rPr>
        <w:t>IP</w:t>
      </w:r>
      <w:r>
        <w:rPr>
          <w:rFonts w:ascii="Times New Roman" w:cs="Times New Roman" w:eastAsia="Times New Roman" w:hAnsi="Times New Roman"/>
          <w:sz w:val="17"/>
          <w:szCs w:val="17"/>
          <w:color w:val="auto"/>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 xml:space="preserve">On October 23, 2023, the Corporation completed a statutory plan of arrangement under the provisions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(the "</w:t>
      </w:r>
      <w:r>
        <w:rPr>
          <w:rFonts w:ascii="Times New Roman" w:cs="Times New Roman" w:eastAsia="Times New Roman" w:hAnsi="Times New Roman"/>
          <w:sz w:val="17"/>
          <w:szCs w:val="17"/>
          <w:b w:val="1"/>
          <w:bCs w:val="1"/>
          <w:color w:val="auto"/>
        </w:rPr>
        <w:t>Arrangement</w:t>
      </w:r>
      <w:r>
        <w:rPr>
          <w:rFonts w:ascii="Times New Roman" w:cs="Times New Roman" w:eastAsia="Times New Roman" w:hAnsi="Times New Roman"/>
          <w:sz w:val="17"/>
          <w:szCs w:val="17"/>
          <w:color w:val="auto"/>
        </w:rPr>
        <w:t>"), pursuant to which Small Pharma Inc. ("</w:t>
      </w:r>
      <w:r>
        <w:rPr>
          <w:rFonts w:ascii="Times New Roman" w:cs="Times New Roman" w:eastAsia="Times New Roman" w:hAnsi="Times New Roman"/>
          <w:sz w:val="17"/>
          <w:szCs w:val="17"/>
          <w:b w:val="1"/>
          <w:bCs w:val="1"/>
          <w:color w:val="auto"/>
        </w:rPr>
        <w:t>Small Pharma</w:t>
      </w:r>
      <w:r>
        <w:rPr>
          <w:rFonts w:ascii="Times New Roman" w:cs="Times New Roman" w:eastAsia="Times New Roman" w:hAnsi="Times New Roman"/>
          <w:sz w:val="17"/>
          <w:szCs w:val="17"/>
          <w:color w:val="auto"/>
        </w:rPr>
        <w:t xml:space="preserve">") became a 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Small Pharma completed a horizontal amalgamation with Cybin Corp., with Cybin Corp. being the resulting entity. As a result of this amalgamation, Cybin UK Ltd is now a wholly-owned subsidiary of Cybin Corp.</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98" w:lineRule="exact"/>
        <w:rPr>
          <w:sz w:val="20"/>
          <w:szCs w:val="20"/>
          <w:color w:val="auto"/>
        </w:rPr>
      </w:pPr>
    </w:p>
    <w:p>
      <w:pPr>
        <w:ind w:right="600"/>
        <w:spacing w:after="0" w:line="416" w:lineRule="auto"/>
        <w:rPr>
          <w:sz w:val="20"/>
          <w:szCs w:val="20"/>
          <w:color w:val="auto"/>
        </w:rPr>
      </w:pPr>
      <w:r>
        <w:rPr>
          <w:rFonts w:ascii="Times New Roman" w:cs="Times New Roman" w:eastAsia="Times New Roman" w:hAnsi="Times New Roman"/>
          <w:sz w:val="17"/>
          <w:szCs w:val="17"/>
          <w:color w:val="auto"/>
        </w:rPr>
        <w:t xml:space="preserve">As a result of the acquisition of Small Pharma by way of the Arrangement, Cybin currently has over 90 granted patents and over 230 pending applications. </w:t>
      </w:r>
      <w:r>
        <w:rPr>
          <w:rFonts w:ascii="Times New Roman" w:cs="Times New Roman" w:eastAsia="Times New Roman" w:hAnsi="Times New Roman"/>
          <w:sz w:val="17"/>
          <w:szCs w:val="17"/>
          <w:b w:val="1"/>
          <w:bCs w:val="1"/>
          <w:i w:val="1"/>
          <w:iCs w:val="1"/>
          <w:color w:val="auto"/>
        </w:rPr>
        <w:t>Advancement of Mental Healthcare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 delivered through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systems including via inhalation, via intravenous ("</w:t>
      </w: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and intramuscular, or subcutaneous administration.</w:t>
      </w:r>
      <w:r>
        <w:rPr>
          <w:rFonts w:ascii="Times New Roman" w:cs="Times New Roman" w:eastAsia="Times New Roman" w:hAnsi="Times New Roman"/>
          <w:sz w:val="28"/>
          <w:szCs w:val="28"/>
          <w:color w:val="auto"/>
          <w:vertAlign w:val="superscript"/>
        </w:rPr>
        <w:t>4</w:t>
      </w:r>
    </w:p>
    <w:p>
      <w:pPr>
        <w:spacing w:after="0" w:line="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17931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color w:val="auto"/>
        </w:rPr>
        <w:t>The Corporation intends to apply for regulatory approval for therapies targeting indications such as major depressive disorder, alcohol use disorder, generalized</w:t>
      </w:r>
    </w:p>
    <w:p>
      <w:pPr>
        <w:spacing w:after="0" w:line="2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anxiety disorder and potentially other various mental health conditions.</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The Corporation is also developing compounds that may have the potential to address neuroinflammation, central nervous system disorders, and psychiatric disorders.</w:t>
      </w:r>
      <w:r>
        <w:rPr>
          <w:rFonts w:ascii="Times New Roman" w:cs="Times New Roman" w:eastAsia="Times New Roman" w:hAnsi="Times New Roman"/>
          <w:sz w:val="28"/>
          <w:szCs w:val="28"/>
          <w:color w:val="auto"/>
          <w:vertAlign w:val="superscript"/>
        </w:rPr>
        <w:t>6</w:t>
      </w:r>
    </w:p>
    <w:p>
      <w:pPr>
        <w:jc w:val="both"/>
        <w:spacing w:after="0" w:line="230" w:lineRule="auto"/>
        <w:rPr>
          <w:sz w:val="20"/>
          <w:szCs w:val="20"/>
          <w:color w:val="auto"/>
        </w:rPr>
      </w:pPr>
      <w:r>
        <w:rPr>
          <w:rFonts w:ascii="Times New Roman" w:cs="Times New Roman" w:eastAsia="Times New Roman" w:hAnsi="Times New Roman"/>
          <w:sz w:val="17"/>
          <w:szCs w:val="17"/>
          <w:color w:val="auto"/>
        </w:rPr>
        <w:t>Further, over the next 12-month period, the Corporation will continue to seek to establish strategic partnerships that advance the Corporation's scientific research and IP for new psychedelic-based compounds and novel delivery mechanisms.</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The Corporation will also continue to sponsor select internal and partner-related clinical trials that advance the understanding of safety and efficacy for various psychedelic agents that target mental health conditions.</w:t>
      </w:r>
      <w:r>
        <w:rPr>
          <w:rFonts w:ascii="Times New Roman" w:cs="Times New Roman" w:eastAsia="Times New Roman" w:hAnsi="Times New Roman"/>
          <w:sz w:val="28"/>
          <w:szCs w:val="28"/>
          <w:color w:val="auto"/>
          <w:vertAlign w:val="superscript"/>
        </w:rPr>
        <w:t>8</w:t>
      </w:r>
    </w:p>
    <w:p>
      <w:pPr>
        <w:spacing w:after="0" w:line="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Corporation has determined that its business and the advancement of its research and development activities, including clinical development programs, are not substantially dependent on any single agreement that has not otherwise been disclosed as a material contract. This assessment reflects the Corporation's current stage of development, operational structure, and the status of its clinical trials. In the event that the Corporation's relationship with a third-party strategic partner is terminated, the Corporation would seek to engage a new partner to continue advancing its clinical development programs. The Corporation currently has over 20 clinical sites supporting its CYB003 program and is aware of other strategic partners capable of providing similar support. While the replacement of a strategic partner may affect projected timelines and costs, the Corporation does not consider this a material risk to the progression of its clinical development programs. Accordingly, the Corporation does not consider all its third-party strategic partner agreements to be currently material. The Corporation will continue to assess the materiality of these agreements on an ongoing basis as circumstances warrant.</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For additional information in respect of the Corporation and its operations, please see the Annual Information Form and the Interim MD&amp;A incorporated by reference into this Prospectus.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Inter-Corporate Relationships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107950</wp:posOffset>
            </wp:positionV>
            <wp:extent cx="3392170" cy="22498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92170" cy="2249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 Recent Developments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Other than as set forth below and generally in this Prospectus or the documents incorporated by reference herein, there have been no material developments in the business of the Corporation since August 13, 2025, the date of the Interim Financial Statements and Interim MD&amp;A.</w:t>
      </w:r>
    </w:p>
    <w:p>
      <w:pPr>
        <w:spacing w:after="0" w:line="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September 8, 2025, the Corporation announced completion of enrollment in its Phase 2 study evaluating CYB004, a proprietary DMT program, for the treatment of Generalized Anxiety Disorder and reaffirms top line data guidance expected in the first quarter of 2026.</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65" w:name="page66"/>
    <w:bookmarkEnd w:id="65"/>
    <w:p>
      <w:pPr>
        <w:ind w:left="4540"/>
        <w:spacing w:after="0"/>
        <w:rPr>
          <w:sz w:val="20"/>
          <w:szCs w:val="20"/>
          <w:color w:val="auto"/>
        </w:rPr>
      </w:pPr>
      <w:r>
        <w:rPr>
          <w:rFonts w:ascii="Times New Roman" w:cs="Times New Roman" w:eastAsia="Times New Roman" w:hAnsi="Times New Roman"/>
          <w:sz w:val="17"/>
          <w:szCs w:val="17"/>
          <w:b w:val="1"/>
          <w:bCs w:val="1"/>
          <w:color w:val="auto"/>
        </w:rPr>
        <w:t>REGULATORY OVERVIEW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applicable regulatory framework for the Corporation's various business segments and proposed business activity are set forth below.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17"/>
          <w:szCs w:val="17"/>
          <w:b w:val="1"/>
          <w:bCs w:val="1"/>
          <w:color w:val="auto"/>
        </w:rPr>
        <w:t>Section 56 Exemption</w:t>
      </w:r>
      <w:r>
        <w:rPr>
          <w:rFonts w:ascii="Times New Roman" w:cs="Times New Roman" w:eastAsia="Times New Roman" w:hAnsi="Times New Roman"/>
          <w:sz w:val="17"/>
          <w:szCs w:val="17"/>
          <w:color w:val="auto"/>
        </w:rPr>
        <w:t>") is required.</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Health Canada's Special Access Program ("</w:t>
      </w:r>
      <w:r>
        <w:rPr>
          <w:rFonts w:ascii="Times New Roman" w:cs="Times New Roman" w:eastAsia="Times New Roman" w:hAnsi="Times New Roman"/>
          <w:sz w:val="17"/>
          <w:szCs w:val="17"/>
          <w:b w:val="1"/>
          <w:bCs w:val="1"/>
          <w:color w:val="auto"/>
        </w:rPr>
        <w:t>SAP</w:t>
      </w:r>
      <w:r>
        <w:rPr>
          <w:rFonts w:ascii="Times New Roman" w:cs="Times New Roman" w:eastAsia="Times New Roman" w:hAnsi="Times New Roman"/>
          <w:sz w:val="17"/>
          <w:szCs w:val="17"/>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spacing w:after="0" w:line="1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Please see "</w:t>
      </w:r>
      <w:r>
        <w:rPr>
          <w:rFonts w:ascii="Times New Roman" w:cs="Times New Roman" w:eastAsia="Times New Roman" w:hAnsi="Times New Roman"/>
          <w:sz w:val="17"/>
          <w:szCs w:val="17"/>
          <w:i w:val="1"/>
          <w:iCs w:val="1"/>
          <w:color w:val="auto"/>
        </w:rPr>
        <w:t>Description of the Business - Research and Development"</w:t>
      </w:r>
      <w:r>
        <w:rPr>
          <w:rFonts w:ascii="Times New Roman" w:cs="Times New Roman" w:eastAsia="Times New Roman" w:hAnsi="Times New Roman"/>
          <w:sz w:val="17"/>
          <w:szCs w:val="17"/>
          <w:color w:val="auto"/>
        </w:rPr>
        <w:t xml:space="preserve"> in the Annual Information Form for additional information concerning the regulation applicable to the process required before prescription drug product candidates may be marketed in Canada.</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w:t>
      </w:r>
    </w:p>
    <w:p>
      <w:pPr>
        <w:jc w:val="both"/>
        <w:ind w:firstLine="6"/>
        <w:spacing w:after="0"/>
        <w:tabs>
          <w:tab w:leader="none" w:pos="17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17"/>
          <w:szCs w:val="17"/>
          <w:b w:val="1"/>
          <w:bCs w:val="1"/>
          <w:color w:val="auto"/>
        </w:rPr>
        <w:t>DEA</w:t>
      </w:r>
      <w:r>
        <w:rPr>
          <w:rFonts w:ascii="Times New Roman" w:cs="Times New Roman" w:eastAsia="Times New Roman" w:hAnsi="Times New Roman"/>
          <w:sz w:val="17"/>
          <w:szCs w:val="17"/>
          <w:color w:val="auto"/>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0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See </w:t>
      </w:r>
      <w:r>
        <w:rPr>
          <w:rFonts w:ascii="Times New Roman" w:cs="Times New Roman" w:eastAsia="Times New Roman" w:hAnsi="Times New Roman"/>
          <w:sz w:val="17"/>
          <w:szCs w:val="17"/>
          <w:i w:val="1"/>
          <w:iCs w:val="1"/>
          <w:color w:val="auto"/>
        </w:rPr>
        <w:t>"Description of the Business - Research and Development"</w:t>
      </w:r>
      <w:r>
        <w:rPr>
          <w:rFonts w:ascii="Times New Roman" w:cs="Times New Roman" w:eastAsia="Times New Roman" w:hAnsi="Times New Roman"/>
          <w:sz w:val="17"/>
          <w:szCs w:val="17"/>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Europe (Netherlands)</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International Narcotics Control Board ("</w:t>
      </w:r>
      <w:r>
        <w:rPr>
          <w:rFonts w:ascii="Times New Roman" w:cs="Times New Roman" w:eastAsia="Times New Roman" w:hAnsi="Times New Roman"/>
          <w:sz w:val="17"/>
          <w:szCs w:val="17"/>
          <w:b w:val="1"/>
          <w:bCs w:val="1"/>
          <w:color w:val="auto"/>
        </w:rPr>
        <w:t>INCB</w:t>
      </w:r>
      <w:r>
        <w:rPr>
          <w:rFonts w:ascii="Times New Roman" w:cs="Times New Roman" w:eastAsia="Times New Roman" w:hAnsi="Times New Roman"/>
          <w:sz w:val="17"/>
          <w:szCs w:val="17"/>
          <w:color w:val="auto"/>
        </w:rPr>
        <w:t>"), a United Nations ("</w:t>
      </w:r>
      <w:r>
        <w:rPr>
          <w:rFonts w:ascii="Times New Roman" w:cs="Times New Roman" w:eastAsia="Times New Roman" w:hAnsi="Times New Roman"/>
          <w:sz w:val="17"/>
          <w:szCs w:val="17"/>
          <w:b w:val="1"/>
          <w:bCs w:val="1"/>
          <w:color w:val="auto"/>
        </w:rPr>
        <w:t>UN</w:t>
      </w:r>
      <w:r>
        <w:rPr>
          <w:rFonts w:ascii="Times New Roman" w:cs="Times New Roman" w:eastAsia="Times New Roman" w:hAnsi="Times New Roman"/>
          <w:sz w:val="17"/>
          <w:szCs w:val="17"/>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w:t>
      </w:r>
    </w:p>
    <w:p>
      <w:pPr>
        <w:jc w:val="both"/>
        <w:spacing w:after="0" w:line="212" w:lineRule="auto"/>
        <w:rPr>
          <w:sz w:val="20"/>
          <w:szCs w:val="20"/>
          <w:color w:val="auto"/>
        </w:rPr>
      </w:pPr>
      <w:r>
        <w:rPr>
          <w:rFonts w:ascii="Times New Roman" w:cs="Times New Roman" w:eastAsia="Times New Roman" w:hAnsi="Times New Roman"/>
          <w:sz w:val="17"/>
          <w:szCs w:val="17"/>
          <w:color w:val="auto"/>
        </w:rPr>
        <w:t>substances, the Council Decision 2005/387/JHA of May 10, 2005 (which applies only in certain limited situations)</w:t>
      </w:r>
      <w:r>
        <w:rPr>
          <w:rFonts w:ascii="Times New Roman" w:cs="Times New Roman" w:eastAsia="Times New Roman" w:hAnsi="Times New Roman"/>
          <w:sz w:val="28"/>
          <w:szCs w:val="28"/>
          <w:color w:val="auto"/>
          <w:vertAlign w:val="superscript"/>
        </w:rPr>
        <w:t>10</w:t>
      </w:r>
      <w:r>
        <w:rPr>
          <w:rFonts w:ascii="Times New Roman" w:cs="Times New Roman" w:eastAsia="Times New Roman" w:hAnsi="Times New Roman"/>
          <w:sz w:val="17"/>
          <w:szCs w:val="17"/>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67" w:name="page68"/>
    <w:bookmarkEnd w:id="67"/>
    <w:p>
      <w:pPr>
        <w:jc w:val="both"/>
        <w:ind w:left="520"/>
        <w:spacing w:after="0" w:line="249" w:lineRule="auto"/>
        <w:rPr>
          <w:sz w:val="20"/>
          <w:szCs w:val="20"/>
          <w:color w:val="auto"/>
        </w:rPr>
      </w:pPr>
      <w:r>
        <w:rPr>
          <w:rFonts w:ascii="Times New Roman" w:cs="Times New Roman" w:eastAsia="Times New Roman" w:hAnsi="Times New Roman"/>
          <w:sz w:val="17"/>
          <w:szCs w:val="17"/>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-207645</wp:posOffset>
            </wp:positionV>
            <wp:extent cx="59690" cy="596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20" w:right="3300"/>
        <w:spacing w:after="0" w:line="237" w:lineRule="auto"/>
        <w:rPr>
          <w:sz w:val="20"/>
          <w:szCs w:val="20"/>
          <w:color w:val="auto"/>
        </w:rPr>
      </w:pPr>
      <w:r>
        <w:rPr>
          <w:rFonts w:ascii="Times New Roman" w:cs="Times New Roman" w:eastAsia="Times New Roman" w:hAnsi="Times New Roman"/>
          <w:sz w:val="17"/>
          <w:szCs w:val="17"/>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-207645</wp:posOffset>
            </wp:positionV>
            <wp:extent cx="59690"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-84455</wp:posOffset>
            </wp:positionV>
            <wp:extent cx="59690"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7"/>
          <w:szCs w:val="17"/>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-85725</wp:posOffset>
            </wp:positionV>
            <wp:extent cx="596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20"/>
        <w:spacing w:after="0" w:line="237" w:lineRule="auto"/>
        <w:rPr>
          <w:sz w:val="20"/>
          <w:szCs w:val="20"/>
          <w:color w:val="auto"/>
        </w:rPr>
      </w:pPr>
      <w:r>
        <w:rPr>
          <w:rFonts w:ascii="Times New Roman" w:cs="Times New Roman" w:eastAsia="Times New Roman" w:hAnsi="Times New Roman"/>
          <w:sz w:val="17"/>
          <w:szCs w:val="17"/>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-207645</wp:posOffset>
            </wp:positionV>
            <wp:extent cx="596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20"/>
        <w:spacing w:after="0" w:line="245" w:lineRule="auto"/>
        <w:rPr>
          <w:sz w:val="20"/>
          <w:szCs w:val="20"/>
          <w:color w:val="auto"/>
        </w:rPr>
      </w:pPr>
      <w:r>
        <w:rPr>
          <w:rFonts w:ascii="Times New Roman" w:cs="Times New Roman" w:eastAsia="Times New Roman" w:hAnsi="Times New Roman"/>
          <w:sz w:val="17"/>
          <w:szCs w:val="17"/>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-215900</wp:posOffset>
            </wp:positionV>
            <wp:extent cx="59690" cy="596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7"/>
          <w:szCs w:val="17"/>
          <w:b w:val="1"/>
          <w:bCs w:val="1"/>
          <w:color w:val="auto"/>
        </w:rPr>
        <w:t>Dutch Opium Act</w:t>
      </w:r>
      <w:r>
        <w:rPr>
          <w:rFonts w:ascii="Times New Roman" w:cs="Times New Roman" w:eastAsia="Times New Roman" w:hAnsi="Times New Roman"/>
          <w:sz w:val="17"/>
          <w:szCs w:val="17"/>
          <w:color w:val="auto"/>
        </w:rPr>
        <w:t>") and as such, subject to express authorization being obtained, the production, trade and possession of DMT are prohibited.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the Dutch Opium Act, two other Dutch Acts may be relevant when it comes to drugs: the Medicines Act and the Commodities Act.</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7"/>
          <w:szCs w:val="17"/>
          <w:b w:val="1"/>
          <w:bCs w:val="1"/>
          <w:color w:val="auto"/>
        </w:rPr>
        <w:t>CCMO</w:t>
      </w:r>
      <w:r>
        <w:rPr>
          <w:rFonts w:ascii="Times New Roman" w:cs="Times New Roman" w:eastAsia="Times New Roman" w:hAnsi="Times New Roman"/>
          <w:sz w:val="17"/>
          <w:szCs w:val="17"/>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Ireland</w:t>
      </w:r>
    </w:p>
    <w:p>
      <w:pPr>
        <w:spacing w:after="0" w:line="1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Ireland, psilocin is a controlled substance under the Misuse of Drugs Act, 1977, 1984 and 2015 (the "</w:t>
      </w:r>
      <w:r>
        <w:rPr>
          <w:rFonts w:ascii="Times New Roman" w:cs="Times New Roman" w:eastAsia="Times New Roman" w:hAnsi="Times New Roman"/>
          <w:sz w:val="17"/>
          <w:szCs w:val="17"/>
          <w:b w:val="1"/>
          <w:bCs w:val="1"/>
          <w:color w:val="auto"/>
        </w:rPr>
        <w:t>Ireland MDA</w:t>
      </w:r>
      <w:r>
        <w:rPr>
          <w:rFonts w:ascii="Times New Roman" w:cs="Times New Roman" w:eastAsia="Times New Roman" w:hAnsi="Times New Roman"/>
          <w:sz w:val="17"/>
          <w:szCs w:val="17"/>
          <w:color w:val="auto"/>
        </w:rPr>
        <w:t>"), the Misuse of Drugs Regulations 2017 (the "</w:t>
      </w:r>
      <w:r>
        <w:rPr>
          <w:rFonts w:ascii="Times New Roman" w:cs="Times New Roman" w:eastAsia="Times New Roman" w:hAnsi="Times New Roman"/>
          <w:sz w:val="17"/>
          <w:szCs w:val="17"/>
          <w:b w:val="1"/>
          <w:bCs w:val="1"/>
          <w:color w:val="auto"/>
        </w:rPr>
        <w:t>Ireland MDR</w:t>
      </w:r>
      <w:r>
        <w:rPr>
          <w:rFonts w:ascii="Times New Roman" w:cs="Times New Roman" w:eastAsia="Times New Roman" w:hAnsi="Times New Roman"/>
          <w:sz w:val="17"/>
          <w:szCs w:val="17"/>
          <w:color w:val="auto"/>
        </w:rPr>
        <w:t>") and the Criminal Justice (Psychoactive Substances) Act 2010 (the "</w:t>
      </w:r>
      <w:r>
        <w:rPr>
          <w:rFonts w:ascii="Times New Roman" w:cs="Times New Roman" w:eastAsia="Times New Roman" w:hAnsi="Times New Roman"/>
          <w:sz w:val="17"/>
          <w:szCs w:val="17"/>
          <w:b w:val="1"/>
          <w:bCs w:val="1"/>
          <w:color w:val="auto"/>
        </w:rPr>
        <w:t>2010 Act</w:t>
      </w:r>
      <w:r>
        <w:rPr>
          <w:rFonts w:ascii="Times New Roman" w:cs="Times New Roman" w:eastAsia="Times New Roman" w:hAnsi="Times New Roman"/>
          <w:sz w:val="17"/>
          <w:szCs w:val="17"/>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8" w:name="page69"/>
    <w:bookmarkEnd w:id="68"/>
    <w:p>
      <w:pPr>
        <w:jc w:val="both"/>
        <w:spacing w:after="0" w:line="255" w:lineRule="auto"/>
        <w:rPr>
          <w:sz w:val="20"/>
          <w:szCs w:val="20"/>
          <w:color w:val="auto"/>
        </w:rPr>
      </w:pPr>
      <w:r>
        <w:rPr>
          <w:rFonts w:ascii="Times New Roman" w:cs="Times New Roman" w:eastAsia="Times New Roman" w:hAnsi="Times New Roman"/>
          <w:sz w:val="17"/>
          <w:szCs w:val="17"/>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 w:cs="Times New Roman" w:eastAsia="Times New Roman" w:hAnsi="Times New Roman"/>
          <w:sz w:val="17"/>
          <w:szCs w:val="17"/>
          <w:i w:val="1"/>
          <w:iCs w:val="1"/>
          <w:color w:val="auto"/>
        </w:rPr>
        <w:t>substance,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product, preparation, plant, fungus or natural organism</w:t>
      </w:r>
      <w:r>
        <w:rPr>
          <w:rFonts w:ascii="Times New Roman" w:cs="Times New Roman" w:eastAsia="Times New Roman" w:hAnsi="Times New Roman"/>
          <w:sz w:val="17"/>
          <w:szCs w:val="17"/>
          <w:color w:val="auto"/>
        </w:rPr>
        <w:t>" as specified in the order.</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Irish Government's Legislative Programme for Summer 2025 does not contain any proposed amendments to the above-mentioned legislation which currently govern controlled substances.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United Kingdom</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main UK controlled drugs legislation is the Misuse of Drugs Act 1971 (the "</w:t>
      </w:r>
      <w:r>
        <w:rPr>
          <w:rFonts w:ascii="Times New Roman" w:cs="Times New Roman" w:eastAsia="Times New Roman" w:hAnsi="Times New Roman"/>
          <w:sz w:val="17"/>
          <w:szCs w:val="17"/>
          <w:b w:val="1"/>
          <w:bCs w:val="1"/>
          <w:color w:val="auto"/>
        </w:rPr>
        <w:t>MDA</w:t>
      </w:r>
      <w:r>
        <w:rPr>
          <w:rFonts w:ascii="Times New Roman" w:cs="Times New Roman" w:eastAsia="Times New Roman" w:hAnsi="Times New Roman"/>
          <w:sz w:val="17"/>
          <w:szCs w:val="17"/>
          <w:color w:val="auto"/>
        </w:rPr>
        <w:t>") and the Misuse of Drugs Regulations 2001 (the "</w:t>
      </w:r>
      <w:r>
        <w:rPr>
          <w:rFonts w:ascii="Times New Roman" w:cs="Times New Roman" w:eastAsia="Times New Roman" w:hAnsi="Times New Roman"/>
          <w:sz w:val="17"/>
          <w:szCs w:val="17"/>
          <w:b w:val="1"/>
          <w:bCs w:val="1"/>
          <w:color w:val="auto"/>
        </w:rPr>
        <w:t>MDR</w:t>
      </w:r>
      <w:r>
        <w:rPr>
          <w:rFonts w:ascii="Times New Roman" w:cs="Times New Roman" w:eastAsia="Times New Roman" w:hAnsi="Times New Roman"/>
          <w:sz w:val="17"/>
          <w:szCs w:val="17"/>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the United Kingdom, "Fungus (of any kind) which contains psilocin or an ester of psilocin" is controlled as a Class A drug under the MDA and Schedule 1 drug under the MDR.</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9" w:name="page70"/>
    <w:bookmarkEnd w:id="69"/>
    <w:p>
      <w:pPr>
        <w:jc w:val="both"/>
        <w:ind w:right="80"/>
        <w:spacing w:after="0" w:line="243" w:lineRule="auto"/>
        <w:rPr>
          <w:sz w:val="20"/>
          <w:szCs w:val="20"/>
          <w:color w:val="auto"/>
        </w:rPr>
      </w:pPr>
      <w:r>
        <w:rPr>
          <w:rFonts w:ascii="Times New Roman" w:cs="Times New Roman" w:eastAsia="Times New Roman" w:hAnsi="Times New Roman"/>
          <w:sz w:val="17"/>
          <w:szCs w:val="17"/>
          <w:color w:val="auto"/>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Licensing Requirements</w:t>
      </w:r>
    </w:p>
    <w:p>
      <w:pPr>
        <w:spacing w:after="0" w:line="149"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17"/>
          <w:szCs w:val="17"/>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17"/>
          <w:szCs w:val="17"/>
          <w:b w:val="1"/>
          <w:bCs w:val="1"/>
          <w:color w:val="auto"/>
        </w:rPr>
        <w:t>Asset Acquisition</w:t>
      </w:r>
      <w:r>
        <w:rPr>
          <w:rFonts w:ascii="Times New Roman" w:cs="Times New Roman" w:eastAsia="Times New Roman" w:hAnsi="Times New Roman"/>
          <w:sz w:val="17"/>
          <w:szCs w:val="17"/>
          <w:color w:val="auto"/>
        </w:rPr>
        <w:t>"), the Corporation also acquired API. The CYB004-E API was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manufactured in the Netherlands by a pharmaceutical ingredient provider that is United States FDA-inspected.</w:t>
      </w:r>
      <w:r>
        <w:rPr>
          <w:rFonts w:ascii="Times New Roman" w:cs="Times New Roman" w:eastAsia="Times New Roman" w:hAnsi="Times New Roman"/>
          <w:sz w:val="28"/>
          <w:szCs w:val="28"/>
          <w:color w:val="auto"/>
          <w:vertAlign w:val="superscript"/>
        </w:rPr>
        <w:t>11</w:t>
      </w:r>
    </w:p>
    <w:p>
      <w:pPr>
        <w:spacing w:after="0" w:line="40"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17"/>
          <w:szCs w:val="17"/>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109"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7"/>
          <w:szCs w:val="17"/>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8"/>
          <w:szCs w:val="28"/>
          <w:color w:val="auto"/>
          <w:vertAlign w:val="superscript"/>
        </w:rPr>
        <w:t>12</w:t>
      </w:r>
    </w:p>
    <w:p>
      <w:pPr>
        <w:spacing w:after="0" w:line="2" w:lineRule="exact"/>
        <w:rPr>
          <w:sz w:val="20"/>
          <w:szCs w:val="20"/>
          <w:color w:val="auto"/>
        </w:rPr>
      </w:pPr>
    </w:p>
    <w:p>
      <w:pPr>
        <w:jc w:val="both"/>
        <w:ind w:right="80"/>
        <w:spacing w:after="0" w:line="243" w:lineRule="auto"/>
        <w:rPr>
          <w:sz w:val="20"/>
          <w:szCs w:val="20"/>
          <w:color w:val="auto"/>
        </w:rPr>
      </w:pPr>
      <w:r>
        <w:rPr>
          <w:rFonts w:ascii="Times New Roman" w:cs="Times New Roman" w:eastAsia="Times New Roman" w:hAnsi="Times New Roman"/>
          <w:sz w:val="17"/>
          <w:szCs w:val="17"/>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 responsibilities, record keeping, reconciliation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reporting of thefts/losses.</w:t>
      </w:r>
      <w:r>
        <w:rPr>
          <w:rFonts w:ascii="Times New Roman" w:cs="Times New Roman" w:eastAsia="Times New Roman" w:hAnsi="Times New Roman"/>
          <w:sz w:val="28"/>
          <w:szCs w:val="28"/>
          <w:color w:val="auto"/>
          <w:vertAlign w:val="superscript"/>
        </w:rPr>
        <w:t>13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 Pharma holds the appropriate UK Home Office licence required to sponsor clinical trials using Schedule I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96520</wp:posOffset>
            </wp:positionV>
            <wp:extent cx="236601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66010" cy="6985"/>
                    </a:xfrm>
                    <a:prstGeom prst="rect">
                      <a:avLst/>
                    </a:prstGeom>
                    <a:noFill/>
                  </pic:spPr>
                </pic:pic>
              </a:graphicData>
            </a:graphic>
          </wp:anchor>
        </w:drawing>
      </w:r>
    </w:p>
    <w:p>
      <w:pPr>
        <w:spacing w:after="0" w:line="130" w:lineRule="exact"/>
        <w:rPr>
          <w:sz w:val="20"/>
          <w:szCs w:val="20"/>
          <w:color w:val="auto"/>
        </w:rPr>
      </w:pPr>
    </w:p>
    <w:p>
      <w:pPr>
        <w:ind w:left="220" w:hanging="214"/>
        <w:spacing w:after="0"/>
        <w:tabs>
          <w:tab w:leader="none" w:pos="22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Home Office guidance; Security guidance for all existing or prospective Home Office Controlled Drug Licensees and/or Precursor Chemical Licensees or</w:t>
      </w:r>
    </w:p>
    <w:p>
      <w:pPr>
        <w:spacing w:after="0" w:line="245"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Registrants; 2022; https://assets.publishing.service.gov.uk/media/63a1b6c8e90e075874d91825/Security_Guidance_for_all_Businesses_and_Other_Organisations_v1.5_Nov_2022.pdf.</w:t>
      </w:r>
    </w:p>
    <w:p>
      <w:pPr>
        <w:spacing w:after="0" w:line="13" w:lineRule="exact"/>
        <w:rPr>
          <w:rFonts w:ascii="Times New Roman" w:cs="Times New Roman" w:eastAsia="Times New Roman" w:hAnsi="Times New Roman"/>
          <w:sz w:val="29"/>
          <w:szCs w:val="29"/>
          <w:color w:val="auto"/>
          <w:vertAlign w:val="superscript"/>
        </w:rPr>
      </w:pPr>
    </w:p>
    <w:p>
      <w:pPr>
        <w:ind w:left="100" w:right="80" w:hanging="94"/>
        <w:spacing w:after="0" w:line="189" w:lineRule="auto"/>
        <w:tabs>
          <w:tab w:leader="none" w:pos="327"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Home Office guidance; Guidelines for Standard Operating Procedures (SOPs); https://assets.publishing.service.gov.uk/government/uploads/ system/uploads/attachment_data/file/480572/StandardOpProcedure.pdf.</w:t>
      </w:r>
    </w:p>
    <w:p>
      <w:pPr>
        <w:spacing w:after="0" w:line="1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360"/>
          </w:cols>
          <w:pgMar w:left="300" w:top="11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auto"/>
        </w:rPr>
        <w:t>Pharmaceutical Products</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17"/>
          <w:szCs w:val="17"/>
          <w:b w:val="1"/>
          <w:bCs w:val="1"/>
          <w:color w:val="auto"/>
        </w:rPr>
        <w:t>GDP</w:t>
      </w:r>
      <w:r>
        <w:rPr>
          <w:rFonts w:ascii="Times New Roman" w:cs="Times New Roman" w:eastAsia="Times New Roman" w:hAnsi="Times New Roman"/>
          <w:sz w:val="17"/>
          <w:szCs w:val="17"/>
          <w:color w:val="auto"/>
        </w:rPr>
        <w:t>") and to hold a related licence from the MHRA.</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How the API is subsequently processed will determine the licences (in addition to any applicable Home Office licenses as referred to above) that the UK-based facility must hold. In particular:</w:t>
      </w:r>
    </w:p>
    <w:p>
      <w:pPr>
        <w:spacing w:after="0" w:line="113" w:lineRule="exact"/>
        <w:rPr>
          <w:sz w:val="20"/>
          <w:szCs w:val="20"/>
          <w:color w:val="auto"/>
        </w:rPr>
      </w:pPr>
    </w:p>
    <w:p>
      <w:pPr>
        <w:jc w:val="both"/>
        <w:ind w:left="520"/>
        <w:spacing w:after="0" w:line="257" w:lineRule="auto"/>
        <w:rPr>
          <w:sz w:val="20"/>
          <w:szCs w:val="20"/>
          <w:color w:val="auto"/>
        </w:rPr>
      </w:pPr>
      <w:r>
        <w:rPr>
          <w:rFonts w:ascii="Times New Roman" w:cs="Times New Roman" w:eastAsia="Times New Roman" w:hAnsi="Times New Roman"/>
          <w:sz w:val="17"/>
          <w:szCs w:val="17"/>
          <w:color w:val="auto"/>
        </w:rPr>
        <w:t>if the API is just one 'ingredient' (i.e. active substance) of the investigational medicinal product (the "</w:t>
      </w:r>
      <w:r>
        <w:rPr>
          <w:rFonts w:ascii="Times New Roman" w:cs="Times New Roman" w:eastAsia="Times New Roman" w:hAnsi="Times New Roman"/>
          <w:sz w:val="17"/>
          <w:szCs w:val="17"/>
          <w:b w:val="1"/>
          <w:bCs w:val="1"/>
          <w:color w:val="auto"/>
        </w:rPr>
        <w:t>IMP</w:t>
      </w:r>
      <w:r>
        <w:rPr>
          <w:rFonts w:ascii="Times New Roman" w:cs="Times New Roman" w:eastAsia="Times New Roman" w:hAnsi="Times New Roman"/>
          <w:sz w:val="17"/>
          <w:szCs w:val="17"/>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-347345</wp:posOffset>
            </wp:positionV>
            <wp:extent cx="59690"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8" w:lineRule="exact"/>
        <w:rPr>
          <w:sz w:val="20"/>
          <w:szCs w:val="20"/>
          <w:color w:val="auto"/>
        </w:rPr>
      </w:pPr>
    </w:p>
    <w:p>
      <w:pPr>
        <w:jc w:val="both"/>
        <w:ind w:left="520"/>
        <w:spacing w:after="0" w:line="249" w:lineRule="auto"/>
        <w:rPr>
          <w:sz w:val="20"/>
          <w:szCs w:val="20"/>
          <w:color w:val="auto"/>
        </w:rPr>
      </w:pPr>
      <w:r>
        <w:rPr>
          <w:rFonts w:ascii="Times New Roman" w:cs="Times New Roman" w:eastAsia="Times New Roman" w:hAnsi="Times New Roman"/>
          <w:sz w:val="17"/>
          <w:szCs w:val="17"/>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17"/>
          <w:szCs w:val="17"/>
          <w:b w:val="1"/>
          <w:bCs w:val="1"/>
          <w:color w:val="auto"/>
        </w:rPr>
        <w:t>MIA(IMP)</w:t>
      </w:r>
      <w:r>
        <w:rPr>
          <w:rFonts w:ascii="Times New Roman" w:cs="Times New Roman" w:eastAsia="Times New Roman" w:hAnsi="Times New Roman"/>
          <w:sz w:val="17"/>
          <w:szCs w:val="17"/>
          <w:color w:val="auto"/>
        </w:rPr>
        <w:t>")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-466090</wp:posOffset>
            </wp:positionV>
            <wp:extent cx="59690"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The Corporation continues to assess and explore a range of strategic opportunities, including potential mergers and acquisitions, joint ventures and collaborative development agreements, consistent with its growth strategy. At this time, the Corporation has not entered into any definitive agreements or arrangements in respect of such opportunities, nor is it engaged in any meaningful negotiations that would require disclosure in this Prospectus.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1" w:name="page72"/>
    <w:bookmarkEnd w:id="71"/>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7"/>
          <w:szCs w:val="17"/>
          <w:i w:val="1"/>
          <w:iCs w:val="1"/>
          <w:color w:val="auto"/>
        </w:rPr>
        <w:t>Psilocybe</w:t>
      </w:r>
      <w:r>
        <w:rPr>
          <w:rFonts w:ascii="Times New Roman" w:cs="Times New Roman" w:eastAsia="Times New Roman" w:hAnsi="Times New Roman"/>
          <w:sz w:val="17"/>
          <w:szCs w:val="17"/>
          <w:color w:val="auto"/>
        </w:rPr>
        <w:t xml:space="preserve">, such as P. </w:t>
      </w:r>
      <w:r>
        <w:rPr>
          <w:rFonts w:ascii="Times New Roman" w:cs="Times New Roman" w:eastAsia="Times New Roman" w:hAnsi="Times New Roman"/>
          <w:sz w:val="17"/>
          <w:szCs w:val="17"/>
          <w:i w:val="1"/>
          <w:iCs w:val="1"/>
          <w:color w:val="auto"/>
        </w:rPr>
        <w:t>azurescens</w:t>
      </w:r>
      <w:r>
        <w:rPr>
          <w:rFonts w:ascii="Times New Roman" w:cs="Times New Roman" w:eastAsia="Times New Roman" w:hAnsi="Times New Roman"/>
          <w:sz w:val="17"/>
          <w:szCs w:val="17"/>
          <w:color w:val="auto"/>
        </w:rPr>
        <w:t xml:space="preserve">, P. </w:t>
      </w:r>
      <w:r>
        <w:rPr>
          <w:rFonts w:ascii="Times New Roman" w:cs="Times New Roman" w:eastAsia="Times New Roman" w:hAnsi="Times New Roman"/>
          <w:sz w:val="17"/>
          <w:szCs w:val="17"/>
          <w:i w:val="1"/>
          <w:iCs w:val="1"/>
          <w:color w:val="auto"/>
        </w:rPr>
        <w:t>semilanceata</w:t>
      </w:r>
      <w:r>
        <w:rPr>
          <w:rFonts w:ascii="Times New Roman" w:cs="Times New Roman" w:eastAsia="Times New Roman" w:hAnsi="Times New Roman"/>
          <w:sz w:val="17"/>
          <w:szCs w:val="17"/>
          <w:color w:val="auto"/>
        </w:rPr>
        <w:t xml:space="preserve">, and P. </w:t>
      </w:r>
      <w:r>
        <w:rPr>
          <w:rFonts w:ascii="Times New Roman" w:cs="Times New Roman" w:eastAsia="Times New Roman" w:hAnsi="Times New Roman"/>
          <w:sz w:val="17"/>
          <w:szCs w:val="17"/>
          <w:i w:val="1"/>
          <w:iCs w:val="1"/>
          <w:color w:val="auto"/>
        </w:rPr>
        <w:t>cyanescens</w:t>
      </w:r>
      <w:r>
        <w:rPr>
          <w:rFonts w:ascii="Times New Roman" w:cs="Times New Roman" w:eastAsia="Times New Roman" w:hAnsi="Times New Roman"/>
          <w:sz w:val="17"/>
          <w:szCs w:val="17"/>
          <w:color w:val="auto"/>
        </w:rPr>
        <w:t>, but psilocybin has also been isolated from about a dozen other genera. As a prodrug, psilocybin is quickly converted by the body to psilocin, which has mind-altering effects.</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pharmacokinetics, pharmacology and human metabolism of psilocin are well known and well characterized. In conjunction with psychotherapy, psilocin has been utilized broadly in phase II clinical trials.</w:t>
      </w:r>
    </w:p>
    <w:p>
      <w:pPr>
        <w:spacing w:after="0" w:line="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has commenced research and development on the delivery of synthetic psilocin and other psychedelics through mechanisms such as sublingual film delivery, IV, and by way of inhalation.</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Research and development is led by the Corporation's North American Chief Scientific Officer, Alex Nivorozhkin Ph.D., a seasoned medicinal chemist, drug delivery expert and founder of multiple biotech companies.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Canada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process required before a prescription drug product candidate may be marketed in Canada generally involves:</w:t>
      </w:r>
    </w:p>
    <w:p>
      <w:pPr>
        <w:spacing w:after="0" w:line="167" w:lineRule="exact"/>
        <w:rPr>
          <w:sz w:val="20"/>
          <w:szCs w:val="20"/>
          <w:color w:val="auto"/>
        </w:rPr>
      </w:pPr>
    </w:p>
    <w:p>
      <w:pPr>
        <w:jc w:val="both"/>
        <w:ind w:left="5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Chemical and Biological Research - </w:t>
      </w:r>
      <w:r>
        <w:rPr>
          <w:rFonts w:ascii="Times New Roman" w:cs="Times New Roman" w:eastAsia="Times New Roman" w:hAnsi="Times New Roman"/>
          <w:sz w:val="17"/>
          <w:szCs w:val="17"/>
          <w:color w:val="auto"/>
        </w:rPr>
        <w:t>Laboratory tests are carried out on tissue cultures and with a variety of small animals to determine the effects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-234950</wp:posOffset>
            </wp:positionV>
            <wp:extent cx="59690"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7" w:lineRule="exact"/>
        <w:rPr>
          <w:sz w:val="20"/>
          <w:szCs w:val="20"/>
          <w:color w:val="auto"/>
        </w:rPr>
      </w:pPr>
    </w:p>
    <w:p>
      <w:pPr>
        <w:jc w:val="both"/>
        <w:ind w:left="5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Pre-Clinical Development - </w:t>
      </w:r>
      <w:r>
        <w:rPr>
          <w:rFonts w:ascii="Times New Roman" w:cs="Times New Roman" w:eastAsia="Times New Roman" w:hAnsi="Times New Roman"/>
          <w:sz w:val="17"/>
          <w:szCs w:val="17"/>
          <w:color w:val="auto"/>
        </w:rPr>
        <w:t>Animals are given the drug in varying amounts over differing periods of time. If it can be shown that the drug causes no serious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-234950</wp:posOffset>
            </wp:positionV>
            <wp:extent cx="59690"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6" w:lineRule="exact"/>
        <w:rPr>
          <w:sz w:val="20"/>
          <w:szCs w:val="20"/>
          <w:color w:val="auto"/>
        </w:rPr>
      </w:pPr>
    </w:p>
    <w:p>
      <w:pPr>
        <w:jc w:val="both"/>
        <w:ind w:left="520"/>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Clinical Trials - Phase I - </w:t>
      </w:r>
      <w:r>
        <w:rPr>
          <w:rFonts w:ascii="Times New Roman" w:cs="Times New Roman" w:eastAsia="Times New Roman" w:hAnsi="Times New Roman"/>
          <w:sz w:val="17"/>
          <w:szCs w:val="17"/>
          <w:color w:val="auto"/>
        </w:rPr>
        <w:t>The first administration in humans is to test if people can tolerate the drug. If this testing is to take place in Canada,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manufacturer must prepare a clinical trial application for the Therapeutic Products Directorate of Health Canada (the "</w:t>
      </w:r>
      <w:r>
        <w:rPr>
          <w:rFonts w:ascii="Times New Roman" w:cs="Times New Roman" w:eastAsia="Times New Roman" w:hAnsi="Times New Roman"/>
          <w:sz w:val="17"/>
          <w:szCs w:val="17"/>
          <w:b w:val="1"/>
          <w:bCs w:val="1"/>
          <w:color w:val="auto"/>
        </w:rPr>
        <w:t>TPD</w:t>
      </w:r>
      <w:r>
        <w:rPr>
          <w:rFonts w:ascii="Times New Roman" w:cs="Times New Roman" w:eastAsia="Times New Roman" w:hAnsi="Times New Roman"/>
          <w:sz w:val="17"/>
          <w:szCs w:val="17"/>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7"/>
          <w:szCs w:val="17"/>
          <w:b w:val="1"/>
          <w:bCs w:val="1"/>
          <w:color w:val="auto"/>
        </w:rPr>
        <w:t>HPFB</w:t>
      </w:r>
      <w:r>
        <w:rPr>
          <w:rFonts w:ascii="Times New Roman" w:cs="Times New Roman" w:eastAsia="Times New Roman" w:hAnsi="Times New Roman"/>
          <w:sz w:val="17"/>
          <w:szCs w:val="17"/>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-467995</wp:posOffset>
            </wp:positionV>
            <wp:extent cx="59690"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8" w:lineRule="exact"/>
        <w:rPr>
          <w:sz w:val="20"/>
          <w:szCs w:val="20"/>
          <w:color w:val="auto"/>
        </w:rPr>
      </w:pPr>
    </w:p>
    <w:p>
      <w:pPr>
        <w:jc w:val="both"/>
        <w:ind w:left="52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Clinical Trials - Phase II - </w:t>
      </w:r>
      <w:r>
        <w:rPr>
          <w:rFonts w:ascii="Times New Roman" w:cs="Times New Roman" w:eastAsia="Times New Roman" w:hAnsi="Times New Roman"/>
          <w:sz w:val="17"/>
          <w:szCs w:val="17"/>
          <w:color w:val="auto"/>
        </w:rPr>
        <w:t>Phase II trials are carried out on people with the target condition, who are usually otherwise healthy, with no other medical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-347345</wp:posOffset>
            </wp:positionV>
            <wp:extent cx="596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7"/>
          <w:szCs w:val="17"/>
          <w:i w:val="1"/>
          <w:iCs w:val="1"/>
          <w:color w:val="auto"/>
        </w:rPr>
        <w:t xml:space="preserve">Clinical Trials - Phase III - </w:t>
      </w:r>
      <w:r>
        <w:rPr>
          <w:rFonts w:ascii="Times New Roman" w:cs="Times New Roman" w:eastAsia="Times New Roman" w:hAnsi="Times New Roman"/>
          <w:sz w:val="17"/>
          <w:szCs w:val="17"/>
          <w:color w:val="auto"/>
        </w:rPr>
        <w:t>If the results from phase II show promise, the manufacturer provides an updated clinical trial application to the TPD for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-73025</wp:posOffset>
            </wp:positionV>
            <wp:extent cx="596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20" w:firstLine="3"/>
        <w:spacing w:after="0" w:line="244" w:lineRule="auto"/>
        <w:tabs>
          <w:tab w:leader="none" w:pos="75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03" w:lineRule="exact"/>
        <w:rPr>
          <w:sz w:val="20"/>
          <w:szCs w:val="20"/>
          <w:color w:val="auto"/>
        </w:rPr>
      </w:pPr>
    </w:p>
    <w:p>
      <w:pPr>
        <w:jc w:val="both"/>
        <w:ind w:left="520"/>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New Drug Submission - </w:t>
      </w:r>
      <w:r>
        <w:rPr>
          <w:rFonts w:ascii="Times New Roman" w:cs="Times New Roman" w:eastAsia="Times New Roman" w:hAnsi="Times New Roman"/>
          <w:sz w:val="17"/>
          <w:szCs w:val="17"/>
          <w:color w:val="auto"/>
        </w:rPr>
        <w:t>If the results from phase III continue to be favourable, the drug manufacturer can submit a new drug submission ("</w:t>
      </w:r>
      <w:r>
        <w:rPr>
          <w:rFonts w:ascii="Times New Roman" w:cs="Times New Roman" w:eastAsia="Times New Roman" w:hAnsi="Times New Roman"/>
          <w:sz w:val="17"/>
          <w:szCs w:val="17"/>
          <w:b w:val="1"/>
          <w:bCs w:val="1"/>
          <w:color w:val="auto"/>
        </w:rPr>
        <w:t>NDS</w:t>
      </w:r>
      <w:r>
        <w:rPr>
          <w:rFonts w:ascii="Times New Roman" w:cs="Times New Roman" w:eastAsia="Times New Roman" w:hAnsi="Times New Roman"/>
          <w:sz w:val="17"/>
          <w:szCs w:val="17"/>
          <w:color w:val="auto"/>
        </w:rPr>
        <w: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-467995</wp:posOffset>
            </wp:positionV>
            <wp:extent cx="596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United States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process required before a prescription drug product candidate may be marketed in the United States generally involves:</w:t>
      </w:r>
    </w:p>
    <w:p>
      <w:pPr>
        <w:spacing w:after="0" w:line="171" w:lineRule="exact"/>
        <w:rPr>
          <w:sz w:val="20"/>
          <w:szCs w:val="20"/>
          <w:color w:val="auto"/>
        </w:rPr>
      </w:pPr>
    </w:p>
    <w:p>
      <w:pPr>
        <w:ind w:left="520"/>
        <w:spacing w:after="0" w:line="249" w:lineRule="auto"/>
        <w:rPr>
          <w:sz w:val="20"/>
          <w:szCs w:val="20"/>
          <w:color w:val="auto"/>
        </w:rPr>
      </w:pPr>
      <w:r>
        <w:rPr>
          <w:rFonts w:ascii="Times New Roman" w:cs="Times New Roman" w:eastAsia="Times New Roman" w:hAnsi="Times New Roman"/>
          <w:sz w:val="17"/>
          <w:szCs w:val="17"/>
          <w:color w:val="auto"/>
        </w:rPr>
        <w:t>completion of extensive nonclinical laboratory tests, animal studies and formulation studies, all performed in accordance with the FDA's GLP, Good Clinical and/or GMP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-208280</wp:posOffset>
            </wp:positionV>
            <wp:extent cx="59690"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20"/>
        <w:spacing w:after="0" w:line="238" w:lineRule="auto"/>
        <w:rPr>
          <w:sz w:val="20"/>
          <w:szCs w:val="20"/>
          <w:color w:val="auto"/>
        </w:rPr>
      </w:pPr>
      <w:r>
        <w:rPr>
          <w:rFonts w:ascii="Times New Roman" w:cs="Times New Roman" w:eastAsia="Times New Roman" w:hAnsi="Times New Roman"/>
          <w:sz w:val="17"/>
          <w:szCs w:val="17"/>
          <w:color w:val="auto"/>
        </w:rPr>
        <w:t>submission to the FDA of an IND Application, which the FDA must approve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-85725</wp:posOffset>
            </wp:positionV>
            <wp:extent cx="5969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20"/>
        <w:spacing w:after="0" w:line="237" w:lineRule="auto"/>
        <w:rPr>
          <w:sz w:val="20"/>
          <w:szCs w:val="20"/>
          <w:color w:val="auto"/>
        </w:rPr>
      </w:pPr>
      <w:r>
        <w:rPr>
          <w:rFonts w:ascii="Times New Roman" w:cs="Times New Roman" w:eastAsia="Times New Roman" w:hAnsi="Times New Roman"/>
          <w:sz w:val="17"/>
          <w:szCs w:val="17"/>
          <w:color w:val="auto"/>
        </w:rPr>
        <w:t>approval by an independent institutional review board ("</w:t>
      </w:r>
      <w:r>
        <w:rPr>
          <w:rFonts w:ascii="Times New Roman" w:cs="Times New Roman" w:eastAsia="Times New Roman" w:hAnsi="Times New Roman"/>
          <w:sz w:val="17"/>
          <w:szCs w:val="17"/>
          <w:b w:val="1"/>
          <w:bCs w:val="1"/>
          <w:color w:val="auto"/>
        </w:rPr>
        <w:t>IRB</w:t>
      </w:r>
      <w:r>
        <w:rPr>
          <w:rFonts w:ascii="Times New Roman" w:cs="Times New Roman" w:eastAsia="Times New Roman" w:hAnsi="Times New Roman"/>
          <w:sz w:val="17"/>
          <w:szCs w:val="17"/>
          <w:color w:val="auto"/>
        </w:rPr>
        <w:t>") or independent ethics committee at each clinical trial site before each trial may be initiated; 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 submission to the FDA of a New Drug Application ("</w:t>
      </w:r>
      <w:r>
        <w:rPr>
          <w:rFonts w:ascii="Times New Roman" w:cs="Times New Roman" w:eastAsia="Times New Roman" w:hAnsi="Times New Roman"/>
          <w:sz w:val="17"/>
          <w:szCs w:val="17"/>
          <w:b w:val="1"/>
          <w:bCs w:val="1"/>
          <w:color w:val="auto"/>
        </w:rPr>
        <w:t>NDA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-452755</wp:posOffset>
            </wp:positionV>
            <wp:extent cx="5969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-329565</wp:posOffset>
            </wp:positionV>
            <wp:extent cx="5969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-83185</wp:posOffset>
            </wp:positionV>
            <wp:extent cx="59690"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20"/>
        <w:spacing w:after="0" w:line="237" w:lineRule="auto"/>
        <w:rPr>
          <w:sz w:val="20"/>
          <w:szCs w:val="20"/>
          <w:color w:val="auto"/>
        </w:rPr>
      </w:pPr>
      <w:r>
        <w:rPr>
          <w:rFonts w:ascii="Times New Roman" w:cs="Times New Roman" w:eastAsia="Times New Roman" w:hAnsi="Times New Roman"/>
          <w:sz w:val="17"/>
          <w:szCs w:val="17"/>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-330200</wp:posOffset>
            </wp:positionV>
            <wp:extent cx="5969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7"/>
          <w:szCs w:val="17"/>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-86360</wp:posOffset>
            </wp:positionV>
            <wp:extent cx="5969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3" w:name="page74"/>
    <w:bookmarkEnd w:id="73"/>
    <w:p>
      <w:pPr>
        <w:jc w:val="both"/>
        <w:spacing w:after="0" w:line="246" w:lineRule="auto"/>
        <w:rPr>
          <w:sz w:val="20"/>
          <w:szCs w:val="20"/>
          <w:color w:val="auto"/>
        </w:rPr>
      </w:pPr>
      <w:r>
        <w:rPr>
          <w:rFonts w:ascii="Times New Roman" w:cs="Times New Roman" w:eastAsia="Times New Roman" w:hAnsi="Times New Roman"/>
          <w:sz w:val="17"/>
          <w:szCs w:val="17"/>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3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4" w:name="page75"/>
    <w:bookmarkEnd w:id="74"/>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7"/>
          <w:szCs w:val="17"/>
          <w:i w:val="1"/>
          <w:iCs w:val="1"/>
          <w:color w:val="auto"/>
        </w:rPr>
        <w:t>False Claims Act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FCA</w:t>
      </w:r>
      <w:r>
        <w:rPr>
          <w:rFonts w:ascii="Times New Roman" w:cs="Times New Roman" w:eastAsia="Times New Roman" w:hAnsi="Times New Roman"/>
          <w:sz w:val="17"/>
          <w:szCs w:val="17"/>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3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Controlled Substances</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5" w:name="page76"/>
    <w:bookmarkEnd w:id="75"/>
    <w:p>
      <w:pPr>
        <w:jc w:val="both"/>
        <w:spacing w:after="0" w:line="246" w:lineRule="auto"/>
        <w:rPr>
          <w:sz w:val="20"/>
          <w:szCs w:val="20"/>
          <w:color w:val="auto"/>
        </w:rPr>
      </w:pPr>
      <w:r>
        <w:rPr>
          <w:rFonts w:ascii="Times New Roman" w:cs="Times New Roman" w:eastAsia="Times New Roman" w:hAnsi="Times New Roman"/>
          <w:sz w:val="17"/>
          <w:szCs w:val="17"/>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EU (Netherlands)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Regulation (EU) No 536/2014 on Clinical Trials on Medicinal Products for Human Use (the "</w:t>
      </w:r>
      <w:r>
        <w:rPr>
          <w:rFonts w:ascii="Times New Roman" w:cs="Times New Roman" w:eastAsia="Times New Roman" w:hAnsi="Times New Roman"/>
          <w:sz w:val="17"/>
          <w:szCs w:val="17"/>
          <w:b w:val="1"/>
          <w:bCs w:val="1"/>
          <w:color w:val="auto"/>
        </w:rPr>
        <w:t>CTR</w:t>
      </w:r>
      <w:r>
        <w:rPr>
          <w:rFonts w:ascii="Times New Roman" w:cs="Times New Roman" w:eastAsia="Times New Roman" w:hAnsi="Times New Roman"/>
          <w:sz w:val="17"/>
          <w:szCs w:val="17"/>
          <w:color w:val="auto"/>
        </w:rPr>
        <w:t>") is applicable as of January 31, 2022, harmonizing the laws, regulations and administrative provisions of the EU Member States relating to the implementation of Good Clinical Practice in the conduct of clinical trials on</w:t>
      </w:r>
    </w:p>
    <w:p>
      <w:pPr>
        <w:jc w:val="both"/>
        <w:spacing w:after="0" w:line="218" w:lineRule="auto"/>
        <w:rPr>
          <w:sz w:val="20"/>
          <w:szCs w:val="20"/>
          <w:color w:val="auto"/>
        </w:rPr>
      </w:pPr>
      <w:r>
        <w:rPr>
          <w:rFonts w:ascii="Times New Roman" w:cs="Times New Roman" w:eastAsia="Times New Roman" w:hAnsi="Times New Roman"/>
          <w:sz w:val="17"/>
          <w:szCs w:val="17"/>
          <w:color w:val="auto"/>
        </w:rPr>
        <w:t>medicinal products for human use.</w:t>
      </w:r>
      <w:r>
        <w:rPr>
          <w:rFonts w:ascii="Times New Roman" w:cs="Times New Roman" w:eastAsia="Times New Roman" w:hAnsi="Times New Roman"/>
          <w:sz w:val="28"/>
          <w:szCs w:val="28"/>
          <w:color w:val="auto"/>
          <w:vertAlign w:val="superscript"/>
        </w:rPr>
        <w:t>14</w:t>
      </w:r>
      <w:r>
        <w:rPr>
          <w:rFonts w:ascii="Times New Roman" w:cs="Times New Roman" w:eastAsia="Times New Roman" w:hAnsi="Times New Roman"/>
          <w:sz w:val="17"/>
          <w:szCs w:val="17"/>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17"/>
          <w:szCs w:val="17"/>
          <w:b w:val="1"/>
          <w:bCs w:val="1"/>
          <w:color w:val="auto"/>
        </w:rPr>
        <w:t>CTIS</w:t>
      </w:r>
      <w:r>
        <w:rPr>
          <w:rFonts w:ascii="Times New Roman" w:cs="Times New Roman" w:eastAsia="Times New Roman" w:hAnsi="Times New Roman"/>
          <w:sz w:val="17"/>
          <w:szCs w:val="17"/>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Further, the European Medicines Agency ("</w:t>
      </w:r>
      <w:r>
        <w:rPr>
          <w:rFonts w:ascii="Times New Roman" w:cs="Times New Roman" w:eastAsia="Times New Roman" w:hAnsi="Times New Roman"/>
          <w:sz w:val="17"/>
          <w:szCs w:val="17"/>
          <w:b w:val="1"/>
          <w:bCs w:val="1"/>
          <w:color w:val="auto"/>
        </w:rPr>
        <w:t>EMA</w:t>
      </w:r>
      <w:r>
        <w:rPr>
          <w:rFonts w:ascii="Times New Roman" w:cs="Times New Roman" w:eastAsia="Times New Roman" w:hAnsi="Times New Roman"/>
          <w:sz w:val="17"/>
          <w:szCs w:val="17"/>
          <w:color w:val="auto"/>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236601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366010" cy="6985"/>
                    </a:xfrm>
                    <a:prstGeom prst="rect">
                      <a:avLst/>
                    </a:prstGeom>
                    <a:noFill/>
                  </pic:spPr>
                </pic:pic>
              </a:graphicData>
            </a:graphic>
          </wp:anchor>
        </w:drawing>
      </w:r>
    </w:p>
    <w:p>
      <w:pPr>
        <w:spacing w:after="0" w:line="241" w:lineRule="exact"/>
        <w:rPr>
          <w:sz w:val="20"/>
          <w:szCs w:val="20"/>
          <w:color w:val="auto"/>
        </w:rPr>
      </w:pPr>
    </w:p>
    <w:p>
      <w:pPr>
        <w:jc w:val="both"/>
        <w:ind w:firstLine="6"/>
        <w:spacing w:after="0"/>
        <w:tabs>
          <w:tab w:leader="none" w:pos="188"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6" w:name="page77"/>
    <w:bookmarkEnd w:id="76"/>
    <w:p>
      <w:pPr>
        <w:jc w:val="both"/>
        <w:spacing w:after="0" w:line="245" w:lineRule="auto"/>
        <w:rPr>
          <w:sz w:val="20"/>
          <w:szCs w:val="20"/>
          <w:color w:val="auto"/>
        </w:rPr>
      </w:pPr>
      <w:r>
        <w:rPr>
          <w:rFonts w:ascii="Times New Roman" w:cs="Times New Roman" w:eastAsia="Times New Roman" w:hAnsi="Times New Roman"/>
          <w:sz w:val="17"/>
          <w:szCs w:val="17"/>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17"/>
          <w:szCs w:val="17"/>
          <w:b w:val="1"/>
          <w:bCs w:val="1"/>
          <w:color w:val="auto"/>
        </w:rPr>
        <w:t>CTAG</w:t>
      </w:r>
      <w:r>
        <w:rPr>
          <w:rFonts w:ascii="Times New Roman" w:cs="Times New Roman" w:eastAsia="Times New Roman" w:hAnsi="Times New Roman"/>
          <w:sz w:val="17"/>
          <w:szCs w:val="17"/>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1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Investigational Medicinal Product Dossier ("</w:t>
      </w:r>
      <w:r>
        <w:rPr>
          <w:rFonts w:ascii="Times New Roman" w:cs="Times New Roman" w:eastAsia="Times New Roman" w:hAnsi="Times New Roman"/>
          <w:sz w:val="17"/>
          <w:szCs w:val="17"/>
          <w:b w:val="1"/>
          <w:bCs w:val="1"/>
          <w:color w:val="auto"/>
        </w:rPr>
        <w:t>IMPD</w:t>
      </w:r>
      <w:r>
        <w:rPr>
          <w:rFonts w:ascii="Times New Roman" w:cs="Times New Roman" w:eastAsia="Times New Roman" w:hAnsi="Times New Roman"/>
          <w:sz w:val="17"/>
          <w:szCs w:val="17"/>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17"/>
          <w:szCs w:val="17"/>
          <w:b w:val="1"/>
          <w:bCs w:val="1"/>
          <w:color w:val="auto"/>
        </w:rPr>
        <w:t>Clinical Trials Directive</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2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color w:val="auto"/>
        </w:rPr>
        <w:t>Pharmaceutical Products</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Authorization Regulatory Process</w:t>
      </w:r>
    </w:p>
    <w:p>
      <w:pPr>
        <w:spacing w:after="0" w:line="14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78" w:name="page79"/>
    <w:bookmarkEnd w:id="78"/>
    <w:p>
      <w:pPr>
        <w:jc w:val="both"/>
        <w:spacing w:after="0" w:line="241" w:lineRule="auto"/>
        <w:rPr>
          <w:sz w:val="20"/>
          <w:szCs w:val="20"/>
          <w:color w:val="auto"/>
        </w:rPr>
      </w:pPr>
      <w:r>
        <w:rPr>
          <w:rFonts w:ascii="Times New Roman" w:cs="Times New Roman" w:eastAsia="Times New Roman" w:hAnsi="Times New Roman"/>
          <w:sz w:val="17"/>
          <w:szCs w:val="17"/>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7"/>
          <w:szCs w:val="17"/>
          <w:b w:val="1"/>
          <w:bCs w:val="1"/>
          <w:color w:val="auto"/>
        </w:rPr>
        <w:t>RMS</w:t>
      </w:r>
      <w:r>
        <w:rPr>
          <w:rFonts w:ascii="Times New Roman" w:cs="Times New Roman" w:eastAsia="Times New Roman" w:hAnsi="Times New Roman"/>
          <w:sz w:val="17"/>
          <w:szCs w:val="17"/>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7"/>
          <w:szCs w:val="17"/>
          <w:b w:val="1"/>
          <w:bCs w:val="1"/>
          <w:color w:val="auto"/>
        </w:rPr>
        <w:t>CMDh</w:t>
      </w:r>
      <w:r>
        <w:rPr>
          <w:rFonts w:ascii="Times New Roman" w:cs="Times New Roman" w:eastAsia="Times New Roman" w:hAnsi="Times New Roman"/>
          <w:sz w:val="17"/>
          <w:szCs w:val="17"/>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 Cooperation Treaty</w:t>
      </w:r>
    </w:p>
    <w:p>
      <w:pPr>
        <w:spacing w:after="0" w:line="1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Patent Cooperation Treaty (the "</w:t>
      </w:r>
      <w:r>
        <w:rPr>
          <w:rFonts w:ascii="Times New Roman" w:cs="Times New Roman" w:eastAsia="Times New Roman" w:hAnsi="Times New Roman"/>
          <w:sz w:val="17"/>
          <w:szCs w:val="17"/>
          <w:b w:val="1"/>
          <w:bCs w:val="1"/>
          <w:color w:val="auto"/>
        </w:rPr>
        <w:t>PCT</w:t>
      </w:r>
      <w:r>
        <w:rPr>
          <w:rFonts w:ascii="Times New Roman" w:cs="Times New Roman" w:eastAsia="Times New Roman" w:hAnsi="Times New Roman"/>
          <w:sz w:val="17"/>
          <w:szCs w:val="17"/>
          <w:color w:val="auto"/>
        </w:rPr>
        <w:t>") facilitates filing for patent recognition in multiple jurisdictions simultaneously using a single uniform patent application. 157 countries, including Canada and the United States have ratified the PCT.</w:t>
      </w:r>
    </w:p>
    <w:p>
      <w:pPr>
        <w:spacing w:after="0" w:line="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COMPLIANCE PROGRAM</w:t>
      </w:r>
    </w:p>
    <w:p>
      <w:pPr>
        <w:spacing w:after="0" w:line="1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CAPITALIZATION</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following table sets forth the consolidated capitalization of the Corporation as at September 16,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17"/>
          <w:szCs w:val="17"/>
          <w:b w:val="1"/>
          <w:bCs w:val="1"/>
          <w:color w:val="auto"/>
        </w:rPr>
        <w:t>Consolidation</w:t>
      </w:r>
      <w:r>
        <w:rPr>
          <w:rFonts w:ascii="Times New Roman" w:cs="Times New Roman" w:eastAsia="Times New Roman" w:hAnsi="Times New Roman"/>
          <w:sz w:val="17"/>
          <w:szCs w:val="17"/>
          <w:color w:val="auto"/>
        </w:rPr>
        <w:t>"). All figures in the table below related to securities are represented on a post-Consolidation basis.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80" w:name="page81"/>
    <w:bookmarkEnd w:id="80"/>
    <w:tbl>
      <w:tblPr>
        <w:tblLayout w:type="fixed"/>
        <w:tblInd w:w="1700" w:type="dxa"/>
        <w:tblCellMar>
          <w:top w:w="0" w:type="dxa"/>
          <w:left w:w="0" w:type="dxa"/>
          <w:bottom w:w="0" w:type="dxa"/>
          <w:right w:w="0" w:type="dxa"/>
        </w:tblCellMar>
      </w:tblPr>
      <w:tr>
        <w:trPr>
          <w:trHeight w:val="188"/>
        </w:trPr>
        <w:tc>
          <w:tcPr>
            <w:tcW w:w="6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Capital</w:t>
            </w:r>
          </w:p>
        </w:tc>
        <w:tc>
          <w:tcPr>
            <w:tcW w:w="16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16, 2025</w:t>
            </w:r>
          </w:p>
        </w:tc>
      </w:tr>
      <w:tr>
        <w:trPr>
          <w:trHeight w:val="196"/>
        </w:trPr>
        <w:tc>
          <w:tcPr>
            <w:tcW w:w="6240" w:type="dxa"/>
            <w:vAlign w:val="bottom"/>
            <w:tcBorders>
              <w:top w:val="single" w:sz="8" w:color="auto"/>
            </w:tcBorders>
            <w:shd w:val="clear" w:color="auto" w:fill="E6EFFF"/>
          </w:tcPr>
          <w:p>
            <w:pPr>
              <w:ind w:left="80"/>
              <w:spacing w:after="0"/>
              <w:rPr>
                <w:sz w:val="20"/>
                <w:szCs w:val="20"/>
                <w:color w:val="auto"/>
              </w:rPr>
            </w:pPr>
            <w:r>
              <w:rPr>
                <w:rFonts w:ascii="Times New Roman" w:cs="Times New Roman" w:eastAsia="Times New Roman" w:hAnsi="Times New Roman"/>
                <w:sz w:val="14"/>
                <w:szCs w:val="14"/>
                <w:color w:val="auto"/>
              </w:rPr>
              <w:t>Loans and Borrowings</w:t>
            </w:r>
          </w:p>
        </w:tc>
        <w:tc>
          <w:tcPr>
            <w:tcW w:w="300" w:type="dxa"/>
            <w:vAlign w:val="bottom"/>
            <w:tcBorders>
              <w:top w:val="single" w:sz="8" w:color="E6EFFF"/>
            </w:tcBorders>
            <w:shd w:val="clear" w:color="auto" w:fill="E6EFFF"/>
          </w:tcPr>
          <w:p>
            <w:pPr>
              <w:spacing w:after="0"/>
              <w:rPr>
                <w:sz w:val="17"/>
                <w:szCs w:val="17"/>
                <w:color w:val="auto"/>
              </w:rPr>
            </w:pPr>
          </w:p>
        </w:tc>
        <w:tc>
          <w:tcPr>
            <w:tcW w:w="1360" w:type="dxa"/>
            <w:vAlign w:val="bottom"/>
            <w:tcBorders>
              <w:top w:val="single" w:sz="8" w:color="auto"/>
            </w:tcBorders>
            <w:shd w:val="clear" w:color="auto" w:fill="E6EFFF"/>
          </w:tcPr>
          <w:p>
            <w:pPr>
              <w:jc w:val="center"/>
              <w:ind w:right="111"/>
              <w:spacing w:after="0" w:line="196" w:lineRule="exact"/>
              <w:rPr>
                <w:sz w:val="20"/>
                <w:szCs w:val="20"/>
                <w:color w:val="auto"/>
              </w:rPr>
            </w:pPr>
            <w:r>
              <w:rPr>
                <w:rFonts w:ascii="Times New Roman" w:cs="Times New Roman" w:eastAsia="Times New Roman" w:hAnsi="Times New Roman"/>
                <w:sz w:val="14"/>
                <w:szCs w:val="14"/>
                <w:color w:val="auto"/>
                <w:w w:val="98"/>
              </w:rPr>
              <w:t>$34,750,000</w:t>
            </w:r>
            <w:r>
              <w:rPr>
                <w:rFonts w:ascii="Times New Roman" w:cs="Times New Roman" w:eastAsia="Times New Roman" w:hAnsi="Times New Roman"/>
                <w:sz w:val="22"/>
                <w:szCs w:val="22"/>
                <w:color w:val="auto"/>
                <w:w w:val="98"/>
                <w:vertAlign w:val="superscript"/>
              </w:rPr>
              <w:t>(1)</w:t>
            </w:r>
          </w:p>
        </w:tc>
      </w:tr>
      <w:tr>
        <w:trPr>
          <w:trHeight w:val="205"/>
        </w:trPr>
        <w:tc>
          <w:tcPr>
            <w:tcW w:w="6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Shares</w:t>
            </w:r>
          </w:p>
        </w:tc>
        <w:tc>
          <w:tcPr>
            <w:tcW w:w="1660" w:type="dxa"/>
            <w:vAlign w:val="bottom"/>
            <w:gridSpan w:val="2"/>
          </w:tcPr>
          <w:p>
            <w:pPr>
              <w:jc w:val="center"/>
              <w:ind w:left="48"/>
              <w:spacing w:after="0" w:line="204" w:lineRule="exact"/>
              <w:rPr>
                <w:sz w:val="20"/>
                <w:szCs w:val="20"/>
                <w:color w:val="auto"/>
              </w:rPr>
            </w:pPr>
            <w:r>
              <w:rPr>
                <w:rFonts w:ascii="Times New Roman" w:cs="Times New Roman" w:eastAsia="Times New Roman" w:hAnsi="Times New Roman"/>
                <w:sz w:val="14"/>
                <w:szCs w:val="14"/>
                <w:color w:val="auto"/>
                <w:w w:val="96"/>
              </w:rPr>
              <w:t>25,188,217</w:t>
            </w:r>
            <w:r>
              <w:rPr>
                <w:rFonts w:ascii="Times New Roman" w:cs="Times New Roman" w:eastAsia="Times New Roman" w:hAnsi="Times New Roman"/>
                <w:sz w:val="23"/>
                <w:szCs w:val="23"/>
                <w:color w:val="auto"/>
                <w:w w:val="96"/>
                <w:vertAlign w:val="superscript"/>
              </w:rPr>
              <w:t>(2)</w:t>
            </w:r>
          </w:p>
        </w:tc>
      </w:tr>
      <w:tr>
        <w:trPr>
          <w:trHeight w:val="205"/>
        </w:trPr>
        <w:tc>
          <w:tcPr>
            <w:tcW w:w="6240" w:type="dxa"/>
            <w:vAlign w:val="bottom"/>
            <w:shd w:val="clear" w:color="auto" w:fill="E6EFFF"/>
          </w:tcPr>
          <w:p>
            <w:pPr>
              <w:ind w:left="80"/>
              <w:spacing w:after="0"/>
              <w:rPr>
                <w:sz w:val="20"/>
                <w:szCs w:val="20"/>
                <w:color w:val="auto"/>
              </w:rPr>
            </w:pPr>
            <w:r>
              <w:rPr>
                <w:rFonts w:ascii="Times New Roman" w:cs="Times New Roman" w:eastAsia="Times New Roman" w:hAnsi="Times New Roman"/>
                <w:sz w:val="14"/>
                <w:szCs w:val="14"/>
                <w:color w:val="auto"/>
              </w:rPr>
              <w:t>Stock options</w:t>
            </w:r>
          </w:p>
        </w:tc>
        <w:tc>
          <w:tcPr>
            <w:tcW w:w="1660" w:type="dxa"/>
            <w:vAlign w:val="bottom"/>
            <w:gridSpan w:val="2"/>
            <w:shd w:val="clear" w:color="auto" w:fill="E6EFFF"/>
          </w:tcPr>
          <w:p>
            <w:pPr>
              <w:jc w:val="center"/>
              <w:ind w:left="48"/>
              <w:spacing w:after="0" w:line="204" w:lineRule="exact"/>
              <w:rPr>
                <w:sz w:val="20"/>
                <w:szCs w:val="20"/>
                <w:color w:val="auto"/>
              </w:rPr>
            </w:pPr>
            <w:r>
              <w:rPr>
                <w:rFonts w:ascii="Times New Roman" w:cs="Times New Roman" w:eastAsia="Times New Roman" w:hAnsi="Times New Roman"/>
                <w:sz w:val="14"/>
                <w:szCs w:val="14"/>
                <w:color w:val="auto"/>
                <w:w w:val="94"/>
              </w:rPr>
              <w:t>3,994,716</w:t>
            </w:r>
            <w:r>
              <w:rPr>
                <w:rFonts w:ascii="Times New Roman" w:cs="Times New Roman" w:eastAsia="Times New Roman" w:hAnsi="Times New Roman"/>
                <w:sz w:val="23"/>
                <w:szCs w:val="23"/>
                <w:color w:val="auto"/>
                <w:w w:val="94"/>
                <w:vertAlign w:val="superscript"/>
              </w:rPr>
              <w:t>(3)</w:t>
            </w:r>
          </w:p>
        </w:tc>
      </w:tr>
      <w:tr>
        <w:trPr>
          <w:trHeight w:val="315"/>
        </w:trPr>
        <w:tc>
          <w:tcPr>
            <w:tcW w:w="6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Share purchase warrants</w:t>
            </w:r>
          </w:p>
        </w:tc>
        <w:tc>
          <w:tcPr>
            <w:tcW w:w="16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4"/>
              </w:rPr>
              <w:t>2,796,197</w:t>
            </w:r>
            <w:r>
              <w:rPr>
                <w:rFonts w:ascii="Times New Roman" w:cs="Times New Roman" w:eastAsia="Times New Roman" w:hAnsi="Times New Roman"/>
                <w:sz w:val="23"/>
                <w:szCs w:val="23"/>
                <w:color w:val="auto"/>
                <w:w w:val="94"/>
                <w:vertAlign w:val="superscript"/>
              </w:rPr>
              <w:t>(4)</w:t>
            </w:r>
          </w:p>
        </w:tc>
      </w:tr>
    </w:tbl>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Notes:</w:t>
      </w:r>
    </w:p>
    <w:p>
      <w:pPr>
        <w:spacing w:after="0" w:line="153" w:lineRule="exact"/>
        <w:rPr>
          <w:sz w:val="20"/>
          <w:szCs w:val="20"/>
          <w:color w:val="auto"/>
        </w:rPr>
      </w:pPr>
    </w:p>
    <w:p>
      <w:pPr>
        <w:ind w:left="720" w:hanging="369"/>
        <w:spacing w:after="0"/>
        <w:tabs>
          <w:tab w:leader="none" w:pos="7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Principal amount of Convertible Debentures issued and outstanding.</w:t>
      </w:r>
    </w:p>
    <w:p>
      <w:pPr>
        <w:spacing w:after="0" w:line="16" w:lineRule="exact"/>
        <w:rPr>
          <w:rFonts w:ascii="Times New Roman" w:cs="Times New Roman" w:eastAsia="Times New Roman" w:hAnsi="Times New Roman"/>
          <w:sz w:val="17"/>
          <w:szCs w:val="17"/>
          <w:color w:val="auto"/>
        </w:rPr>
      </w:pPr>
    </w:p>
    <w:p>
      <w:pPr>
        <w:ind w:left="700" w:hanging="349"/>
        <w:spacing w:after="0" w:line="237" w:lineRule="auto"/>
        <w:tabs>
          <w:tab w:leader="none" w:pos="72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of the Interim Financial Statements, an aggregate of (i) 1,590,298 Common Shares were issued on conversion of the Convertible Debentures, and (ii) 7,894 Common Shares were issued upon exercise of certain options to purchase Common Shares.</w:t>
      </w:r>
    </w:p>
    <w:p>
      <w:pPr>
        <w:spacing w:after="0" w:line="1" w:lineRule="exact"/>
        <w:rPr>
          <w:rFonts w:ascii="Times New Roman" w:cs="Times New Roman" w:eastAsia="Times New Roman" w:hAnsi="Times New Roman"/>
          <w:sz w:val="17"/>
          <w:szCs w:val="17"/>
          <w:color w:val="auto"/>
        </w:rPr>
      </w:pPr>
    </w:p>
    <w:p>
      <w:pPr>
        <w:jc w:val="both"/>
        <w:ind w:left="700" w:hanging="349"/>
        <w:spacing w:after="0" w:line="237" w:lineRule="auto"/>
        <w:tabs>
          <w:tab w:leader="none" w:pos="72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15, 2025, options to purchase an aggregate of 53,800 Common Shares at an exercise price of $10.00 per Common Share and options to purchase an aggregate of 80,000 Common Shares at an exercise price of $11.00 per Common Share were granted under the Corporation's equity incentive plan (the "</w:t>
      </w:r>
      <w:r>
        <w:rPr>
          <w:rFonts w:ascii="Times New Roman" w:cs="Times New Roman" w:eastAsia="Times New Roman" w:hAnsi="Times New Roman"/>
          <w:sz w:val="17"/>
          <w:szCs w:val="17"/>
          <w:b w:val="1"/>
          <w:bCs w:val="1"/>
          <w:color w:val="auto"/>
        </w:rPr>
        <w:t>Equity Incentive Plan</w:t>
      </w:r>
      <w:r>
        <w:rPr>
          <w:rFonts w:ascii="Times New Roman" w:cs="Times New Roman" w:eastAsia="Times New Roman" w:hAnsi="Times New Roman"/>
          <w:sz w:val="17"/>
          <w:szCs w:val="17"/>
          <w:color w:val="auto"/>
        </w:rPr>
        <w:t>"). On August 29, 2025, options to purchase an aggregate of 15,000 Common Shares at an exercise price of $11.00 per Common Share were granted under the Equity Incentive Plan.</w:t>
      </w:r>
    </w:p>
    <w:p>
      <w:pPr>
        <w:spacing w:after="0" w:line="3" w:lineRule="exact"/>
        <w:rPr>
          <w:rFonts w:ascii="Times New Roman" w:cs="Times New Roman" w:eastAsia="Times New Roman" w:hAnsi="Times New Roman"/>
          <w:sz w:val="17"/>
          <w:szCs w:val="17"/>
          <w:color w:val="auto"/>
        </w:rPr>
      </w:pPr>
    </w:p>
    <w:p>
      <w:pPr>
        <w:jc w:val="both"/>
        <w:ind w:left="700" w:hanging="349"/>
        <w:spacing w:after="0" w:line="244" w:lineRule="auto"/>
        <w:tabs>
          <w:tab w:leader="none" w:pos="72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0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17"/>
          <w:szCs w:val="17"/>
          <w:i w:val="1"/>
          <w:iCs w:val="1"/>
          <w:color w:val="auto"/>
        </w:rPr>
        <w:t>"Risk Factors - Risks Related to 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Offering - Discretion over the Use of Proceeds"</w:t>
      </w:r>
      <w:r>
        <w:rPr>
          <w:rFonts w:ascii="Times New Roman" w:cs="Times New Roman" w:eastAsia="Times New Roman" w:hAnsi="Times New Roman"/>
          <w:sz w:val="17"/>
          <w:szCs w:val="17"/>
          <w:color w:val="auto"/>
        </w:rPr>
        <w:t>. The Corporation will not receive any proceeds from any sale of Securities by a Selling Securityholder.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Sources and Uses of Capital</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at September 16, 2025, the Corporation had approximately US$92,200,000 in cash. As at September 16, 2025, the Corporation anticipates that it will require approximately US$92,200,000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72"/>
        </w:trPr>
        <w:tc>
          <w:tcPr>
            <w:tcW w:w="6600" w:type="dxa"/>
            <w:vAlign w:val="bottom"/>
          </w:tcPr>
          <w:p>
            <w:pPr>
              <w:spacing w:after="0"/>
              <w:rPr>
                <w:sz w:val="14"/>
                <w:szCs w:val="14"/>
                <w:color w:val="auto"/>
              </w:rPr>
            </w:pPr>
          </w:p>
        </w:tc>
        <w:tc>
          <w:tcPr>
            <w:tcW w:w="3020" w:type="dxa"/>
            <w:vAlign w:val="bottom"/>
            <w:gridSpan w:val="2"/>
          </w:tcPr>
          <w:p>
            <w:pPr>
              <w:jc w:val="center"/>
              <w:ind w:left="1109"/>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00" w:type="dxa"/>
            <w:vAlign w:val="bottom"/>
          </w:tcPr>
          <w:p>
            <w:pPr>
              <w:spacing w:after="0"/>
              <w:rPr>
                <w:sz w:val="15"/>
                <w:szCs w:val="15"/>
                <w:color w:val="auto"/>
              </w:rPr>
            </w:pPr>
          </w:p>
        </w:tc>
        <w:tc>
          <w:tcPr>
            <w:tcW w:w="3020" w:type="dxa"/>
            <w:vAlign w:val="bottom"/>
            <w:gridSpan w:val="2"/>
          </w:tcPr>
          <w:p>
            <w:pPr>
              <w:jc w:val="center"/>
              <w:ind w:left="1129"/>
              <w:spacing w:after="0"/>
              <w:rPr>
                <w:sz w:val="20"/>
                <w:szCs w:val="20"/>
                <w:color w:val="auto"/>
              </w:rPr>
            </w:pPr>
            <w:r>
              <w:rPr>
                <w:rFonts w:ascii="Times New Roman" w:cs="Times New Roman" w:eastAsia="Times New Roman" w:hAnsi="Times New Roman"/>
                <w:sz w:val="14"/>
                <w:szCs w:val="14"/>
                <w:b w:val="1"/>
                <w:bCs w:val="1"/>
                <w:color w:val="auto"/>
              </w:rPr>
              <w:t>12 Month Use</w:t>
            </w:r>
          </w:p>
        </w:tc>
        <w:tc>
          <w:tcPr>
            <w:tcW w:w="16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Anticipated Timeline</w:t>
            </w:r>
          </w:p>
        </w:tc>
        <w:tc>
          <w:tcPr>
            <w:tcW w:w="0" w:type="dxa"/>
            <w:vAlign w:val="bottom"/>
          </w:tcPr>
          <w:p>
            <w:pPr>
              <w:spacing w:after="0"/>
              <w:rPr>
                <w:sz w:val="1"/>
                <w:szCs w:val="1"/>
                <w:color w:val="auto"/>
              </w:rPr>
            </w:pPr>
          </w:p>
        </w:tc>
      </w:tr>
      <w:tr>
        <w:trPr>
          <w:trHeight w:val="176"/>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23"/>
                <w:szCs w:val="23"/>
                <w:b w:val="1"/>
                <w:bCs w:val="1"/>
                <w:color w:val="auto"/>
                <w:vertAlign w:val="superscript"/>
              </w:rPr>
              <w:t>(1)</w:t>
            </w:r>
          </w:p>
        </w:tc>
        <w:tc>
          <w:tcPr>
            <w:tcW w:w="3020" w:type="dxa"/>
            <w:vAlign w:val="bottom"/>
            <w:gridSpan w:val="2"/>
          </w:tcPr>
          <w:p>
            <w:pPr>
              <w:jc w:val="center"/>
              <w:ind w:left="1169"/>
              <w:spacing w:after="0" w:line="177" w:lineRule="exact"/>
              <w:rPr>
                <w:sz w:val="20"/>
                <w:szCs w:val="20"/>
                <w:color w:val="auto"/>
              </w:rPr>
            </w:pPr>
            <w:r>
              <w:rPr>
                <w:rFonts w:ascii="Times New Roman" w:cs="Times New Roman" w:eastAsia="Times New Roman" w:hAnsi="Times New Roman"/>
                <w:sz w:val="13"/>
                <w:szCs w:val="13"/>
                <w:b w:val="1"/>
                <w:bCs w:val="1"/>
                <w:color w:val="auto"/>
              </w:rPr>
              <w:t>of Funds</w:t>
            </w:r>
            <w:r>
              <w:rPr>
                <w:rFonts w:ascii="Times New Roman" w:cs="Times New Roman" w:eastAsia="Times New Roman" w:hAnsi="Times New Roman"/>
                <w:sz w:val="20"/>
                <w:szCs w:val="20"/>
                <w:b w:val="1"/>
                <w:bCs w:val="1"/>
                <w:color w:val="auto"/>
                <w:vertAlign w:val="superscript"/>
              </w:rPr>
              <w:t>(2)(3)</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600" w:type="dxa"/>
            <w:vAlign w:val="bottom"/>
            <w:vMerge w:val="continue"/>
          </w:tcPr>
          <w:p>
            <w:pPr>
              <w:spacing w:after="0"/>
              <w:rPr>
                <w:sz w:val="18"/>
                <w:szCs w:val="18"/>
                <w:color w:val="auto"/>
              </w:rPr>
            </w:pPr>
          </w:p>
        </w:tc>
        <w:tc>
          <w:tcPr>
            <w:tcW w:w="3020" w:type="dxa"/>
            <w:vAlign w:val="bottom"/>
            <w:gridSpan w:val="2"/>
          </w:tcPr>
          <w:p>
            <w:pPr>
              <w:jc w:val="center"/>
              <w:ind w:left="1149"/>
              <w:spacing w:after="0"/>
              <w:rPr>
                <w:sz w:val="20"/>
                <w:szCs w:val="20"/>
                <w:color w:val="auto"/>
              </w:rPr>
            </w:pPr>
            <w:r>
              <w:rPr>
                <w:rFonts w:ascii="Times New Roman" w:cs="Times New Roman" w:eastAsia="Times New Roman" w:hAnsi="Times New Roman"/>
                <w:sz w:val="14"/>
                <w:szCs w:val="14"/>
                <w:b w:val="1"/>
                <w:bCs w:val="1"/>
                <w:color w:val="auto"/>
              </w:rPr>
              <w:t>US($)</w:t>
            </w:r>
          </w:p>
        </w:tc>
        <w:tc>
          <w:tcPr>
            <w:tcW w:w="1660" w:type="dxa"/>
            <w:vAlign w:val="bottom"/>
          </w:tcPr>
          <w:p>
            <w:pPr>
              <w:jc w:val="center"/>
              <w:ind w:right="28"/>
              <w:spacing w:after="0" w:line="215" w:lineRule="exact"/>
              <w:rPr>
                <w:sz w:val="20"/>
                <w:szCs w:val="20"/>
                <w:color w:val="auto"/>
              </w:rPr>
            </w:pPr>
            <w:r>
              <w:rPr>
                <w:rFonts w:ascii="Times New Roman" w:cs="Times New Roman" w:eastAsia="Times New Roman" w:hAnsi="Times New Roman"/>
                <w:sz w:val="14"/>
                <w:szCs w:val="14"/>
                <w:b w:val="1"/>
                <w:bCs w:val="1"/>
                <w:color w:val="auto"/>
                <w:w w:val="98"/>
              </w:rPr>
              <w:t>for Completion</w:t>
            </w:r>
            <w:r>
              <w:rPr>
                <w:rFonts w:ascii="Times New Roman" w:cs="Times New Roman" w:eastAsia="Times New Roman" w:hAnsi="Times New Roman"/>
                <w:sz w:val="23"/>
                <w:szCs w:val="23"/>
                <w:b w:val="1"/>
                <w:bCs w:val="1"/>
                <w:color w:val="auto"/>
                <w:w w:val="98"/>
                <w:vertAlign w:val="superscript"/>
              </w:rPr>
              <w:t>(4)</w:t>
            </w:r>
          </w:p>
        </w:tc>
        <w:tc>
          <w:tcPr>
            <w:tcW w:w="0" w:type="dxa"/>
            <w:vAlign w:val="bottom"/>
          </w:tcPr>
          <w:p>
            <w:pPr>
              <w:spacing w:after="0"/>
              <w:rPr>
                <w:sz w:val="1"/>
                <w:szCs w:val="1"/>
                <w:color w:val="auto"/>
              </w:rPr>
            </w:pPr>
          </w:p>
        </w:tc>
      </w:tr>
      <w:tr>
        <w:trPr>
          <w:trHeight w:val="195"/>
        </w:trPr>
        <w:tc>
          <w:tcPr>
            <w:tcW w:w="6600" w:type="dxa"/>
            <w:vAlign w:val="bottom"/>
            <w:tcBorders>
              <w:top w:val="single" w:sz="8" w:color="auto"/>
            </w:tcBorders>
            <w:shd w:val="clear" w:color="auto" w:fill="E6EFFF"/>
          </w:tcPr>
          <w:p>
            <w:pPr>
              <w:spacing w:after="0" w:line="196" w:lineRule="exact"/>
              <w:rPr>
                <w:sz w:val="20"/>
                <w:szCs w:val="20"/>
                <w:color w:val="auto"/>
              </w:rPr>
            </w:pPr>
            <w:r>
              <w:rPr>
                <w:rFonts w:ascii="Times New Roman" w:cs="Times New Roman" w:eastAsia="Times New Roman" w:hAnsi="Times New Roman"/>
                <w:sz w:val="14"/>
                <w:szCs w:val="14"/>
                <w:color w:val="auto"/>
              </w:rPr>
              <w:t>Deuterated Psilocin Program (CYB003)</w:t>
            </w:r>
            <w:r>
              <w:rPr>
                <w:rFonts w:ascii="Times New Roman" w:cs="Times New Roman" w:eastAsia="Times New Roman" w:hAnsi="Times New Roman"/>
                <w:sz w:val="22"/>
                <w:szCs w:val="22"/>
                <w:color w:val="auto"/>
                <w:vertAlign w:val="superscript"/>
              </w:rPr>
              <w:t>(5)</w:t>
            </w:r>
          </w:p>
        </w:tc>
        <w:tc>
          <w:tcPr>
            <w:tcW w:w="2800" w:type="dxa"/>
            <w:vAlign w:val="bottom"/>
            <w:tcBorders>
              <w:top w:val="single" w:sz="8" w:color="auto"/>
            </w:tcBorders>
            <w:shd w:val="clear" w:color="auto" w:fill="E6EFFF"/>
          </w:tcPr>
          <w:p>
            <w:pPr>
              <w:spacing w:after="0"/>
              <w:rPr>
                <w:sz w:val="16"/>
                <w:szCs w:val="16"/>
                <w:color w:val="auto"/>
              </w:rPr>
            </w:pPr>
          </w:p>
        </w:tc>
        <w:tc>
          <w:tcPr>
            <w:tcW w:w="220" w:type="dxa"/>
            <w:vAlign w:val="bottom"/>
            <w:tcBorders>
              <w:top w:val="single" w:sz="8" w:color="E6EFFF"/>
            </w:tcBorders>
            <w:shd w:val="clear" w:color="auto" w:fill="E6EFFF"/>
          </w:tcPr>
          <w:p>
            <w:pPr>
              <w:spacing w:after="0"/>
              <w:rPr>
                <w:sz w:val="16"/>
                <w:szCs w:val="16"/>
                <w:color w:val="auto"/>
              </w:rPr>
            </w:pPr>
          </w:p>
        </w:tc>
        <w:tc>
          <w:tcPr>
            <w:tcW w:w="1660" w:type="dxa"/>
            <w:vAlign w:val="bottom"/>
            <w:tcBorders>
              <w:top w:val="single" w:sz="8" w:color="auto"/>
            </w:tcBorders>
            <w:shd w:val="clear" w:color="auto" w:fill="E6EF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Provide topline efficacy data readout from the first Phase 3 study, APPROACH</w:t>
            </w:r>
          </w:p>
        </w:tc>
        <w:tc>
          <w:tcPr>
            <w:tcW w:w="2800" w:type="dxa"/>
            <w:vAlign w:val="bottom"/>
          </w:tcPr>
          <w:p>
            <w:pPr>
              <w:jc w:val="center"/>
              <w:ind w:left="1369"/>
              <w:spacing w:after="0"/>
              <w:rPr>
                <w:sz w:val="20"/>
                <w:szCs w:val="20"/>
                <w:color w:val="auto"/>
              </w:rPr>
            </w:pPr>
            <w:r>
              <w:rPr>
                <w:rFonts w:ascii="Times New Roman" w:cs="Times New Roman" w:eastAsia="Times New Roman" w:hAnsi="Times New Roman"/>
                <w:sz w:val="14"/>
                <w:szCs w:val="14"/>
                <w:color w:val="auto"/>
              </w:rPr>
              <w:t>27,717,000</w:t>
            </w:r>
          </w:p>
        </w:tc>
        <w:tc>
          <w:tcPr>
            <w:tcW w:w="220" w:type="dxa"/>
            <w:vAlign w:val="bottom"/>
          </w:tcPr>
          <w:p>
            <w:pPr>
              <w:spacing w:after="0"/>
              <w:rPr>
                <w:sz w:val="14"/>
                <w:szCs w:val="14"/>
                <w:color w:val="auto"/>
              </w:rPr>
            </w:pPr>
          </w:p>
        </w:tc>
        <w:tc>
          <w:tcPr>
            <w:tcW w:w="16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205"/>
        </w:trPr>
        <w:tc>
          <w:tcPr>
            <w:tcW w:w="6600" w:type="dxa"/>
            <w:vAlign w:val="bottom"/>
            <w:shd w:val="clear" w:color="auto" w:fill="E6EFFF"/>
          </w:tcPr>
          <w:p>
            <w:pPr>
              <w:ind w:left="360"/>
              <w:spacing w:after="0"/>
              <w:rPr>
                <w:sz w:val="20"/>
                <w:szCs w:val="20"/>
                <w:color w:val="auto"/>
              </w:rPr>
            </w:pPr>
            <w:r>
              <w:rPr>
                <w:rFonts w:ascii="Times New Roman" w:cs="Times New Roman" w:eastAsia="Times New Roman" w:hAnsi="Times New Roman"/>
                <w:sz w:val="14"/>
                <w:szCs w:val="14"/>
                <w:color w:val="auto"/>
              </w:rPr>
              <w:t>Progression of the second Phase 3 study, EMBRACE</w:t>
            </w:r>
          </w:p>
        </w:tc>
        <w:tc>
          <w:tcPr>
            <w:tcW w:w="2800" w:type="dxa"/>
            <w:vAlign w:val="bottom"/>
            <w:shd w:val="clear" w:color="auto" w:fill="E6EFFF"/>
          </w:tcPr>
          <w:p>
            <w:pPr>
              <w:jc w:val="center"/>
              <w:ind w:left="1369"/>
              <w:spacing w:after="0"/>
              <w:rPr>
                <w:sz w:val="20"/>
                <w:szCs w:val="20"/>
                <w:color w:val="auto"/>
              </w:rPr>
            </w:pPr>
            <w:r>
              <w:rPr>
                <w:rFonts w:ascii="Times New Roman" w:cs="Times New Roman" w:eastAsia="Times New Roman" w:hAnsi="Times New Roman"/>
                <w:sz w:val="14"/>
                <w:szCs w:val="14"/>
                <w:color w:val="auto"/>
              </w:rPr>
              <w:t>24,368,000</w:t>
            </w:r>
          </w:p>
        </w:tc>
        <w:tc>
          <w:tcPr>
            <w:tcW w:w="220" w:type="dxa"/>
            <w:vAlign w:val="bottom"/>
            <w:shd w:val="clear" w:color="auto" w:fill="E6EFFF"/>
          </w:tcPr>
          <w:p>
            <w:pPr>
              <w:spacing w:after="0"/>
              <w:rPr>
                <w:sz w:val="17"/>
                <w:szCs w:val="17"/>
                <w:color w:val="auto"/>
              </w:rPr>
            </w:pPr>
          </w:p>
        </w:tc>
        <w:tc>
          <w:tcPr>
            <w:tcW w:w="1660" w:type="dxa"/>
            <w:vAlign w:val="bottom"/>
            <w:shd w:val="clear" w:color="auto" w:fill="E6EFFF"/>
          </w:tcPr>
          <w:p>
            <w:pPr>
              <w:jc w:val="center"/>
              <w:ind w:right="48"/>
              <w:spacing w:after="0" w:line="204" w:lineRule="exact"/>
              <w:rPr>
                <w:sz w:val="20"/>
                <w:szCs w:val="20"/>
                <w:color w:val="auto"/>
              </w:rPr>
            </w:pPr>
            <w:r>
              <w:rPr>
                <w:rFonts w:ascii="Times New Roman" w:cs="Times New Roman" w:eastAsia="Times New Roman" w:hAnsi="Times New Roman"/>
                <w:sz w:val="14"/>
                <w:szCs w:val="14"/>
                <w:color w:val="auto"/>
                <w:w w:val="90"/>
              </w:rPr>
              <w:t>N/A</w:t>
            </w:r>
            <w:r>
              <w:rPr>
                <w:rFonts w:ascii="Times New Roman" w:cs="Times New Roman" w:eastAsia="Times New Roman" w:hAnsi="Times New Roman"/>
                <w:sz w:val="23"/>
                <w:szCs w:val="23"/>
                <w:color w:val="auto"/>
                <w:w w:val="90"/>
                <w:vertAlign w:val="superscript"/>
              </w:rPr>
              <w:t>(7)</w:t>
            </w:r>
          </w:p>
        </w:tc>
        <w:tc>
          <w:tcPr>
            <w:tcW w:w="0" w:type="dxa"/>
            <w:vAlign w:val="bottom"/>
          </w:tcPr>
          <w:p>
            <w:pPr>
              <w:spacing w:after="0"/>
              <w:rPr>
                <w:sz w:val="1"/>
                <w:szCs w:val="1"/>
                <w:color w:val="auto"/>
              </w:rPr>
            </w:pPr>
          </w:p>
        </w:tc>
      </w:tr>
      <w:tr>
        <w:trPr>
          <w:trHeight w:val="205"/>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Progression of the third Phase 3 study, EXTEND</w:t>
            </w:r>
          </w:p>
        </w:tc>
        <w:tc>
          <w:tcPr>
            <w:tcW w:w="2800" w:type="dxa"/>
            <w:vAlign w:val="bottom"/>
          </w:tcPr>
          <w:p>
            <w:pPr>
              <w:jc w:val="center"/>
              <w:ind w:left="1369"/>
              <w:spacing w:after="0"/>
              <w:rPr>
                <w:sz w:val="20"/>
                <w:szCs w:val="20"/>
                <w:color w:val="auto"/>
              </w:rPr>
            </w:pPr>
            <w:r>
              <w:rPr>
                <w:rFonts w:ascii="Times New Roman" w:cs="Times New Roman" w:eastAsia="Times New Roman" w:hAnsi="Times New Roman"/>
                <w:sz w:val="14"/>
                <w:szCs w:val="14"/>
                <w:color w:val="auto"/>
              </w:rPr>
              <w:t>23,923,000</w:t>
            </w:r>
          </w:p>
        </w:tc>
        <w:tc>
          <w:tcPr>
            <w:tcW w:w="220" w:type="dxa"/>
            <w:vAlign w:val="bottom"/>
          </w:tcPr>
          <w:p>
            <w:pPr>
              <w:spacing w:after="0"/>
              <w:rPr>
                <w:sz w:val="17"/>
                <w:szCs w:val="17"/>
                <w:color w:val="auto"/>
              </w:rPr>
            </w:pPr>
          </w:p>
        </w:tc>
        <w:tc>
          <w:tcPr>
            <w:tcW w:w="1660" w:type="dxa"/>
            <w:vAlign w:val="bottom"/>
          </w:tcPr>
          <w:p>
            <w:pPr>
              <w:jc w:val="center"/>
              <w:ind w:right="48"/>
              <w:spacing w:after="0" w:line="204" w:lineRule="exact"/>
              <w:rPr>
                <w:sz w:val="20"/>
                <w:szCs w:val="20"/>
                <w:color w:val="auto"/>
              </w:rPr>
            </w:pPr>
            <w:r>
              <w:rPr>
                <w:rFonts w:ascii="Times New Roman" w:cs="Times New Roman" w:eastAsia="Times New Roman" w:hAnsi="Times New Roman"/>
                <w:sz w:val="14"/>
                <w:szCs w:val="14"/>
                <w:color w:val="auto"/>
                <w:w w:val="90"/>
              </w:rPr>
              <w:t>N/A</w:t>
            </w:r>
            <w:r>
              <w:rPr>
                <w:rFonts w:ascii="Times New Roman" w:cs="Times New Roman" w:eastAsia="Times New Roman" w:hAnsi="Times New Roman"/>
                <w:sz w:val="23"/>
                <w:szCs w:val="23"/>
                <w:color w:val="auto"/>
                <w:w w:val="90"/>
                <w:vertAlign w:val="superscript"/>
              </w:rPr>
              <w:t>(7)</w:t>
            </w:r>
          </w:p>
        </w:tc>
        <w:tc>
          <w:tcPr>
            <w:tcW w:w="0" w:type="dxa"/>
            <w:vAlign w:val="bottom"/>
          </w:tcPr>
          <w:p>
            <w:pPr>
              <w:spacing w:after="0"/>
              <w:rPr>
                <w:sz w:val="1"/>
                <w:szCs w:val="1"/>
                <w:color w:val="auto"/>
              </w:rPr>
            </w:pPr>
          </w:p>
        </w:tc>
      </w:tr>
      <w:tr>
        <w:trPr>
          <w:trHeight w:val="172"/>
        </w:trPr>
        <w:tc>
          <w:tcPr>
            <w:tcW w:w="6600" w:type="dxa"/>
            <w:vAlign w:val="bottom"/>
            <w:shd w:val="clear" w:color="auto" w:fill="E6EFFF"/>
          </w:tcPr>
          <w:p>
            <w:pPr>
              <w:spacing w:after="0"/>
              <w:rPr>
                <w:sz w:val="20"/>
                <w:szCs w:val="20"/>
                <w:color w:val="auto"/>
              </w:rPr>
            </w:pPr>
            <w:r>
              <w:rPr>
                <w:rFonts w:ascii="Times New Roman" w:cs="Times New Roman" w:eastAsia="Times New Roman" w:hAnsi="Times New Roman"/>
                <w:sz w:val="14"/>
                <w:szCs w:val="14"/>
                <w:color w:val="auto"/>
              </w:rPr>
              <w:t>Deuterated Dimethyltryptamine Program (CYB004)</w:t>
            </w:r>
          </w:p>
        </w:tc>
        <w:tc>
          <w:tcPr>
            <w:tcW w:w="2800" w:type="dxa"/>
            <w:vAlign w:val="bottom"/>
            <w:shd w:val="clear" w:color="auto" w:fill="E6EFFF"/>
          </w:tcPr>
          <w:p>
            <w:pPr>
              <w:spacing w:after="0"/>
              <w:rPr>
                <w:sz w:val="14"/>
                <w:szCs w:val="14"/>
                <w:color w:val="auto"/>
              </w:rPr>
            </w:pPr>
          </w:p>
        </w:tc>
        <w:tc>
          <w:tcPr>
            <w:tcW w:w="220" w:type="dxa"/>
            <w:vAlign w:val="bottom"/>
            <w:shd w:val="clear" w:color="auto" w:fill="E6EFFF"/>
          </w:tcPr>
          <w:p>
            <w:pPr>
              <w:spacing w:after="0"/>
              <w:rPr>
                <w:sz w:val="14"/>
                <w:szCs w:val="14"/>
                <w:color w:val="auto"/>
              </w:rPr>
            </w:pPr>
          </w:p>
        </w:tc>
        <w:tc>
          <w:tcPr>
            <w:tcW w:w="166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Complete the Phase 2 GAD study</w:t>
            </w:r>
          </w:p>
        </w:tc>
        <w:tc>
          <w:tcPr>
            <w:tcW w:w="2800" w:type="dxa"/>
            <w:vAlign w:val="bottom"/>
          </w:tcPr>
          <w:p>
            <w:pPr>
              <w:jc w:val="center"/>
              <w:ind w:left="1389"/>
              <w:spacing w:after="0"/>
              <w:rPr>
                <w:sz w:val="20"/>
                <w:szCs w:val="20"/>
                <w:color w:val="auto"/>
              </w:rPr>
            </w:pPr>
            <w:r>
              <w:rPr>
                <w:rFonts w:ascii="Times New Roman" w:cs="Times New Roman" w:eastAsia="Times New Roman" w:hAnsi="Times New Roman"/>
                <w:sz w:val="14"/>
                <w:szCs w:val="14"/>
                <w:color w:val="auto"/>
              </w:rPr>
              <w:t>1,548,000</w:t>
            </w:r>
          </w:p>
        </w:tc>
        <w:tc>
          <w:tcPr>
            <w:tcW w:w="220" w:type="dxa"/>
            <w:vAlign w:val="bottom"/>
          </w:tcPr>
          <w:p>
            <w:pPr>
              <w:spacing w:after="0"/>
              <w:rPr>
                <w:sz w:val="17"/>
                <w:szCs w:val="17"/>
                <w:color w:val="auto"/>
              </w:rPr>
            </w:pPr>
          </w:p>
        </w:tc>
        <w:tc>
          <w:tcPr>
            <w:tcW w:w="1660" w:type="dxa"/>
            <w:vAlign w:val="bottom"/>
          </w:tcPr>
          <w:p>
            <w:pPr>
              <w:jc w:val="center"/>
              <w:ind w:right="48"/>
              <w:spacing w:after="0" w:line="204" w:lineRule="exact"/>
              <w:rPr>
                <w:sz w:val="20"/>
                <w:szCs w:val="20"/>
                <w:color w:val="auto"/>
              </w:rPr>
            </w:pPr>
            <w:r>
              <w:rPr>
                <w:rFonts w:ascii="Times New Roman" w:cs="Times New Roman" w:eastAsia="Times New Roman" w:hAnsi="Times New Roman"/>
                <w:sz w:val="14"/>
                <w:szCs w:val="14"/>
                <w:color w:val="auto"/>
                <w:w w:val="99"/>
              </w:rPr>
              <w:t>December 2025</w:t>
            </w:r>
            <w:r>
              <w:rPr>
                <w:rFonts w:ascii="Times New Roman" w:cs="Times New Roman" w:eastAsia="Times New Roman" w:hAnsi="Times New Roman"/>
                <w:sz w:val="23"/>
                <w:szCs w:val="23"/>
                <w:color w:val="auto"/>
                <w:w w:val="99"/>
                <w:vertAlign w:val="superscript"/>
              </w:rPr>
              <w:t>(8)</w:t>
            </w:r>
          </w:p>
        </w:tc>
        <w:tc>
          <w:tcPr>
            <w:tcW w:w="0" w:type="dxa"/>
            <w:vAlign w:val="bottom"/>
          </w:tcPr>
          <w:p>
            <w:pPr>
              <w:spacing w:after="0"/>
              <w:rPr>
                <w:sz w:val="1"/>
                <w:szCs w:val="1"/>
                <w:color w:val="auto"/>
              </w:rPr>
            </w:pPr>
          </w:p>
        </w:tc>
      </w:tr>
      <w:tr>
        <w:trPr>
          <w:trHeight w:val="172"/>
        </w:trPr>
        <w:tc>
          <w:tcPr>
            <w:tcW w:w="6600" w:type="dxa"/>
            <w:vAlign w:val="bottom"/>
            <w:shd w:val="clear" w:color="auto" w:fill="E6EFFF"/>
          </w:tcPr>
          <w:p>
            <w:pPr>
              <w:ind w:left="360"/>
              <w:spacing w:after="0"/>
              <w:rPr>
                <w:sz w:val="20"/>
                <w:szCs w:val="20"/>
                <w:color w:val="auto"/>
              </w:rPr>
            </w:pPr>
            <w:r>
              <w:rPr>
                <w:rFonts w:ascii="Times New Roman" w:cs="Times New Roman" w:eastAsia="Times New Roman" w:hAnsi="Times New Roman"/>
                <w:sz w:val="14"/>
                <w:szCs w:val="14"/>
                <w:color w:val="auto"/>
              </w:rPr>
              <w:t>Provide topline data readout from the Phase 2 GAD study</w:t>
            </w:r>
          </w:p>
        </w:tc>
        <w:tc>
          <w:tcPr>
            <w:tcW w:w="2800" w:type="dxa"/>
            <w:vAlign w:val="bottom"/>
            <w:shd w:val="clear" w:color="auto" w:fill="E6EFFF"/>
          </w:tcPr>
          <w:p>
            <w:pPr>
              <w:jc w:val="center"/>
              <w:ind w:left="1389"/>
              <w:spacing w:after="0"/>
              <w:rPr>
                <w:sz w:val="20"/>
                <w:szCs w:val="20"/>
                <w:color w:val="auto"/>
              </w:rPr>
            </w:pPr>
            <w:r>
              <w:rPr>
                <w:rFonts w:ascii="Times New Roman" w:cs="Times New Roman" w:eastAsia="Times New Roman" w:hAnsi="Times New Roman"/>
                <w:sz w:val="14"/>
                <w:szCs w:val="14"/>
                <w:color w:val="auto"/>
              </w:rPr>
              <w:t>594,000</w:t>
            </w:r>
          </w:p>
        </w:tc>
        <w:tc>
          <w:tcPr>
            <w:tcW w:w="220" w:type="dxa"/>
            <w:vAlign w:val="bottom"/>
            <w:shd w:val="clear" w:color="auto" w:fill="E6EFFF"/>
          </w:tcPr>
          <w:p>
            <w:pPr>
              <w:spacing w:after="0"/>
              <w:rPr>
                <w:sz w:val="14"/>
                <w:szCs w:val="14"/>
                <w:color w:val="auto"/>
              </w:rPr>
            </w:pPr>
          </w:p>
        </w:tc>
        <w:tc>
          <w:tcPr>
            <w:tcW w:w="1660" w:type="dxa"/>
            <w:vAlign w:val="bottom"/>
            <w:shd w:val="clear" w:color="auto" w:fill="E6EFFF"/>
          </w:tcPr>
          <w:p>
            <w:pPr>
              <w:jc w:val="center"/>
              <w:ind w:right="48"/>
              <w:spacing w:after="0"/>
              <w:rPr>
                <w:sz w:val="20"/>
                <w:szCs w:val="20"/>
                <w:color w:val="auto"/>
              </w:rPr>
            </w:pPr>
            <w:r>
              <w:rPr>
                <w:rFonts w:ascii="Times New Roman" w:cs="Times New Roman" w:eastAsia="Times New Roman" w:hAnsi="Times New Roman"/>
                <w:sz w:val="14"/>
                <w:szCs w:val="14"/>
                <w:color w:val="auto"/>
              </w:rPr>
              <w:t>Q1 2026</w:t>
            </w:r>
          </w:p>
        </w:tc>
        <w:tc>
          <w:tcPr>
            <w:tcW w:w="0" w:type="dxa"/>
            <w:vAlign w:val="bottom"/>
          </w:tcPr>
          <w:p>
            <w:pPr>
              <w:spacing w:after="0"/>
              <w:rPr>
                <w:sz w:val="1"/>
                <w:szCs w:val="1"/>
                <w:color w:val="auto"/>
              </w:rPr>
            </w:pPr>
          </w:p>
        </w:tc>
      </w:tr>
      <w:tr>
        <w:trPr>
          <w:trHeight w:val="172"/>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Phenethylamine and Tryptamine Derivatives Program (CYB005)</w:t>
            </w: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6600" w:type="dxa"/>
            <w:vAlign w:val="bottom"/>
            <w:shd w:val="clear" w:color="auto" w:fill="E6EFFF"/>
          </w:tcPr>
          <w:p>
            <w:pPr>
              <w:ind w:left="360"/>
              <w:spacing w:after="0"/>
              <w:rPr>
                <w:sz w:val="20"/>
                <w:szCs w:val="20"/>
                <w:color w:val="auto"/>
              </w:rPr>
            </w:pPr>
            <w:r>
              <w:rPr>
                <w:rFonts w:ascii="Times New Roman" w:cs="Times New Roman" w:eastAsia="Times New Roman" w:hAnsi="Times New Roman"/>
                <w:sz w:val="14"/>
                <w:szCs w:val="14"/>
                <w:color w:val="auto"/>
              </w:rPr>
              <w:t>Deliver a drug development candidate</w:t>
            </w:r>
          </w:p>
        </w:tc>
        <w:tc>
          <w:tcPr>
            <w:tcW w:w="2800" w:type="dxa"/>
            <w:vAlign w:val="bottom"/>
            <w:shd w:val="clear" w:color="auto" w:fill="E6EFFF"/>
          </w:tcPr>
          <w:p>
            <w:pPr>
              <w:jc w:val="center"/>
              <w:ind w:left="1389"/>
              <w:spacing w:after="0"/>
              <w:rPr>
                <w:sz w:val="20"/>
                <w:szCs w:val="20"/>
                <w:color w:val="auto"/>
              </w:rPr>
            </w:pPr>
            <w:r>
              <w:rPr>
                <w:rFonts w:ascii="Times New Roman" w:cs="Times New Roman" w:eastAsia="Times New Roman" w:hAnsi="Times New Roman"/>
                <w:sz w:val="14"/>
                <w:szCs w:val="14"/>
                <w:color w:val="auto"/>
              </w:rPr>
              <w:t>346,000</w:t>
            </w:r>
          </w:p>
        </w:tc>
        <w:tc>
          <w:tcPr>
            <w:tcW w:w="220" w:type="dxa"/>
            <w:vAlign w:val="bottom"/>
            <w:shd w:val="clear" w:color="auto" w:fill="E6EFFF"/>
          </w:tcPr>
          <w:p>
            <w:pPr>
              <w:spacing w:after="0"/>
              <w:rPr>
                <w:sz w:val="17"/>
                <w:szCs w:val="17"/>
                <w:color w:val="auto"/>
              </w:rPr>
            </w:pPr>
          </w:p>
        </w:tc>
        <w:tc>
          <w:tcPr>
            <w:tcW w:w="1660" w:type="dxa"/>
            <w:vAlign w:val="bottom"/>
            <w:shd w:val="clear" w:color="auto" w:fill="E6EFFF"/>
          </w:tcPr>
          <w:p>
            <w:pPr>
              <w:jc w:val="center"/>
              <w:ind w:right="28"/>
              <w:spacing w:after="0" w:line="204" w:lineRule="exact"/>
              <w:rPr>
                <w:sz w:val="20"/>
                <w:szCs w:val="20"/>
                <w:color w:val="auto"/>
              </w:rPr>
            </w:pPr>
            <w:r>
              <w:rPr>
                <w:rFonts w:ascii="Times New Roman" w:cs="Times New Roman" w:eastAsia="Times New Roman" w:hAnsi="Times New Roman"/>
                <w:sz w:val="14"/>
                <w:szCs w:val="14"/>
                <w:color w:val="auto"/>
                <w:w w:val="96"/>
              </w:rPr>
              <w:t>Q3 2026</w:t>
            </w:r>
            <w:r>
              <w:rPr>
                <w:rFonts w:ascii="Times New Roman" w:cs="Times New Roman" w:eastAsia="Times New Roman" w:hAnsi="Times New Roman"/>
                <w:sz w:val="23"/>
                <w:szCs w:val="23"/>
                <w:color w:val="auto"/>
                <w:w w:val="96"/>
                <w:vertAlign w:val="superscript"/>
              </w:rPr>
              <w:t>(9)</w:t>
            </w:r>
          </w:p>
        </w:tc>
        <w:tc>
          <w:tcPr>
            <w:tcW w:w="0" w:type="dxa"/>
            <w:vAlign w:val="bottom"/>
          </w:tcPr>
          <w:p>
            <w:pPr>
              <w:spacing w:after="0"/>
              <w:rPr>
                <w:sz w:val="1"/>
                <w:szCs w:val="1"/>
                <w:color w:val="auto"/>
              </w:rPr>
            </w:pPr>
          </w:p>
        </w:tc>
      </w:tr>
      <w:tr>
        <w:trPr>
          <w:trHeight w:val="205"/>
        </w:trPr>
        <w:tc>
          <w:tcPr>
            <w:tcW w:w="6600" w:type="dxa"/>
            <w:vAlign w:val="bottom"/>
          </w:tcPr>
          <w:p>
            <w:pPr>
              <w:spacing w:after="0" w:line="204" w:lineRule="exact"/>
              <w:rPr>
                <w:sz w:val="20"/>
                <w:szCs w:val="20"/>
                <w:color w:val="auto"/>
              </w:rPr>
            </w:pPr>
            <w:r>
              <w:rPr>
                <w:rFonts w:ascii="Times New Roman" w:cs="Times New Roman" w:eastAsia="Times New Roman" w:hAnsi="Times New Roman"/>
                <w:sz w:val="14"/>
                <w:szCs w:val="14"/>
                <w:color w:val="auto"/>
              </w:rPr>
              <w:t>Working Capital, and General Corporate Purposes</w:t>
            </w:r>
            <w:r>
              <w:rPr>
                <w:rFonts w:ascii="Times New Roman" w:cs="Times New Roman" w:eastAsia="Times New Roman" w:hAnsi="Times New Roman"/>
                <w:sz w:val="23"/>
                <w:szCs w:val="23"/>
                <w:color w:val="auto"/>
                <w:vertAlign w:val="superscript"/>
              </w:rPr>
              <w:t>(6)</w:t>
            </w:r>
          </w:p>
        </w:tc>
        <w:tc>
          <w:tcPr>
            <w:tcW w:w="2800" w:type="dxa"/>
            <w:vAlign w:val="bottom"/>
          </w:tcPr>
          <w:p>
            <w:pPr>
              <w:jc w:val="center"/>
              <w:ind w:left="1369"/>
              <w:spacing w:after="0"/>
              <w:rPr>
                <w:sz w:val="20"/>
                <w:szCs w:val="20"/>
                <w:color w:val="auto"/>
              </w:rPr>
            </w:pPr>
            <w:r>
              <w:rPr>
                <w:rFonts w:ascii="Times New Roman" w:cs="Times New Roman" w:eastAsia="Times New Roman" w:hAnsi="Times New Roman"/>
                <w:sz w:val="14"/>
                <w:szCs w:val="14"/>
                <w:color w:val="auto"/>
              </w:rPr>
              <w:t>13,704,000</w:t>
            </w:r>
          </w:p>
        </w:tc>
        <w:tc>
          <w:tcPr>
            <w:tcW w:w="220" w:type="dxa"/>
            <w:vAlign w:val="bottom"/>
          </w:tcPr>
          <w:p>
            <w:pPr>
              <w:spacing w:after="0"/>
              <w:rPr>
                <w:sz w:val="17"/>
                <w:szCs w:val="17"/>
                <w:color w:val="auto"/>
              </w:rPr>
            </w:pPr>
          </w:p>
        </w:tc>
        <w:tc>
          <w:tcPr>
            <w:tcW w:w="16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72"/>
        </w:trPr>
        <w:tc>
          <w:tcPr>
            <w:tcW w:w="6600" w:type="dxa"/>
            <w:vAlign w:val="bottom"/>
            <w:shd w:val="clear" w:color="auto" w:fill="E6EF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0" w:type="dxa"/>
            <w:vAlign w:val="bottom"/>
            <w:shd w:val="clear" w:color="auto" w:fill="E6EFFF"/>
          </w:tcPr>
          <w:p>
            <w:pPr>
              <w:jc w:val="center"/>
              <w:ind w:left="1369"/>
              <w:spacing w:after="0"/>
              <w:rPr>
                <w:sz w:val="20"/>
                <w:szCs w:val="20"/>
                <w:color w:val="auto"/>
              </w:rPr>
            </w:pPr>
            <w:r>
              <w:rPr>
                <w:rFonts w:ascii="Times New Roman" w:cs="Times New Roman" w:eastAsia="Times New Roman" w:hAnsi="Times New Roman"/>
                <w:sz w:val="14"/>
                <w:szCs w:val="14"/>
                <w:b w:val="1"/>
                <w:bCs w:val="1"/>
                <w:color w:val="auto"/>
              </w:rPr>
              <w:t>92,200,000</w:t>
            </w:r>
          </w:p>
        </w:tc>
        <w:tc>
          <w:tcPr>
            <w:tcW w:w="220" w:type="dxa"/>
            <w:vAlign w:val="bottom"/>
            <w:shd w:val="clear" w:color="auto" w:fill="E6EFFF"/>
          </w:tcPr>
          <w:p>
            <w:pPr>
              <w:spacing w:after="0"/>
              <w:rPr>
                <w:sz w:val="14"/>
                <w:szCs w:val="14"/>
                <w:color w:val="auto"/>
              </w:rPr>
            </w:pPr>
          </w:p>
        </w:tc>
        <w:tc>
          <w:tcPr>
            <w:tcW w:w="1660" w:type="dxa"/>
            <w:vAlign w:val="bottom"/>
            <w:shd w:val="clear" w:color="auto" w:fill="E6EFFF"/>
          </w:tcPr>
          <w:p>
            <w:pPr>
              <w:spacing w:after="0"/>
              <w:rPr>
                <w:sz w:val="14"/>
                <w:szCs w:val="14"/>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Notes:</w:t>
      </w:r>
    </w:p>
    <w:p>
      <w:pPr>
        <w:spacing w:after="0" w:line="153" w:lineRule="exact"/>
        <w:rPr>
          <w:sz w:val="20"/>
          <w:szCs w:val="20"/>
          <w:color w:val="auto"/>
        </w:rPr>
      </w:pPr>
    </w:p>
    <w:p>
      <w:pPr>
        <w:ind w:left="520" w:hanging="342"/>
        <w:spacing w:after="0" w:line="249" w:lineRule="auto"/>
        <w:tabs>
          <w:tab w:leader="none" w:pos="5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see the Interim MD&amp;A for a description of the Corporation's programs. All milestones are subject to receipt of all necessary approvals, including the academic and scientific organizations with which the Corporation is working.</w:t>
      </w:r>
    </w:p>
    <w:p>
      <w:pPr>
        <w:jc w:val="both"/>
        <w:ind w:left="520" w:hanging="342"/>
        <w:spacing w:after="0" w:line="237" w:lineRule="auto"/>
        <w:tabs>
          <w:tab w:leader="none" w:pos="5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April 1, 2025, the Corporation changed its presentation currency from the Canadian dollar to the United States dollar.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 Sources and Uses of Capital" are in United States dollar unless otherwise stated.</w:t>
      </w:r>
    </w:p>
    <w:p>
      <w:pPr>
        <w:spacing w:after="0" w:line="3" w:lineRule="exact"/>
        <w:rPr>
          <w:rFonts w:ascii="Times New Roman" w:cs="Times New Roman" w:eastAsia="Times New Roman" w:hAnsi="Times New Roman"/>
          <w:sz w:val="17"/>
          <w:szCs w:val="17"/>
          <w:color w:val="auto"/>
        </w:rPr>
      </w:pPr>
    </w:p>
    <w:p>
      <w:pPr>
        <w:ind w:left="560" w:hanging="382"/>
        <w:spacing w:after="0" w:line="237" w:lineRule="auto"/>
        <w:tabs>
          <w:tab w:leader="none" w:pos="5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proceeds from private placements and offerings previously disclosed.</w:t>
      </w:r>
    </w:p>
    <w:p>
      <w:pPr>
        <w:ind w:left="520" w:hanging="342"/>
        <w:spacing w:after="0" w:line="237" w:lineRule="auto"/>
        <w:tabs>
          <w:tab w:leader="none" w:pos="5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17"/>
          <w:szCs w:val="17"/>
          <w:color w:val="auto"/>
        </w:rPr>
      </w:pPr>
    </w:p>
    <w:p>
      <w:pPr>
        <w:jc w:val="both"/>
        <w:ind w:left="520" w:hanging="342"/>
        <w:spacing w:after="0" w:line="237" w:lineRule="auto"/>
        <w:tabs>
          <w:tab w:leader="none" w:pos="5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 w:lineRule="exact"/>
        <w:rPr>
          <w:rFonts w:ascii="Times New Roman" w:cs="Times New Roman" w:eastAsia="Times New Roman" w:hAnsi="Times New Roman"/>
          <w:sz w:val="17"/>
          <w:szCs w:val="17"/>
          <w:color w:val="auto"/>
        </w:rPr>
      </w:pPr>
    </w:p>
    <w:p>
      <w:pPr>
        <w:jc w:val="both"/>
        <w:ind w:left="520" w:hanging="342"/>
        <w:spacing w:after="0" w:line="244" w:lineRule="auto"/>
        <w:tabs>
          <w:tab w:leader="none" w:pos="54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2" w:name="page83"/>
    <w:bookmarkEnd w:id="82"/>
    <w:p>
      <w:pPr>
        <w:ind w:left="520" w:hanging="342"/>
        <w:spacing w:after="0" w:line="249" w:lineRule="auto"/>
        <w:tabs>
          <w:tab w:leader="none" w:pos="5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will progress the Phase 3 study EMBRACE and Phase 3 study EXTEND over the next 12 months however, these studies are not anticipated to be completed within the 12 month timeframe.</w:t>
      </w:r>
    </w:p>
    <w:p>
      <w:pPr>
        <w:spacing w:after="0" w:line="1" w:lineRule="exact"/>
        <w:rPr>
          <w:rFonts w:ascii="Times New Roman" w:cs="Times New Roman" w:eastAsia="Times New Roman" w:hAnsi="Times New Roman"/>
          <w:sz w:val="17"/>
          <w:szCs w:val="17"/>
          <w:color w:val="auto"/>
        </w:rPr>
      </w:pPr>
    </w:p>
    <w:p>
      <w:pPr>
        <w:jc w:val="both"/>
        <w:ind w:left="520" w:hanging="342"/>
        <w:spacing w:after="0" w:line="237" w:lineRule="auto"/>
        <w:tabs>
          <w:tab w:leader="none" w:pos="5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has updated the anticipated timeline for completion of this milestone. The Corporation had previously expected it would complete this milestone around mid-year 2025. There was a minor change in anticipated timing due to updates to the study. Anticipated spending and timelines regarding drug development are based on reasonable assumptions informed by current knowledge and information available to the Corporation.</w:t>
      </w:r>
    </w:p>
    <w:p>
      <w:pPr>
        <w:spacing w:after="0" w:line="2" w:lineRule="exact"/>
        <w:rPr>
          <w:rFonts w:ascii="Times New Roman" w:cs="Times New Roman" w:eastAsia="Times New Roman" w:hAnsi="Times New Roman"/>
          <w:sz w:val="17"/>
          <w:szCs w:val="17"/>
          <w:color w:val="auto"/>
        </w:rPr>
      </w:pPr>
    </w:p>
    <w:p>
      <w:pPr>
        <w:jc w:val="both"/>
        <w:ind w:left="520" w:hanging="342"/>
        <w:spacing w:after="0" w:line="242" w:lineRule="auto"/>
        <w:tabs>
          <w:tab w:leader="none" w:pos="5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has updated the anticipated timeline for completion of this milestone. The Corporation had previously expected it would complete this milestone in Q1 2026. The Corporation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Corporation.</w:t>
      </w:r>
    </w:p>
    <w:p>
      <w:pPr>
        <w:spacing w:after="0" w:line="1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at September 16,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US$92,200,000.</w:t>
      </w:r>
    </w:p>
    <w:p>
      <w:pPr>
        <w:spacing w:after="0" w:line="9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Corporation's expectation is based on certain assumptions and risks as set forth in the section "</w:t>
      </w:r>
      <w:r>
        <w:rPr>
          <w:rFonts w:ascii="Times New Roman" w:cs="Times New Roman" w:eastAsia="Times New Roman" w:hAnsi="Times New Roman"/>
          <w:sz w:val="17"/>
          <w:szCs w:val="17"/>
          <w:i w:val="1"/>
          <w:iCs w:val="1"/>
          <w:color w:val="auto"/>
        </w:rPr>
        <w:t>Cautionary Note Regarding Forward Looking Information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17"/>
          <w:szCs w:val="17"/>
          <w:i w:val="1"/>
          <w:iCs w:val="1"/>
          <w:color w:val="auto"/>
        </w:rPr>
        <w:t>Cautionary Note Regarding Forward-Looking Information"</w:t>
      </w:r>
      <w:r>
        <w:rPr>
          <w:rFonts w:ascii="Times New Roman" w:cs="Times New Roman" w:eastAsia="Times New Roman" w:hAnsi="Times New Roman"/>
          <w:sz w:val="17"/>
          <w:szCs w:val="17"/>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or incorporated by reference in, this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Negative Cash Flow From Operations</w:t>
      </w:r>
    </w:p>
    <w:p>
      <w:pPr>
        <w:spacing w:after="0" w:line="1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17"/>
          <w:szCs w:val="17"/>
          <w:i w:val="1"/>
          <w:iCs w:val="1"/>
          <w:color w:val="auto"/>
        </w:rPr>
        <w:t>"Risk Factors - Risks Related to an Offering - Negative Operating Cash Flow".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1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The Prospectus may also from time to time, relate to the Offering of Securities by way of a secondary offering (each, a "</w:t>
      </w:r>
      <w:r>
        <w:rPr>
          <w:rFonts w:ascii="Times New Roman" w:cs="Times New Roman" w:eastAsia="Times New Roman" w:hAnsi="Times New Roman"/>
          <w:sz w:val="17"/>
          <w:szCs w:val="17"/>
          <w:b w:val="1"/>
          <w:bCs w:val="1"/>
          <w:color w:val="auto"/>
        </w:rPr>
        <w:t>Secondary Offering</w:t>
      </w:r>
      <w:r>
        <w:rPr>
          <w:rFonts w:ascii="Times New Roman" w:cs="Times New Roman" w:eastAsia="Times New Roman" w:hAnsi="Times New Roman"/>
          <w:sz w:val="17"/>
          <w:szCs w:val="17"/>
          <w:color w:val="auto"/>
        </w:rPr>
        <w:t>")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w:t>
      </w:r>
    </w:p>
    <w:p>
      <w:pPr>
        <w:spacing w:after="0" w:line="6" w:lineRule="exact"/>
        <w:rPr>
          <w:sz w:val="20"/>
          <w:szCs w:val="20"/>
          <w:color w:val="auto"/>
        </w:rPr>
      </w:pPr>
    </w:p>
    <w:p>
      <w:pPr>
        <w:jc w:val="both"/>
        <w:ind w:firstLine="6"/>
        <w:spacing w:after="0" w:line="244" w:lineRule="auto"/>
        <w:tabs>
          <w:tab w:leader="none" w:pos="40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disclosure required by Item 1.11 of Form 44-101F1 - </w:t>
      </w:r>
      <w:r>
        <w:rPr>
          <w:rFonts w:ascii="Times New Roman" w:cs="Times New Roman" w:eastAsia="Times New Roman" w:hAnsi="Times New Roman"/>
          <w:sz w:val="17"/>
          <w:szCs w:val="17"/>
          <w:i w:val="1"/>
          <w:iCs w:val="1"/>
          <w:color w:val="auto"/>
        </w:rPr>
        <w:t>Short Form Prospectus,</w:t>
      </w:r>
      <w:r>
        <w:rPr>
          <w:rFonts w:ascii="Times New Roman" w:cs="Times New Roman" w:eastAsia="Times New Roman" w:hAnsi="Times New Roman"/>
          <w:sz w:val="17"/>
          <w:szCs w:val="17"/>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17"/>
          <w:szCs w:val="17"/>
          <w:i w:val="1"/>
          <w:iCs w:val="1"/>
          <w:color w:val="auto"/>
        </w:rPr>
        <w:t>Risk Factors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Risks Related to an Offering - Speculative Nature of Investment Risk</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 BEING DISTRIBUTED</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Shares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is authorized to issue an unlimited number of Common Shares and an unlimited number of preferred shares. As at September 16, 2025, the Corporation had 25,188,217 Common Shares and nil preferred shares issued and outstanding.</w:t>
      </w:r>
    </w:p>
    <w:p>
      <w:pPr>
        <w:spacing w:after="0" w:line="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8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Each applicable Prospectus Supplement will set forth the terms and other information with respect to the Warrants being offered thereby, which may include, without limitation, the following (where applicable):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Each applicable Prospectus Supplement will set forth the terms and other information with respect to the Units being offered thereby, which may include, without limitation, the following (where applicable):</w:t>
      </w:r>
    </w:p>
    <w:p>
      <w:pPr>
        <w:spacing w:after="0" w:line="117"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85" w:name="page86"/>
    <w:bookmarkEnd w:id="85"/>
    <w:p>
      <w:pPr>
        <w:ind w:left="520" w:right="1920"/>
        <w:spacing w:after="0" w:line="426" w:lineRule="auto"/>
        <w:rPr>
          <w:sz w:val="20"/>
          <w:szCs w:val="20"/>
          <w:color w:val="auto"/>
        </w:rPr>
      </w:pPr>
      <w:r>
        <w:rPr>
          <w:rFonts w:ascii="Times New Roman" w:cs="Times New Roman" w:eastAsia="Times New Roman" w:hAnsi="Times New Roman"/>
          <w:sz w:val="17"/>
          <w:szCs w:val="17"/>
          <w:color w:val="auto"/>
        </w:rPr>
        <w:t>any provisions for the issuance, payment, settlement, transfer or exchange of the Units or of the Securities comprising the Units; 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-611505</wp:posOffset>
            </wp:positionV>
            <wp:extent cx="59690"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-399415</wp:posOffset>
            </wp:positionV>
            <wp:extent cx="59690"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-180340</wp:posOffset>
            </wp:positionV>
            <wp:extent cx="59690"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1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The Debt Securities may be issued in one or more series under an indenture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spacing w:after="0" w:line="1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specific designation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5"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5"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terms and conditions for any conversion or exchange of the Debt Securities for any other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20"/>
        <w:spacing w:after="0" w:line="277" w:lineRule="auto"/>
        <w:rPr>
          <w:sz w:val="20"/>
          <w:szCs w:val="20"/>
          <w:color w:val="auto"/>
        </w:rPr>
      </w:pPr>
      <w:r>
        <w:rPr>
          <w:rFonts w:ascii="Times New Roman" w:cs="Times New Roman" w:eastAsia="Times New Roman" w:hAnsi="Times New Roman"/>
          <w:sz w:val="17"/>
          <w:szCs w:val="17"/>
          <w:color w:val="auto"/>
        </w:rPr>
        <w:t>whether the Debt Securities will be issuable in the form of global securities ("</w:t>
      </w:r>
      <w:r>
        <w:rPr>
          <w:rFonts w:ascii="Times New Roman" w:cs="Times New Roman" w:eastAsia="Times New Roman" w:hAnsi="Times New Roman"/>
          <w:sz w:val="17"/>
          <w:szCs w:val="17"/>
          <w:b w:val="1"/>
          <w:bCs w:val="1"/>
          <w:color w:val="auto"/>
        </w:rPr>
        <w:t>Global Securities</w:t>
      </w:r>
      <w:r>
        <w:rPr>
          <w:rFonts w:ascii="Times New Roman" w:cs="Times New Roman" w:eastAsia="Times New Roman" w:hAnsi="Times New Roman"/>
          <w:sz w:val="17"/>
          <w:szCs w:val="17"/>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-234950</wp:posOffset>
            </wp:positionV>
            <wp:extent cx="59690"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6" w:name="page87"/>
    <w:bookmarkEnd w:id="86"/>
    <w:p>
      <w:pPr>
        <w:ind w:left="520"/>
        <w:spacing w:after="0" w:line="273" w:lineRule="auto"/>
        <w:rPr>
          <w:sz w:val="20"/>
          <w:szCs w:val="20"/>
          <w:color w:val="auto"/>
        </w:rPr>
      </w:pPr>
      <w:r>
        <w:rPr>
          <w:rFonts w:ascii="Times New Roman" w:cs="Times New Roman" w:eastAsia="Times New Roman" w:hAnsi="Times New Roman"/>
          <w:sz w:val="17"/>
          <w:szCs w:val="17"/>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-233045</wp:posOffset>
            </wp:positionV>
            <wp:extent cx="59690"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4" w:lineRule="exact"/>
        <w:rPr>
          <w:sz w:val="20"/>
          <w:szCs w:val="20"/>
          <w:color w:val="auto"/>
        </w:rPr>
      </w:pPr>
    </w:p>
    <w:p>
      <w:pPr>
        <w:ind w:left="520" w:right="1160"/>
        <w:spacing w:after="0" w:line="436" w:lineRule="auto"/>
        <w:rPr>
          <w:sz w:val="20"/>
          <w:szCs w:val="20"/>
          <w:color w:val="auto"/>
        </w:rPr>
      </w:pPr>
      <w:r>
        <w:rPr>
          <w:rFonts w:ascii="Times New Roman" w:cs="Times New Roman" w:eastAsia="Times New Roman" w:hAnsi="Times New Roman"/>
          <w:sz w:val="17"/>
          <w:szCs w:val="17"/>
          <w:color w:val="auto"/>
        </w:rPr>
        <w:t>material Canadian federal income tax consequences and United States federal income tax consequences of owning the Debt Securities; and 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-401955</wp:posOffset>
            </wp:positionV>
            <wp:extent cx="59690"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-182880</wp:posOffset>
            </wp:positionV>
            <wp:extent cx="5969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spacing w:after="0" w:line="246" w:lineRule="auto"/>
        <w:rPr>
          <w:sz w:val="20"/>
          <w:szCs w:val="20"/>
          <w:color w:val="auto"/>
        </w:rPr>
      </w:pPr>
      <w:r>
        <w:rPr>
          <w:rFonts w:ascii="Times New Roman" w:cs="Times New Roman" w:eastAsia="Times New Roman" w:hAnsi="Times New Roman"/>
          <w:sz w:val="17"/>
          <w:szCs w:val="17"/>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series of Debt Securities may be issued at various times with different maturity dates, may bear interest at different rates and may otherwise vary.</w:t>
      </w:r>
    </w:p>
    <w:p>
      <w:pPr>
        <w:spacing w:after="0" w:line="1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Subscription Receipts</w:t>
      </w:r>
    </w:p>
    <w:p>
      <w:pPr>
        <w:spacing w:after="0" w:line="1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Subscription Receipts may be offered separately or together with other Securities, as the case may be. The Subscription Receipts may be issued under a subscription receipt agreement.</w:t>
      </w:r>
    </w:p>
    <w:p>
      <w:pPr>
        <w:spacing w:after="0" w:line="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-74930</wp:posOffset>
            </wp:positionV>
            <wp:extent cx="59690"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ind w:left="520"/>
        <w:spacing w:after="0" w:line="272" w:lineRule="auto"/>
        <w:rPr>
          <w:sz w:val="20"/>
          <w:szCs w:val="20"/>
          <w:color w:val="auto"/>
        </w:rPr>
      </w:pPr>
      <w:r>
        <w:rPr>
          <w:rFonts w:ascii="Times New Roman" w:cs="Times New Roman" w:eastAsia="Times New Roman" w:hAnsi="Times New Roman"/>
          <w:sz w:val="17"/>
          <w:szCs w:val="17"/>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-232410</wp:posOffset>
            </wp:positionV>
            <wp:extent cx="59690"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65" w:lineRule="exact"/>
        <w:rPr>
          <w:sz w:val="20"/>
          <w:szCs w:val="20"/>
          <w:color w:val="auto"/>
        </w:rPr>
      </w:pPr>
    </w:p>
    <w:p>
      <w:pPr>
        <w:ind w:left="520" w:right="2480"/>
        <w:spacing w:after="0" w:line="427" w:lineRule="auto"/>
        <w:rPr>
          <w:sz w:val="20"/>
          <w:szCs w:val="20"/>
          <w:color w:val="auto"/>
        </w:rPr>
      </w:pPr>
      <w:r>
        <w:rPr>
          <w:rFonts w:ascii="Times New Roman" w:cs="Times New Roman" w:eastAsia="Times New Roman" w:hAnsi="Times New Roman"/>
          <w:sz w:val="17"/>
          <w:szCs w:val="17"/>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-613410</wp:posOffset>
            </wp:positionV>
            <wp:extent cx="59690"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-394970</wp:posOffset>
            </wp:positionV>
            <wp:extent cx="59690"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-182880</wp:posOffset>
            </wp:positionV>
            <wp:extent cx="59690"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Corporation and the Selling Securityholders may from time to time during the 25-month period that this Prospectus, including any amendments and supplements hereto, remains valid, offer for sale and sell up to an aggregate of $800,000,000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30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3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spacing w:after="0" w:line="1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88" w:name="page89"/>
    <w:bookmarkEnd w:id="88"/>
    <w:p>
      <w:pPr>
        <w:jc w:val="both"/>
        <w:spacing w:after="0" w:line="246" w:lineRule="auto"/>
        <w:rPr>
          <w:sz w:val="20"/>
          <w:szCs w:val="20"/>
          <w:color w:val="auto"/>
        </w:rPr>
      </w:pPr>
      <w:r>
        <w:rPr>
          <w:rFonts w:ascii="Times New Roman" w:cs="Times New Roman" w:eastAsia="Times New Roman" w:hAnsi="Times New Roman"/>
          <w:sz w:val="17"/>
          <w:szCs w:val="17"/>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3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in the Annual Information Form and under the heading </w:t>
      </w:r>
      <w:r>
        <w:rPr>
          <w:rFonts w:ascii="Times New Roman" w:cs="Times New Roman" w:eastAsia="Times New Roman" w:hAnsi="Times New Roman"/>
          <w:sz w:val="17"/>
          <w:szCs w:val="17"/>
          <w:b w:val="1"/>
          <w:bCs w:val="1"/>
          <w:i w:val="1"/>
          <w:iCs w:val="1"/>
          <w:color w:val="auto"/>
        </w:rPr>
        <w:t>"Risks and Uncertainties"</w:t>
      </w:r>
      <w:r>
        <w:rPr>
          <w:rFonts w:ascii="Times New Roman" w:cs="Times New Roman" w:eastAsia="Times New Roman" w:hAnsi="Times New Roman"/>
          <w:sz w:val="17"/>
          <w:szCs w:val="17"/>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17"/>
          <w:szCs w:val="17"/>
          <w:color w:val="auto"/>
        </w:rPr>
        <w:t>Additional risk factors relating to a specific Offering of Securities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Business of the Corporation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Regulatory Risks and Uncertainties</w:t>
      </w:r>
    </w:p>
    <w:p>
      <w:pPr>
        <w:spacing w:after="0" w:line="15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9" w:name="page90"/>
    <w:bookmarkEnd w:id="89"/>
    <w:p>
      <w:pPr>
        <w:jc w:val="both"/>
        <w:spacing w:after="0" w:line="241" w:lineRule="auto"/>
        <w:rPr>
          <w:sz w:val="20"/>
          <w:szCs w:val="20"/>
          <w:color w:val="auto"/>
        </w:rPr>
      </w:pPr>
      <w:r>
        <w:rPr>
          <w:rFonts w:ascii="Times New Roman" w:cs="Times New Roman" w:eastAsia="Times New Roman" w:hAnsi="Times New Roman"/>
          <w:sz w:val="17"/>
          <w:szCs w:val="17"/>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loss of the necessary licences and permits for any of the above scheduled drugs could have an adverse effect on the Corporation's operations.</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spacing w:after="0" w:line="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i w:val="1"/>
          <w:iCs w:val="1"/>
          <w:color w:val="auto"/>
        </w:rPr>
        <w:t>"Foreign Private Issuer" Status Under the U.S. Securities Laws</w:t>
      </w:r>
    </w:p>
    <w:p>
      <w:pPr>
        <w:spacing w:after="0" w:line="1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3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an Offering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Speculative Nature of Investment Risk</w:t>
      </w:r>
    </w:p>
    <w:p>
      <w:pPr>
        <w:spacing w:after="0" w:line="15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Negative Operating Cash Flow</w:t>
      </w:r>
    </w:p>
    <w:p>
      <w:pPr>
        <w:spacing w:after="0" w:line="1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Discretion over the Use of Proceeds</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91" w:name="page92"/>
    <w:bookmarkEnd w:id="91"/>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Need for Additional Financing</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17"/>
          <w:szCs w:val="17"/>
          <w:i w:val="1"/>
          <w:iCs w:val="1"/>
          <w:color w:val="auto"/>
        </w:rPr>
        <w:t>"Risk Factors - Risks Related to an Offering - Negative Operating Cash Flow" and "- Potential Dilution".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Volatile Market Price of Corporation's Common Shares</w:t>
      </w:r>
    </w:p>
    <w:p>
      <w:pPr>
        <w:spacing w:after="0" w:line="1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3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17"/>
          <w:szCs w:val="17"/>
          <w:i w:val="1"/>
          <w:iCs w:val="1"/>
          <w:color w:val="auto"/>
        </w:rPr>
        <w:t>"Cautionary Note Regarding Forward-Looking Information"</w:t>
      </w:r>
      <w:r>
        <w:rPr>
          <w:rFonts w:ascii="Times New Roman" w:cs="Times New Roman" w:eastAsia="Times New Roman" w:hAnsi="Times New Roman"/>
          <w:sz w:val="17"/>
          <w:szCs w:val="17"/>
          <w:color w:val="auto"/>
        </w:rPr>
        <w:t>. In addition, the market price for securities on stock markets, including the CBOE Canada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Potential Dilution</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17"/>
          <w:szCs w:val="17"/>
          <w:i w:val="1"/>
          <w:iCs w:val="1"/>
          <w:color w:val="auto"/>
        </w:rPr>
        <w:t>"Risk Factors - Risks Related to an Offering - Potential Need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Additional Financing"</w:t>
      </w:r>
      <w:r>
        <w:rPr>
          <w:rFonts w:ascii="Times New Roman" w:cs="Times New Roman" w:eastAsia="Times New Roman" w:hAnsi="Times New Roman"/>
          <w:sz w:val="17"/>
          <w:szCs w:val="17"/>
          <w:color w:val="auto"/>
        </w:rPr>
        <w: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2" w:name="page93"/>
    <w:bookmarkEnd w:id="92"/>
    <w:p>
      <w:pPr>
        <w:jc w:val="both"/>
        <w:spacing w:after="0"/>
        <w:rPr>
          <w:sz w:val="20"/>
          <w:szCs w:val="20"/>
          <w:color w:val="auto"/>
        </w:rPr>
      </w:pPr>
      <w:r>
        <w:rPr>
          <w:rFonts w:ascii="Times New Roman" w:cs="Times New Roman" w:eastAsia="Times New Roman" w:hAnsi="Times New Roman"/>
          <w:sz w:val="17"/>
          <w:szCs w:val="17"/>
          <w:color w:val="auto"/>
        </w:rPr>
        <w:t>Pursuant to the Securities Purchase Agreement, the Corporation and High Trail also entered into a registration rights agreement, as amended on August 12, 2025 (the "</w:t>
      </w:r>
      <w:r>
        <w:rPr>
          <w:rFonts w:ascii="Times New Roman" w:cs="Times New Roman" w:eastAsia="Times New Roman" w:hAnsi="Times New Roman"/>
          <w:sz w:val="17"/>
          <w:szCs w:val="17"/>
          <w:b w:val="1"/>
          <w:bCs w:val="1"/>
          <w:color w:val="auto"/>
        </w:rPr>
        <w:t>Registration Rights Agreement</w:t>
      </w:r>
      <w:r>
        <w:rPr>
          <w:rFonts w:ascii="Times New Roman" w:cs="Times New Roman" w:eastAsia="Times New Roman" w:hAnsi="Times New Roman"/>
          <w:sz w:val="17"/>
          <w:szCs w:val="17"/>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17"/>
          <w:szCs w:val="17"/>
          <w:b w:val="1"/>
          <w:bCs w:val="1"/>
          <w:color w:val="auto"/>
        </w:rPr>
        <w:t>Registrable Common Shares</w:t>
      </w:r>
      <w:r>
        <w:rPr>
          <w:rFonts w:ascii="Times New Roman" w:cs="Times New Roman" w:eastAsia="Times New Roman" w:hAnsi="Times New Roman"/>
          <w:sz w:val="17"/>
          <w:szCs w:val="17"/>
          <w:color w:val="auto"/>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rFonts w:ascii="Times New Roman" w:cs="Times New Roman" w:eastAsia="Times New Roman" w:hAnsi="Times New Roman"/>
          <w:sz w:val="17"/>
          <w:szCs w:val="17"/>
          <w:b w:val="1"/>
          <w:bCs w:val="1"/>
          <w:color w:val="auto"/>
        </w:rPr>
        <w:t>July Prospectus Supplement</w:t>
      </w:r>
      <w:r>
        <w:rPr>
          <w:rFonts w:ascii="Times New Roman" w:cs="Times New Roman" w:eastAsia="Times New Roman" w:hAnsi="Times New Roman"/>
          <w:sz w:val="17"/>
          <w:szCs w:val="17"/>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17"/>
          <w:szCs w:val="17"/>
          <w:b w:val="1"/>
          <w:bCs w:val="1"/>
          <w:color w:val="auto"/>
        </w:rPr>
        <w:t>Additional Convertible Debentures</w:t>
      </w:r>
      <w:r>
        <w:rPr>
          <w:rFonts w:ascii="Times New Roman" w:cs="Times New Roman" w:eastAsia="Times New Roman" w:hAnsi="Times New Roman"/>
          <w:sz w:val="17"/>
          <w:szCs w:val="17"/>
          <w:color w:val="auto"/>
        </w:rPr>
        <w:t>") at a future date, upon mutual agreement of the parties. It is anticipated that High Trail will receive registration rights to permit High Trail to offer such number of Common Shares as would be issued on conversion of the Additional Convertible Debentures (the "</w:t>
      </w:r>
      <w:r>
        <w:rPr>
          <w:rFonts w:ascii="Times New Roman" w:cs="Times New Roman" w:eastAsia="Times New Roman" w:hAnsi="Times New Roman"/>
          <w:sz w:val="17"/>
          <w:szCs w:val="17"/>
          <w:b w:val="1"/>
          <w:bCs w:val="1"/>
          <w:color w:val="auto"/>
        </w:rPr>
        <w:t>Additional Registrable Common Shares</w:t>
      </w:r>
      <w:r>
        <w:rPr>
          <w:rFonts w:ascii="Times New Roman" w:cs="Times New Roman" w:eastAsia="Times New Roman" w:hAnsi="Times New Roman"/>
          <w:sz w:val="17"/>
          <w:szCs w:val="17"/>
          <w:color w:val="auto"/>
        </w:rPr>
        <w:t>"),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 for Securities</w:t>
      </w:r>
    </w:p>
    <w:p>
      <w:pPr>
        <w:spacing w:after="0" w:line="1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Enforcement of Civil Liabilities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7931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3" w:name="page94"/>
    <w:bookmarkEnd w:id="93"/>
    <w:p>
      <w:pPr>
        <w:jc w:val="both"/>
        <w:spacing w:after="0" w:line="273" w:lineRule="auto"/>
        <w:rPr>
          <w:sz w:val="20"/>
          <w:szCs w:val="20"/>
          <w:color w:val="auto"/>
        </w:rPr>
      </w:pPr>
      <w:r>
        <w:rPr>
          <w:rFonts w:ascii="Times New Roman" w:cs="Times New Roman" w:eastAsia="Times New Roman" w:hAnsi="Times New Roman"/>
          <w:sz w:val="17"/>
          <w:szCs w:val="17"/>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FEDERAL INCOME TAX CONSIDERATIONS</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AUDITORS, TRANSFER AGENT AND REGISTRAR</w:t>
      </w:r>
    </w:p>
    <w:p>
      <w:pPr>
        <w:spacing w:after="0" w:line="1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registrar and transfer agent of the Common Shares is Odyssey Trust Company at its principal office in Calgary, Alberta.</w:t>
      </w:r>
    </w:p>
    <w:p>
      <w:pPr>
        <w:spacing w:after="0" w:line="13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9310"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bullet"/>
      <w:start w:val="1"/>
    </w:lvl>
  </w:abstractNum>
  <w:abstractNum w:abstractNumId="5">
    <w:nsid w:val="7C83E458"/>
    <w:multiLevelType w:val="hybridMultilevel"/>
    <w:lvl w:ilvl="0">
      <w:lvlJc w:val="left"/>
      <w:lvlText w:val="2"/>
      <w:numFmt w:val="bullet"/>
      <w:start w:val="1"/>
    </w:lvl>
  </w:abstractNum>
  <w:abstractNum w:abstractNumId="6">
    <w:nsid w:val="257130A3"/>
    <w:multiLevelType w:val="hybridMultilevel"/>
    <w:lvl w:ilvl="0">
      <w:lvlJc w:val="left"/>
      <w:lvlText w:val="7"/>
      <w:numFmt w:val="bullet"/>
      <w:start w:val="1"/>
    </w:lvl>
  </w:abstractNum>
  <w:abstractNum w:abstractNumId="7">
    <w:nsid w:val="62BBD95A"/>
    <w:multiLevelType w:val="hybridMultilevel"/>
    <w:lvl w:ilvl="0">
      <w:lvlJc w:val="left"/>
      <w:lvlText w:val="8"/>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1"/>
    </w:lvl>
  </w:abstractNum>
  <w:abstractNum w:abstractNumId="10">
    <w:nsid w:val="333AB105"/>
    <w:multiLevelType w:val="hybridMultilevel"/>
    <w:lvl w:ilvl="0">
      <w:lvlJc w:val="left"/>
      <w:lvlText w:val="(%1)"/>
      <w:numFmt w:val="decimal"/>
      <w:start w:val="7"/>
    </w:lvl>
  </w:abstractNum>
  <w:abstractNum w:abstractNumId="11">
    <w:nsid w:val="721DA317"/>
    <w:multiLevelType w:val="hybridMultilevel"/>
    <w:lvl w:ilvl="0">
      <w:lvlJc w:val="left"/>
      <w:lvlText w:val="9"/>
      <w:numFmt w:val="bullet"/>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6"/>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lowerLetter"/>
      <w:start w:val="4"/>
    </w:lvl>
  </w:abstractNum>
  <w:abstractNum w:abstractNumId="16">
    <w:nsid w:val="8EDBDAB"/>
    <w:multiLevelType w:val="hybridMultilevel"/>
    <w:lvl w:ilvl="0">
      <w:lvlJc w:val="left"/>
      <w:lvlText w:val="(%1)"/>
      <w:numFmt w:val="lowerRoman"/>
      <w:start w:val="2"/>
    </w:lvl>
  </w:abstractNum>
  <w:abstractNum w:abstractNumId="17">
    <w:nsid w:val="79838CB2"/>
    <w:multiLevelType w:val="hybridMultilevel"/>
    <w:lvl w:ilvl="0">
      <w:lvlJc w:val="left"/>
      <w:lvlText w:val="(%1)"/>
      <w:numFmt w:val="lowerRoman"/>
      <w:start w:val="2"/>
    </w:lvl>
  </w:abstractNum>
  <w:abstractNum w:abstractNumId="18">
    <w:nsid w:val="4353D0CD"/>
    <w:multiLevelType w:val="hybridMultilevel"/>
    <w:lvl w:ilvl="0">
      <w:lvlJc w:val="left"/>
      <w:lvlText w:val="(%1)"/>
      <w:numFmt w:val="lowerRoman"/>
      <w:start w:val="2"/>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8"/>
    </w:lvl>
  </w:abstractNum>
  <w:abstractNum w:abstractNumId="24">
    <w:nsid w:val="836C40E"/>
    <w:multiLevelType w:val="hybridMultilevel"/>
    <w:lvl w:ilvl="0">
      <w:lvlJc w:val="left"/>
      <w:lvlText w:val="%1"/>
      <w:numFmt w:val="upperLetter"/>
      <w:start w:val="35"/>
    </w:lvl>
  </w:abstractNum>
  <w:abstractNum w:abstractNumId="25">
    <w:nsid w:val="2901D82"/>
    <w:multiLevelType w:val="hybridMultilevel"/>
    <w:lvl w:ilvl="0">
      <w:lvlJc w:val="left"/>
      <w:lvlText w:val="%1"/>
      <w:numFmt w:val="decimal"/>
      <w:start w:val="12"/>
    </w:lvl>
  </w:abstractNum>
  <w:abstractNum w:abstractNumId="26">
    <w:nsid w:val="3A95F874"/>
    <w:multiLevelType w:val="hybridMultilevel"/>
    <w:lvl w:ilvl="0">
      <w:lvlJc w:val="left"/>
      <w:lvlText w:val="%1"/>
      <w:numFmt w:val="upperLetter"/>
      <w:start w:val="61"/>
    </w:lvl>
  </w:abstractNum>
  <w:abstractNum w:abstractNumId="27">
    <w:nsid w:val="8138641"/>
    <w:multiLevelType w:val="hybridMultilevel"/>
    <w:lvl w:ilvl="0">
      <w:lvlJc w:val="left"/>
      <w:lvlText w:val="%1"/>
      <w:numFmt w:val="decimal"/>
      <w:start w:val="14"/>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7"/>
    </w:lvl>
  </w:abstractNum>
  <w:abstractNum w:abstractNumId="31">
    <w:nsid w:val="6CEAF087"/>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2025-10-29T05:18:50Z</dcterms:created>
  <dcterms:modified xsi:type="dcterms:W3CDTF">2025-10-29T05:18:50Z</dcterms:modified>
</cp:coreProperties>
</file>