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Cavers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HELUS PHARMA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KING STREET W., SUITE 5600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M5X 1C9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ONTARIO,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Helus Pharma Inc.</w:t>
              </w:r>
            </w:hyperlink>
            <w:r>
              <w:rPr/>
              <w:t xml:space="preserve"> [ </w:t>
            </w:r>
            <w:r>
              <w:rPr>
                <w:rFonts w:ascii="Times;serif" w:hAnsi="Times;serif"/>
                <w:color w:val="0000FF"/>
                <w:sz w:val="24"/>
                <w:shd w:fill="FFFFFF" w:val="clear"/>
              </w:rPr>
              <w:t>HELP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125,937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66,668</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 2025, the Reporting Person was granted 100,000 restricted stock units ("RSUs"), which vest as follows: 8,333 RSUs vesting on January 6, 2026, and 8,333 RSUs vesting quarterly over three years, on November 20, February 20, May 20 and August 20 until fully vested. As of the date of this Form 3, the Reporting Person holds 66,668 unvested RSUs from the October 2025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Issuer common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Cavers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16548" TargetMode="External"/><Relationship Id="rId3" Type="http://schemas.openxmlformats.org/officeDocument/2006/relationships/hyperlink" Target="http://www.sec.gov/cgi-bin/browse-edgar?action=getcompany&amp;CIK=000183314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486</Words>
  <Characters>2624</Characters>
  <CharactersWithSpaces>3054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