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Amendment No. 1 to</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INFORMATION STATEMENT PURSUANT TO RULES 13d-1 AND 13d-2</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23256X100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November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4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Rule 13d-1(b)</w:t>
      </w:r>
    </w:p>
    <w:p>
      <w:pPr>
        <w:spacing w:after="0" w:line="36" w:lineRule="exact"/>
        <w:rPr>
          <w:sz w:val="24"/>
          <w:szCs w:val="24"/>
          <w:color w:val="auto"/>
        </w:rPr>
      </w:pPr>
    </w:p>
    <w:p>
      <w:pPr>
        <w:jc w:val="both"/>
        <w:ind w:left="920" w:right="8199" w:hanging="264"/>
        <w:spacing w:after="0" w:line="297" w:lineRule="auto"/>
        <w:tabs>
          <w:tab w:leader="none" w:pos="914" w:val="left"/>
        </w:tabs>
        <w:numPr>
          <w:ilvl w:val="0"/>
          <w:numId w:val="1"/>
        </w:numPr>
        <w:rPr>
          <w:rFonts w:ascii="Arial" w:cs="Arial" w:eastAsia="Arial" w:hAnsi="Arial"/>
          <w:sz w:val="19"/>
          <w:szCs w:val="19"/>
          <w:b w:val="1"/>
          <w:bCs w:val="1"/>
          <w:color w:val="auto"/>
        </w:rPr>
      </w:pPr>
      <w:r>
        <w:rPr>
          <w:rFonts w:ascii="Arial" w:cs="Arial" w:eastAsia="Arial" w:hAnsi="Arial"/>
          <w:sz w:val="16"/>
          <w:szCs w:val="16"/>
          <w:color w:val="auto"/>
        </w:rPr>
        <w:t>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 w:name="page2"/>
    <w:bookmarkEnd w:id="1"/>
    <w:p>
      <w:pPr>
        <w:ind w:left="1180" w:hanging="639"/>
        <w:spacing w:after="0" w:line="183" w:lineRule="auto"/>
        <w:tabs>
          <w:tab w:leader="none" w:pos="1180"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3"/>
          <w:szCs w:val="13"/>
          <w:color w:val="auto"/>
        </w:rPr>
        <w:t>NAME OF REPORTING PERSONS</w:t>
      </w:r>
    </w:p>
    <w:p>
      <w:pPr>
        <w:spacing w:after="0" w:line="1" w:lineRule="exact"/>
        <w:rPr>
          <w:rFonts w:ascii="Arial" w:cs="Arial" w:eastAsia="Arial" w:hAnsi="Arial"/>
          <w:sz w:val="32"/>
          <w:szCs w:val="32"/>
          <w:b w:val="1"/>
          <w:bCs w:val="1"/>
          <w:color w:val="auto"/>
          <w:vertAlign w:val="subscript"/>
        </w:rPr>
      </w:pPr>
    </w:p>
    <w:p>
      <w:pPr>
        <w:ind w:left="1180"/>
        <w:spacing w:after="0"/>
        <w:rPr>
          <w:rFonts w:ascii="Arial" w:cs="Arial" w:eastAsia="Arial" w:hAnsi="Arial"/>
          <w:sz w:val="32"/>
          <w:szCs w:val="32"/>
          <w:b w:val="1"/>
          <w:bCs w:val="1"/>
          <w:color w:val="auto"/>
          <w:vertAlign w:val="subscript"/>
        </w:rPr>
      </w:pPr>
      <w:r>
        <w:rPr>
          <w:rFonts w:ascii="Arial" w:cs="Arial" w:eastAsia="Arial" w:hAnsi="Arial"/>
          <w:sz w:val="14"/>
          <w:szCs w:val="14"/>
          <w:color w:val="auto"/>
        </w:rPr>
        <w:t>S.S. OR I.R.S. IDENTIFICATION NO. OF ABOVE PERSONS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Borders>
              <w:bottom w:val="single" w:sz="8" w:color="auto"/>
            </w:tcBorders>
          </w:tcPr>
          <w:p>
            <w:pPr>
              <w:spacing w:after="0"/>
              <w:rPr>
                <w:sz w:val="20"/>
                <w:szCs w:val="20"/>
                <w:color w:val="auto"/>
              </w:rPr>
            </w:pPr>
          </w:p>
        </w:tc>
        <w:tc>
          <w:tcPr>
            <w:tcW w:w="103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PETER DAVID RANDS</w:t>
            </w:r>
          </w:p>
        </w:tc>
      </w:tr>
      <w:tr>
        <w:trPr>
          <w:trHeight w:val="142"/>
        </w:trPr>
        <w:tc>
          <w:tcPr>
            <w:tcW w:w="920" w:type="dxa"/>
            <w:vAlign w:val="bottom"/>
          </w:tcPr>
          <w:p>
            <w:pPr>
              <w:jc w:val="right"/>
              <w:ind w:right="181"/>
              <w:spacing w:after="0" w:line="142" w:lineRule="exact"/>
              <w:rPr>
                <w:sz w:val="20"/>
                <w:szCs w:val="20"/>
                <w:color w:val="auto"/>
              </w:rPr>
            </w:pPr>
            <w:r>
              <w:rPr>
                <w:rFonts w:ascii="Arial" w:cs="Arial" w:eastAsia="Arial" w:hAnsi="Arial"/>
                <w:sz w:val="16"/>
                <w:szCs w:val="16"/>
                <w:b w:val="1"/>
                <w:bCs w:val="1"/>
                <w:color w:val="auto"/>
              </w:rPr>
              <w:t>2</w:t>
            </w:r>
          </w:p>
        </w:tc>
        <w:tc>
          <w:tcPr>
            <w:tcW w:w="10320" w:type="dxa"/>
            <w:vAlign w:val="bottom"/>
            <w:gridSpan w:val="3"/>
          </w:tcPr>
          <w:p>
            <w:pPr>
              <w:ind w:left="260"/>
              <w:spacing w:after="0" w:line="142" w:lineRule="exact"/>
              <w:rPr>
                <w:sz w:val="20"/>
                <w:szCs w:val="20"/>
                <w:color w:val="auto"/>
              </w:rPr>
            </w:pPr>
            <w:r>
              <w:rPr>
                <w:rFonts w:ascii="Arial" w:cs="Arial" w:eastAsia="Arial" w:hAnsi="Arial"/>
                <w:sz w:val="14"/>
                <w:szCs w:val="14"/>
                <w:color w:val="auto"/>
              </w:rPr>
              <w:t>CHECK THE APPROPRIATE BOX IF A MEMBER OF A GROUP*   (a)</w:t>
            </w:r>
          </w:p>
        </w:tc>
      </w:tr>
      <w:tr>
        <w:trPr>
          <w:trHeight w:val="137"/>
        </w:trPr>
        <w:tc>
          <w:tcPr>
            <w:tcW w:w="920" w:type="dxa"/>
            <w:vAlign w:val="bottom"/>
          </w:tcPr>
          <w:p>
            <w:pPr>
              <w:spacing w:after="0"/>
              <w:rPr>
                <w:sz w:val="11"/>
                <w:szCs w:val="11"/>
                <w:color w:val="auto"/>
              </w:rPr>
            </w:pPr>
          </w:p>
        </w:tc>
        <w:tc>
          <w:tcPr>
            <w:tcW w:w="1640" w:type="dxa"/>
            <w:vAlign w:val="bottom"/>
            <w:gridSpan w:val="2"/>
          </w:tcPr>
          <w:p>
            <w:pPr>
              <w:ind w:left="260"/>
              <w:spacing w:after="0" w:line="137" w:lineRule="exact"/>
              <w:rPr>
                <w:sz w:val="20"/>
                <w:szCs w:val="20"/>
                <w:color w:val="auto"/>
              </w:rPr>
            </w:pPr>
            <w:r>
              <w:rPr>
                <w:rFonts w:ascii="Arial" w:cs="Arial" w:eastAsia="Arial" w:hAnsi="Arial"/>
                <w:sz w:val="14"/>
                <w:szCs w:val="14"/>
                <w:color w:val="auto"/>
              </w:rPr>
              <w:t>(b)</w:t>
            </w:r>
          </w:p>
        </w:tc>
        <w:tc>
          <w:tcPr>
            <w:tcW w:w="8680" w:type="dxa"/>
            <w:vAlign w:val="bottom"/>
          </w:tcPr>
          <w:p>
            <w:pPr>
              <w:spacing w:after="0"/>
              <w:rPr>
                <w:sz w:val="11"/>
                <w:szCs w:val="11"/>
                <w:color w:val="auto"/>
              </w:rPr>
            </w:pPr>
          </w:p>
        </w:tc>
      </w:tr>
      <w:tr>
        <w:trPr>
          <w:trHeight w:val="241"/>
        </w:trPr>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     </w:t>
            </w:r>
          </w:p>
        </w:tc>
        <w:tc>
          <w:tcPr>
            <w:tcW w:w="8680" w:type="dxa"/>
            <w:vAlign w:val="bottom"/>
            <w:tcBorders>
              <w:bottom w:val="single" w:sz="8" w:color="auto"/>
            </w:tcBorders>
          </w:tcPr>
          <w:p>
            <w:pPr>
              <w:spacing w:after="0"/>
              <w:rPr>
                <w:sz w:val="20"/>
                <w:szCs w:val="20"/>
                <w:color w:val="auto"/>
              </w:rPr>
            </w:pPr>
          </w:p>
        </w:tc>
      </w:tr>
      <w:tr>
        <w:trPr>
          <w:trHeight w:val="225"/>
        </w:trPr>
        <w:tc>
          <w:tcPr>
            <w:tcW w:w="920" w:type="dxa"/>
            <w:vAlign w:val="bottom"/>
          </w:tcPr>
          <w:p>
            <w:pPr>
              <w:jc w:val="right"/>
              <w:ind w:right="181"/>
              <w:spacing w:after="0" w:line="225" w:lineRule="exact"/>
              <w:rPr>
                <w:sz w:val="20"/>
                <w:szCs w:val="20"/>
                <w:color w:val="auto"/>
              </w:rPr>
            </w:pPr>
            <w:r>
              <w:rPr>
                <w:rFonts w:ascii="Arial" w:cs="Arial" w:eastAsia="Arial" w:hAnsi="Arial"/>
                <w:sz w:val="22"/>
                <w:szCs w:val="22"/>
                <w:b w:val="1"/>
                <w:bCs w:val="1"/>
                <w:color w:val="auto"/>
              </w:rPr>
              <w:t>3</w:t>
            </w:r>
          </w:p>
        </w:tc>
        <w:tc>
          <w:tcPr>
            <w:tcW w:w="1640" w:type="dxa"/>
            <w:vAlign w:val="bottom"/>
            <w:gridSpan w:val="2"/>
          </w:tcPr>
          <w:p>
            <w:pPr>
              <w:ind w:left="260"/>
              <w:spacing w:after="0"/>
              <w:rPr>
                <w:sz w:val="20"/>
                <w:szCs w:val="20"/>
                <w:color w:val="auto"/>
              </w:rPr>
            </w:pPr>
            <w:r>
              <w:rPr>
                <w:rFonts w:ascii="Arial" w:cs="Arial" w:eastAsia="Arial" w:hAnsi="Arial"/>
                <w:sz w:val="14"/>
                <w:szCs w:val="14"/>
                <w:color w:val="auto"/>
              </w:rPr>
              <w:t>SEC USE ONLY</w:t>
            </w:r>
          </w:p>
        </w:tc>
        <w:tc>
          <w:tcPr>
            <w:tcW w:w="8680" w:type="dxa"/>
            <w:vAlign w:val="bottom"/>
          </w:tcPr>
          <w:p>
            <w:pPr>
              <w:spacing w:after="0"/>
              <w:rPr>
                <w:sz w:val="19"/>
                <w:szCs w:val="19"/>
                <w:color w:val="auto"/>
              </w:rPr>
            </w:pPr>
          </w:p>
        </w:tc>
      </w:tr>
      <w:tr>
        <w:trPr>
          <w:trHeight w:val="241"/>
        </w:trPr>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     </w:t>
            </w:r>
          </w:p>
        </w:tc>
        <w:tc>
          <w:tcPr>
            <w:tcW w:w="8680" w:type="dxa"/>
            <w:vAlign w:val="bottom"/>
            <w:tcBorders>
              <w:bottom w:val="single" w:sz="8" w:color="auto"/>
            </w:tcBorders>
          </w:tcPr>
          <w:p>
            <w:pPr>
              <w:spacing w:after="0"/>
              <w:rPr>
                <w:sz w:val="20"/>
                <w:szCs w:val="20"/>
                <w:color w:val="auto"/>
              </w:rPr>
            </w:pPr>
          </w:p>
        </w:tc>
      </w:tr>
      <w:tr>
        <w:trPr>
          <w:trHeight w:val="225"/>
        </w:trPr>
        <w:tc>
          <w:tcPr>
            <w:tcW w:w="920" w:type="dxa"/>
            <w:vAlign w:val="bottom"/>
          </w:tcPr>
          <w:p>
            <w:pPr>
              <w:jc w:val="right"/>
              <w:ind w:right="181"/>
              <w:spacing w:after="0" w:line="225" w:lineRule="exact"/>
              <w:rPr>
                <w:sz w:val="20"/>
                <w:szCs w:val="20"/>
                <w:color w:val="auto"/>
              </w:rPr>
            </w:pPr>
            <w:r>
              <w:rPr>
                <w:rFonts w:ascii="Arial" w:cs="Arial" w:eastAsia="Arial" w:hAnsi="Arial"/>
                <w:sz w:val="22"/>
                <w:szCs w:val="22"/>
                <w:b w:val="1"/>
                <w:bCs w:val="1"/>
                <w:color w:val="auto"/>
              </w:rPr>
              <w:t>4</w:t>
            </w:r>
          </w:p>
        </w:tc>
        <w:tc>
          <w:tcPr>
            <w:tcW w:w="10320" w:type="dxa"/>
            <w:vAlign w:val="bottom"/>
            <w:gridSpan w:val="3"/>
          </w:tcPr>
          <w:p>
            <w:pPr>
              <w:ind w:left="260"/>
              <w:spacing w:after="0"/>
              <w:rPr>
                <w:sz w:val="20"/>
                <w:szCs w:val="20"/>
                <w:color w:val="auto"/>
              </w:rPr>
            </w:pPr>
            <w:r>
              <w:rPr>
                <w:rFonts w:ascii="Arial" w:cs="Arial" w:eastAsia="Arial" w:hAnsi="Arial"/>
                <w:sz w:val="14"/>
                <w:szCs w:val="14"/>
                <w:color w:val="auto"/>
              </w:rPr>
              <w:t>CITIZENSHIP OR PLACE OF ORGANIZATION</w:t>
            </w:r>
          </w:p>
        </w:tc>
      </w:tr>
      <w:tr>
        <w:trPr>
          <w:trHeight w:val="241"/>
        </w:trPr>
        <w:tc>
          <w:tcPr>
            <w:tcW w:w="920" w:type="dxa"/>
            <w:vAlign w:val="bottom"/>
          </w:tcPr>
          <w:p>
            <w:pPr>
              <w:spacing w:after="0"/>
              <w:rPr>
                <w:sz w:val="20"/>
                <w:szCs w:val="20"/>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w w:val="97"/>
              </w:rPr>
              <w:t>United Kingdom</w:t>
            </w:r>
          </w:p>
        </w:tc>
        <w:tc>
          <w:tcPr>
            <w:tcW w:w="8680" w:type="dxa"/>
            <w:vAlign w:val="bottom"/>
          </w:tcPr>
          <w:p>
            <w:pPr>
              <w:spacing w:after="0"/>
              <w:rPr>
                <w:sz w:val="20"/>
                <w:szCs w:val="20"/>
                <w:color w:val="auto"/>
              </w:rPr>
            </w:pPr>
          </w:p>
        </w:tc>
      </w:tr>
      <w:tr>
        <w:trPr>
          <w:trHeight w:val="236"/>
        </w:trPr>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80" w:type="dxa"/>
            <w:vAlign w:val="bottom"/>
          </w:tcPr>
          <w:p>
            <w:pPr>
              <w:jc w:val="right"/>
              <w:ind w:right="192"/>
              <w:spacing w:after="0" w:line="237" w:lineRule="exact"/>
              <w:rPr>
                <w:sz w:val="20"/>
                <w:szCs w:val="20"/>
                <w:color w:val="auto"/>
              </w:rPr>
            </w:pPr>
            <w:r>
              <w:rPr>
                <w:rFonts w:ascii="Arial" w:cs="Arial" w:eastAsia="Arial" w:hAnsi="Arial"/>
                <w:sz w:val="22"/>
                <w:szCs w:val="22"/>
                <w:b w:val="1"/>
                <w:bCs w:val="1"/>
                <w:color w:val="auto"/>
              </w:rPr>
              <w:t>5</w:t>
            </w:r>
          </w:p>
        </w:tc>
        <w:tc>
          <w:tcPr>
            <w:tcW w:w="8680" w:type="dxa"/>
            <w:vAlign w:val="bottom"/>
          </w:tcPr>
          <w:p>
            <w:pPr>
              <w:ind w:left="100"/>
              <w:spacing w:after="0"/>
              <w:rPr>
                <w:sz w:val="20"/>
                <w:szCs w:val="20"/>
                <w:color w:val="auto"/>
              </w:rPr>
            </w:pPr>
            <w:r>
              <w:rPr>
                <w:rFonts w:ascii="Arial" w:cs="Arial" w:eastAsia="Arial" w:hAnsi="Arial"/>
                <w:sz w:val="14"/>
                <w:szCs w:val="14"/>
                <w:color w:val="auto"/>
              </w:rPr>
              <w:t>SOLE VOTING POWER</w:t>
            </w:r>
          </w:p>
        </w:tc>
      </w:tr>
    </w:tbl>
    <w:p>
      <w:pPr>
        <w:spacing w:after="0" w:line="1" w:lineRule="exact"/>
        <w:rPr>
          <w:sz w:val="20"/>
          <w:szCs w:val="20"/>
          <w:color w:val="auto"/>
        </w:rPr>
      </w:pPr>
    </w:p>
    <w:p>
      <w:pPr>
        <w:sectPr>
          <w:pgSz w:w="11900" w:h="16838" w:orient="portrait"/>
          <w:cols w:equalWidth="0" w:num="1">
            <w:col w:w="11240"/>
          </w:cols>
          <w:pgMar w:left="320" w:top="0" w:right="339" w:bottom="1440" w:gutter="0" w:footer="0" w:header="0"/>
        </w:sectPr>
      </w:pPr>
    </w:p>
    <w:p>
      <w:pPr>
        <w:jc w:val="center"/>
        <w:ind w:left="339"/>
        <w:spacing w:after="0"/>
        <w:rPr>
          <w:sz w:val="20"/>
          <w:szCs w:val="20"/>
          <w:color w:val="auto"/>
        </w:rPr>
      </w:pPr>
      <w:r>
        <w:rPr>
          <w:rFonts w:ascii="Arial" w:cs="Arial" w:eastAsia="Arial" w:hAnsi="Arial"/>
          <w:sz w:val="14"/>
          <w:szCs w:val="14"/>
          <w:color w:val="auto"/>
        </w:rPr>
        <w:t>NUMBER OF</w:t>
      </w:r>
    </w:p>
    <w:p>
      <w:pPr>
        <w:spacing w:after="0" w:line="70"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SHARES</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BENEFICIALLY</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OWNED BY</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EACH</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REPORTING</w:t>
      </w:r>
    </w:p>
    <w:p>
      <w:pPr>
        <w:spacing w:after="0" w:line="82" w:lineRule="exact"/>
        <w:rPr>
          <w:sz w:val="20"/>
          <w:szCs w:val="20"/>
          <w:color w:val="auto"/>
        </w:rPr>
      </w:pPr>
    </w:p>
    <w:p>
      <w:pPr>
        <w:jc w:val="center"/>
        <w:ind w:left="339"/>
        <w:spacing w:after="0"/>
        <w:rPr>
          <w:sz w:val="20"/>
          <w:szCs w:val="20"/>
          <w:color w:val="auto"/>
        </w:rPr>
      </w:pPr>
      <w:r>
        <w:rPr>
          <w:rFonts w:ascii="Arial" w:cs="Arial" w:eastAsia="Arial" w:hAnsi="Arial"/>
          <w:sz w:val="14"/>
          <w:szCs w:val="14"/>
          <w:color w:val="auto"/>
        </w:rPr>
        <w:t>PERSON WITH</w:t>
      </w:r>
    </w:p>
    <w:p>
      <w:pPr>
        <w:spacing w:after="0" w:line="20" w:lineRule="exact"/>
        <w:rPr>
          <w:sz w:val="20"/>
          <w:szCs w:val="20"/>
          <w:color w:val="auto"/>
        </w:rPr>
      </w:pPr>
      <w:r>
        <w:rPr>
          <w:sz w:val="20"/>
          <w:szCs w:val="20"/>
          <w:color w:val="auto"/>
        </w:rPr>
        <w:br w:type="column"/>
      </w:r>
    </w:p>
    <w:p>
      <w:pPr>
        <w:ind w:left="499"/>
        <w:spacing w:after="0"/>
        <w:rPr>
          <w:sz w:val="20"/>
          <w:szCs w:val="20"/>
          <w:color w:val="auto"/>
        </w:rPr>
      </w:pPr>
      <w:r>
        <w:rPr>
          <w:rFonts w:ascii="Arial" w:cs="Arial" w:eastAsia="Arial" w:hAnsi="Arial"/>
          <w:sz w:val="18"/>
          <w:szCs w:val="18"/>
          <w:b w:val="1"/>
          <w:bCs w:val="1"/>
          <w:color w:val="auto"/>
        </w:rPr>
        <w:t>16,593,494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10160</wp:posOffset>
            </wp:positionV>
            <wp:extent cx="60178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895" cy="17145"/>
                    </a:xfrm>
                    <a:prstGeom prst="rect">
                      <a:avLst/>
                    </a:prstGeom>
                    <a:noFill/>
                  </pic:spPr>
                </pic:pic>
              </a:graphicData>
            </a:graphic>
          </wp:anchor>
        </w:drawing>
      </w:r>
    </w:p>
    <w:p>
      <w:pPr>
        <w:ind w:left="499" w:hanging="499"/>
        <w:spacing w:after="0" w:line="195" w:lineRule="auto"/>
        <w:tabs>
          <w:tab w:leader="none" w:pos="499" w:val="left"/>
        </w:tabs>
        <w:numPr>
          <w:ilvl w:val="0"/>
          <w:numId w:val="3"/>
        </w:numPr>
        <w:rPr>
          <w:rFonts w:ascii="Arial" w:cs="Arial" w:eastAsia="Arial" w:hAnsi="Arial"/>
          <w:sz w:val="22"/>
          <w:szCs w:val="22"/>
          <w:b w:val="1"/>
          <w:bCs w:val="1"/>
          <w:color w:val="auto"/>
          <w:vertAlign w:val="subscript"/>
        </w:rPr>
      </w:pPr>
      <w:r>
        <w:rPr>
          <w:rFonts w:ascii="Arial" w:cs="Arial" w:eastAsia="Arial" w:hAnsi="Arial"/>
          <w:sz w:val="11"/>
          <w:szCs w:val="11"/>
          <w:color w:val="auto"/>
        </w:rPr>
        <w:t>SHARED VOTING POWER</w:t>
      </w:r>
    </w:p>
    <w:p>
      <w:pPr>
        <w:spacing w:after="0" w:line="82" w:lineRule="exact"/>
        <w:rPr>
          <w:sz w:val="20"/>
          <w:szCs w:val="20"/>
          <w:color w:val="auto"/>
        </w:rPr>
      </w:pPr>
    </w:p>
    <w:p>
      <w:pPr>
        <w:ind w:left="499"/>
        <w:spacing w:after="0"/>
        <w:rPr>
          <w:sz w:val="20"/>
          <w:szCs w:val="20"/>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4445</wp:posOffset>
            </wp:positionV>
            <wp:extent cx="60178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7895" cy="17145"/>
                    </a:xfrm>
                    <a:prstGeom prst="rect">
                      <a:avLst/>
                    </a:prstGeom>
                    <a:noFill/>
                  </pic:spPr>
                </pic:pic>
              </a:graphicData>
            </a:graphic>
          </wp:anchor>
        </w:drawing>
      </w:r>
    </w:p>
    <w:p>
      <w:pPr>
        <w:ind w:left="499" w:hanging="499"/>
        <w:spacing w:after="0" w:line="187" w:lineRule="auto"/>
        <w:tabs>
          <w:tab w:leader="none" w:pos="499" w:val="left"/>
        </w:tabs>
        <w:numPr>
          <w:ilvl w:val="0"/>
          <w:numId w:val="4"/>
        </w:numPr>
        <w:rPr>
          <w:rFonts w:ascii="Arial" w:cs="Arial" w:eastAsia="Arial" w:hAnsi="Arial"/>
          <w:sz w:val="22"/>
          <w:szCs w:val="22"/>
          <w:b w:val="1"/>
          <w:bCs w:val="1"/>
          <w:color w:val="auto"/>
          <w:vertAlign w:val="subscript"/>
        </w:rPr>
      </w:pPr>
      <w:r>
        <w:rPr>
          <w:rFonts w:ascii="Arial" w:cs="Arial" w:eastAsia="Arial" w:hAnsi="Arial"/>
          <w:sz w:val="11"/>
          <w:szCs w:val="11"/>
          <w:color w:val="auto"/>
        </w:rPr>
        <w:t>SOLE DISPOSITIVE POWER</w:t>
      </w:r>
    </w:p>
    <w:p>
      <w:pPr>
        <w:spacing w:after="0" w:line="82" w:lineRule="exact"/>
        <w:rPr>
          <w:sz w:val="20"/>
          <w:szCs w:val="20"/>
          <w:color w:val="auto"/>
        </w:rPr>
      </w:pPr>
    </w:p>
    <w:p>
      <w:pPr>
        <w:ind w:left="499"/>
        <w:spacing w:after="0"/>
        <w:rPr>
          <w:sz w:val="20"/>
          <w:szCs w:val="20"/>
          <w:color w:val="auto"/>
        </w:rPr>
      </w:pPr>
      <w:r>
        <w:rPr>
          <w:rFonts w:ascii="Arial" w:cs="Arial" w:eastAsia="Arial" w:hAnsi="Arial"/>
          <w:sz w:val="18"/>
          <w:szCs w:val="18"/>
          <w:b w:val="1"/>
          <w:bCs w:val="1"/>
          <w:color w:val="auto"/>
        </w:rPr>
        <w:t>16,593,494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4445</wp:posOffset>
            </wp:positionV>
            <wp:extent cx="60178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17895" cy="17145"/>
                    </a:xfrm>
                    <a:prstGeom prst="rect">
                      <a:avLst/>
                    </a:prstGeom>
                    <a:noFill/>
                  </pic:spPr>
                </pic:pic>
              </a:graphicData>
            </a:graphic>
          </wp:anchor>
        </w:drawing>
      </w:r>
    </w:p>
    <w:p>
      <w:pPr>
        <w:ind w:left="499" w:hanging="499"/>
        <w:spacing w:after="0" w:line="187" w:lineRule="auto"/>
        <w:tabs>
          <w:tab w:leader="none" w:pos="499" w:val="left"/>
        </w:tabs>
        <w:numPr>
          <w:ilvl w:val="0"/>
          <w:numId w:val="5"/>
        </w:numPr>
        <w:rPr>
          <w:rFonts w:ascii="Arial" w:cs="Arial" w:eastAsia="Arial" w:hAnsi="Arial"/>
          <w:sz w:val="22"/>
          <w:szCs w:val="22"/>
          <w:b w:val="1"/>
          <w:bCs w:val="1"/>
          <w:color w:val="auto"/>
          <w:vertAlign w:val="subscript"/>
        </w:rPr>
      </w:pPr>
      <w:r>
        <w:rPr>
          <w:rFonts w:ascii="Arial" w:cs="Arial" w:eastAsia="Arial" w:hAnsi="Arial"/>
          <w:sz w:val="11"/>
          <w:szCs w:val="11"/>
          <w:color w:val="auto"/>
        </w:rPr>
        <w:t>SHARED DISPOSITIVE POWER</w:t>
      </w:r>
    </w:p>
    <w:p>
      <w:pPr>
        <w:spacing w:after="0" w:line="82" w:lineRule="exact"/>
        <w:rPr>
          <w:sz w:val="20"/>
          <w:szCs w:val="20"/>
          <w:color w:val="auto"/>
        </w:rPr>
      </w:pPr>
    </w:p>
    <w:p>
      <w:pPr>
        <w:ind w:left="499"/>
        <w:spacing w:after="0"/>
        <w:rPr>
          <w:sz w:val="20"/>
          <w:szCs w:val="20"/>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4445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441" w:space="720"/>
            <w:col w:w="9079"/>
          </w:cols>
          <w:pgMar w:left="320" w:top="0" w:right="339" w:bottom="1440" w:gutter="0" w:footer="0" w:header="0"/>
          <w:type w:val="continuous"/>
        </w:sectPr>
      </w:pPr>
    </w:p>
    <w:p>
      <w:pPr>
        <w:ind w:left="1180" w:hanging="639"/>
        <w:spacing w:after="0" w:line="187" w:lineRule="auto"/>
        <w:tabs>
          <w:tab w:leader="none" w:pos="1180" w:val="left"/>
        </w:tabs>
        <w:numPr>
          <w:ilvl w:val="0"/>
          <w:numId w:val="6"/>
        </w:numPr>
        <w:rPr>
          <w:rFonts w:ascii="Arial" w:cs="Arial" w:eastAsia="Arial" w:hAnsi="Arial"/>
          <w:sz w:val="22"/>
          <w:szCs w:val="22"/>
          <w:b w:val="1"/>
          <w:bCs w:val="1"/>
          <w:color w:val="auto"/>
          <w:vertAlign w:val="subscript"/>
        </w:rPr>
      </w:pPr>
      <w:r>
        <w:rPr>
          <w:rFonts w:ascii="Arial" w:cs="Arial" w:eastAsia="Arial" w:hAnsi="Arial"/>
          <w:sz w:val="11"/>
          <w:szCs w:val="11"/>
          <w:color w:val="auto"/>
        </w:rPr>
        <w:t>AGGREGATE AMOUNT BENEFICIALLY OWNED BY EACH REPORTING PERSON</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16,593,494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40" w:type="dxa"/>
            <w:vAlign w:val="bottom"/>
            <w:tcBorders>
              <w:top w:val="single" w:sz="8" w:color="auto"/>
            </w:tcBorders>
          </w:tcPr>
          <w:p>
            <w:pPr>
              <w:jc w:val="right"/>
              <w:ind w:right="132"/>
              <w:spacing w:after="0" w:line="231" w:lineRule="exact"/>
              <w:rPr>
                <w:sz w:val="20"/>
                <w:szCs w:val="20"/>
                <w:color w:val="auto"/>
              </w:rPr>
            </w:pPr>
            <w:r>
              <w:rPr>
                <w:rFonts w:ascii="Arial" w:cs="Arial" w:eastAsia="Arial" w:hAnsi="Arial"/>
                <w:sz w:val="22"/>
                <w:szCs w:val="22"/>
                <w:b w:val="1"/>
                <w:bCs w:val="1"/>
                <w:color w:val="auto"/>
              </w:rPr>
              <w:t>10</w:t>
            </w:r>
          </w:p>
        </w:tc>
        <w:tc>
          <w:tcPr>
            <w:tcW w:w="1030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 xml:space="preserve">CHECK BOX IF THE AGGREGATE AMOUNT IN ROW (9) EXCLUDES CERTAIN SHARES*   </w:t>
            </w:r>
            <w:r>
              <w:rPr>
                <w:rFonts w:ascii="Arial" w:cs="Arial" w:eastAsia="Arial" w:hAnsi="Arial"/>
                <w:sz w:val="17"/>
                <w:szCs w:val="17"/>
                <w:color w:val="auto"/>
              </w:rPr>
              <w:t>q</w:t>
            </w:r>
          </w:p>
        </w:tc>
      </w:tr>
      <w:tr>
        <w:trPr>
          <w:trHeight w:val="241"/>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w:t>
            </w:r>
          </w:p>
        </w:tc>
      </w:tr>
      <w:tr>
        <w:trPr>
          <w:trHeight w:val="225"/>
        </w:trPr>
        <w:tc>
          <w:tcPr>
            <w:tcW w:w="940" w:type="dxa"/>
            <w:vAlign w:val="bottom"/>
          </w:tcPr>
          <w:p>
            <w:pPr>
              <w:jc w:val="right"/>
              <w:ind w:right="132"/>
              <w:spacing w:after="0" w:line="225" w:lineRule="exact"/>
              <w:rPr>
                <w:sz w:val="20"/>
                <w:szCs w:val="20"/>
                <w:color w:val="auto"/>
              </w:rPr>
            </w:pPr>
            <w:r>
              <w:rPr>
                <w:rFonts w:ascii="Arial" w:cs="Arial" w:eastAsia="Arial" w:hAnsi="Arial"/>
                <w:sz w:val="22"/>
                <w:szCs w:val="22"/>
                <w:b w:val="1"/>
                <w:bCs w:val="1"/>
                <w:color w:val="auto"/>
              </w:rPr>
              <w:t>11</w:t>
            </w:r>
          </w:p>
        </w:tc>
        <w:tc>
          <w:tcPr>
            <w:tcW w:w="10300" w:type="dxa"/>
            <w:vAlign w:val="bottom"/>
          </w:tcPr>
          <w:p>
            <w:pPr>
              <w:ind w:left="240"/>
              <w:spacing w:after="0"/>
              <w:rPr>
                <w:sz w:val="20"/>
                <w:szCs w:val="20"/>
                <w:color w:val="auto"/>
              </w:rPr>
            </w:pPr>
            <w:r>
              <w:rPr>
                <w:rFonts w:ascii="Arial" w:cs="Arial" w:eastAsia="Arial" w:hAnsi="Arial"/>
                <w:sz w:val="14"/>
                <w:szCs w:val="14"/>
                <w:color w:val="auto"/>
              </w:rPr>
              <w:t>PERCENT OF CLASS REPRESENTED BY AMOUNT IN ROW 9</w:t>
            </w:r>
          </w:p>
        </w:tc>
      </w:tr>
      <w:tr>
        <w:trPr>
          <w:trHeight w:val="216"/>
        </w:trPr>
        <w:tc>
          <w:tcPr>
            <w:tcW w:w="940" w:type="dxa"/>
            <w:vAlign w:val="bottom"/>
          </w:tcPr>
          <w:p>
            <w:pPr>
              <w:spacing w:after="0"/>
              <w:rPr>
                <w:sz w:val="18"/>
                <w:szCs w:val="18"/>
                <w:color w:val="auto"/>
              </w:rPr>
            </w:pPr>
          </w:p>
        </w:tc>
        <w:tc>
          <w:tcPr>
            <w:tcW w:w="10300" w:type="dxa"/>
            <w:vAlign w:val="bottom"/>
          </w:tcPr>
          <w:p>
            <w:pPr>
              <w:ind w:left="240"/>
              <w:spacing w:after="0"/>
              <w:rPr>
                <w:sz w:val="20"/>
                <w:szCs w:val="20"/>
                <w:color w:val="auto"/>
              </w:rPr>
            </w:pPr>
            <w:r>
              <w:rPr>
                <w:rFonts w:ascii="Arial" w:cs="Arial" w:eastAsia="Arial" w:hAnsi="Arial"/>
                <w:sz w:val="18"/>
                <w:szCs w:val="18"/>
                <w:b w:val="1"/>
                <w:bCs w:val="1"/>
                <w:color w:val="auto"/>
              </w:rPr>
              <w:t>4.34%</w:t>
            </w:r>
          </w:p>
        </w:tc>
      </w:tr>
      <w:tr>
        <w:trPr>
          <w:trHeight w:val="216"/>
        </w:trPr>
        <w:tc>
          <w:tcPr>
            <w:tcW w:w="940" w:type="dxa"/>
            <w:vAlign w:val="bottom"/>
          </w:tcPr>
          <w:p>
            <w:pPr>
              <w:spacing w:after="0"/>
              <w:rPr>
                <w:sz w:val="18"/>
                <w:szCs w:val="18"/>
                <w:color w:val="auto"/>
              </w:rPr>
            </w:pPr>
          </w:p>
        </w:tc>
        <w:tc>
          <w:tcPr>
            <w:tcW w:w="10300" w:type="dxa"/>
            <w:vAlign w:val="bottom"/>
          </w:tcPr>
          <w:p>
            <w:pPr>
              <w:ind w:left="240"/>
              <w:spacing w:after="0"/>
              <w:rPr>
                <w:sz w:val="20"/>
                <w:szCs w:val="20"/>
                <w:color w:val="auto"/>
              </w:rPr>
            </w:pPr>
            <w:r>
              <w:rPr>
                <w:rFonts w:ascii="Arial" w:cs="Arial" w:eastAsia="Arial" w:hAnsi="Arial"/>
                <w:sz w:val="18"/>
                <w:szCs w:val="18"/>
                <w:b w:val="1"/>
                <w:bCs w:val="1"/>
                <w:color w:val="auto"/>
                <w:w w:val="88"/>
              </w:rPr>
              <w:t>*Based on 234,683,234 issued and outstanding shares of the Issuer as of August 16, 2023, plus 80,945,254 shares issued on October</w:t>
            </w:r>
          </w:p>
        </w:tc>
      </w:tr>
      <w:tr>
        <w:trPr>
          <w:trHeight w:val="241"/>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23, 2023, and 66,666,667 shares issued on November 14, 2023.</w:t>
            </w:r>
          </w:p>
        </w:tc>
      </w:tr>
      <w:tr>
        <w:trPr>
          <w:trHeight w:val="225"/>
        </w:trPr>
        <w:tc>
          <w:tcPr>
            <w:tcW w:w="940" w:type="dxa"/>
            <w:vAlign w:val="bottom"/>
          </w:tcPr>
          <w:p>
            <w:pPr>
              <w:jc w:val="right"/>
              <w:ind w:right="132"/>
              <w:spacing w:after="0" w:line="225" w:lineRule="exact"/>
              <w:rPr>
                <w:sz w:val="20"/>
                <w:szCs w:val="20"/>
                <w:color w:val="auto"/>
              </w:rPr>
            </w:pPr>
            <w:r>
              <w:rPr>
                <w:rFonts w:ascii="Arial" w:cs="Arial" w:eastAsia="Arial" w:hAnsi="Arial"/>
                <w:sz w:val="22"/>
                <w:szCs w:val="22"/>
                <w:b w:val="1"/>
                <w:bCs w:val="1"/>
                <w:color w:val="auto"/>
              </w:rPr>
              <w:t>12</w:t>
            </w:r>
          </w:p>
        </w:tc>
        <w:tc>
          <w:tcPr>
            <w:tcW w:w="10300" w:type="dxa"/>
            <w:vAlign w:val="bottom"/>
          </w:tcPr>
          <w:p>
            <w:pPr>
              <w:ind w:left="240"/>
              <w:spacing w:after="0"/>
              <w:rPr>
                <w:sz w:val="20"/>
                <w:szCs w:val="20"/>
                <w:color w:val="auto"/>
              </w:rPr>
            </w:pPr>
            <w:r>
              <w:rPr>
                <w:rFonts w:ascii="Arial" w:cs="Arial" w:eastAsia="Arial" w:hAnsi="Arial"/>
                <w:sz w:val="14"/>
                <w:szCs w:val="14"/>
                <w:color w:val="auto"/>
              </w:rPr>
              <w:t>TYPE OF REPORTING PERSON*</w:t>
            </w:r>
          </w:p>
        </w:tc>
      </w:tr>
      <w:tr>
        <w:trPr>
          <w:trHeight w:val="234"/>
        </w:trPr>
        <w:tc>
          <w:tcPr>
            <w:tcW w:w="940" w:type="dxa"/>
            <w:vAlign w:val="bottom"/>
          </w:tcPr>
          <w:p>
            <w:pPr>
              <w:spacing w:after="0"/>
              <w:rPr>
                <w:sz w:val="20"/>
                <w:szCs w:val="20"/>
                <w:color w:val="auto"/>
              </w:rPr>
            </w:pPr>
          </w:p>
        </w:tc>
        <w:tc>
          <w:tcPr>
            <w:tcW w:w="10300" w:type="dxa"/>
            <w:vAlign w:val="bottom"/>
          </w:tcPr>
          <w:p>
            <w:pPr>
              <w:ind w:left="240"/>
              <w:spacing w:after="0"/>
              <w:rPr>
                <w:sz w:val="20"/>
                <w:szCs w:val="20"/>
                <w:color w:val="auto"/>
              </w:rPr>
            </w:pPr>
            <w:r>
              <w:rPr>
                <w:rFonts w:ascii="Arial" w:cs="Arial" w:eastAsia="Arial" w:hAnsi="Arial"/>
                <w:sz w:val="18"/>
                <w:szCs w:val="18"/>
                <w:b w:val="1"/>
                <w:bCs w:val="1"/>
                <w:color w:val="auto"/>
              </w:rPr>
              <w:t>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(a). 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100 King Street West, Suite 5600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M5X 1C9 Canada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Peter David Rands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(b). Address of Principal Business Office or, if None, Residence: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40 Bloemfontein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 W12 7BX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Shares</w:t>
      </w:r>
    </w:p>
    <w:p>
      <w:pPr>
        <w:sectPr>
          <w:pgSz w:w="11900" w:h="16838" w:orient="portrait"/>
          <w:cols w:equalWidth="0" w:num="1">
            <w:col w:w="11240"/>
          </w:cols>
          <w:pgMar w:left="320" w:top="121" w:right="339" w:bottom="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CUSIP Number:</w:t>
      </w:r>
    </w:p>
    <w:p>
      <w:pPr>
        <w:spacing w:after="0" w:line="211" w:lineRule="exact"/>
        <w:rPr>
          <w:sz w:val="20"/>
          <w:szCs w:val="20"/>
          <w:color w:val="auto"/>
        </w:rPr>
      </w:pPr>
    </w:p>
    <w:p>
      <w:pPr>
        <w:sectPr>
          <w:pgSz w:w="11900" w:h="16838" w:orient="portrait"/>
          <w:cols w:equalWidth="0" w:num="2">
            <w:col w:w="2380" w:space="720"/>
            <w:col w:w="8140"/>
          </w:cols>
          <w:pgMar w:left="320" w:top="121"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23256X100</w:t>
      </w:r>
    </w:p>
    <w:p>
      <w:pPr>
        <w:sectPr>
          <w:pgSz w:w="11900" w:h="16838" w:orient="portrait"/>
          <w:cols w:equalWidth="0" w:num="1">
            <w:col w:w="11240"/>
          </w:cols>
          <w:pgMar w:left="320" w:top="121" w:right="339"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p>
      <w:pPr>
        <w:spacing w:after="0" w:line="166" w:lineRule="exact"/>
        <w:rPr>
          <w:sz w:val="20"/>
          <w:szCs w:val="20"/>
          <w:color w:val="auto"/>
        </w:rPr>
      </w:pPr>
    </w:p>
    <w:p>
      <w:pPr>
        <w:sectPr>
          <w:pgSz w:w="11900" w:h="16838" w:orient="portrait"/>
          <w:cols w:equalWidth="0" w:num="2">
            <w:col w:w="2520" w:space="720"/>
            <w:col w:w="8000"/>
          </w:cols>
          <w:pgMar w:left="320" w:top="121" w:right="339" w:bottom="0" w:gutter="0" w:footer="0" w:header="0"/>
          <w:type w:val="continuous"/>
        </w:sect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 or dealer registered under Section 15 of the Act;</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Bank as defined in Section 3(a)(6) of the Act;</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Company as defined in Section 3(a)(19) of the Act;</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adviser in accordance with Rule 13d-1(b)(1)(ii)(E);</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benefit plan or endowment plan in accordance with Rule 13d-1(b)(1)(ii)(F);</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Parent holding company or control person, in accordance with Rule 13d-1(b)(1)(ii)(G);</w:t>
      </w:r>
    </w:p>
    <w:p>
      <w:pPr>
        <w:spacing w:after="0" w:line="225"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620" w:right="20" w:hanging="640"/>
        <w:spacing w:after="0" w:line="277" w:lineRule="auto"/>
        <w:tabs>
          <w:tab w:leader="none" w:pos="1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960" w:hanging="980"/>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Group, in accordance with Rule 13d-1(b)(1)(ii)(j).</w:t>
      </w:r>
    </w:p>
    <w:p>
      <w:pPr>
        <w:spacing w:after="0" w:line="202" w:lineRule="exact"/>
        <w:rPr>
          <w:sz w:val="20"/>
          <w:szCs w:val="20"/>
          <w:color w:val="auto"/>
        </w:rPr>
      </w:pPr>
    </w:p>
    <w:p>
      <w:pPr>
        <w:ind w:left="1960" w:hanging="656"/>
        <w:spacing w:after="0"/>
        <w:tabs>
          <w:tab w:leader="none" w:pos="1960" w:val="left"/>
        </w:tabs>
        <w:numPr>
          <w:ilvl w:val="0"/>
          <w:numId w:val="8"/>
        </w:numPr>
        <w:rPr>
          <w:rFonts w:ascii="Arial" w:cs="Arial" w:eastAsia="Arial" w:hAnsi="Arial"/>
          <w:sz w:val="22"/>
          <w:szCs w:val="22"/>
          <w:b w:val="1"/>
          <w:bCs w:val="1"/>
          <w:color w:val="auto"/>
        </w:rPr>
      </w:pPr>
      <w:r>
        <w:rPr>
          <w:rFonts w:ascii="Arial" w:cs="Arial" w:eastAsia="Arial" w:hAnsi="Arial"/>
          <w:sz w:val="18"/>
          <w:szCs w:val="18"/>
          <w:color w:val="auto"/>
        </w:rPr>
        <w:t>If this statement is filed pursuant to Rule 13d-1(c), check this box.</w:t>
      </w:r>
    </w:p>
    <w:p>
      <w:pPr>
        <w:spacing w:after="0" w:line="225"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identified in Item 1.</w:t>
      </w:r>
    </w:p>
    <w:p>
      <w:pPr>
        <w:spacing w:after="0" w:line="225" w:lineRule="exact"/>
        <w:rPr>
          <w:sz w:val="20"/>
          <w:szCs w:val="20"/>
          <w:color w:val="auto"/>
        </w:rPr>
      </w:pPr>
    </w:p>
    <w:p>
      <w:pPr>
        <w:ind w:left="1960" w:hanging="980"/>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16,593,494</w:t>
      </w:r>
    </w:p>
    <w:p>
      <w:pPr>
        <w:spacing w:after="0" w:line="229" w:lineRule="exact"/>
        <w:rPr>
          <w:rFonts w:ascii="Arial" w:cs="Arial" w:eastAsia="Arial" w:hAnsi="Arial"/>
          <w:sz w:val="18"/>
          <w:szCs w:val="18"/>
          <w:color w:val="auto"/>
        </w:rPr>
      </w:pPr>
    </w:p>
    <w:p>
      <w:pPr>
        <w:ind w:left="1960" w:hanging="980"/>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4.34%</w:t>
      </w:r>
    </w:p>
    <w:p>
      <w:pPr>
        <w:spacing w:after="0" w:line="200" w:lineRule="exact"/>
        <w:rPr>
          <w:sz w:val="20"/>
          <w:szCs w:val="20"/>
          <w:color w:val="auto"/>
        </w:rPr>
      </w:pPr>
    </w:p>
    <w:p>
      <w:pPr>
        <w:spacing w:after="0" w:line="245" w:lineRule="exact"/>
        <w:rPr>
          <w:sz w:val="20"/>
          <w:szCs w:val="20"/>
          <w:color w:val="auto"/>
        </w:rPr>
      </w:pPr>
    </w:p>
    <w:p>
      <w:pPr>
        <w:ind w:left="1960" w:hanging="980"/>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1" w:lineRule="exact"/>
        <w:rPr>
          <w:rFonts w:ascii="Arial" w:cs="Arial" w:eastAsia="Arial" w:hAnsi="Arial"/>
          <w:sz w:val="18"/>
          <w:szCs w:val="18"/>
          <w:color w:val="auto"/>
        </w:rPr>
      </w:pPr>
    </w:p>
    <w:p>
      <w:pPr>
        <w:ind w:left="2600" w:hanging="1296"/>
        <w:spacing w:after="0"/>
        <w:tabs>
          <w:tab w:leader="none" w:pos="2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Sold power to vote or to direct the vote: </w:t>
      </w:r>
      <w:r>
        <w:rPr>
          <w:rFonts w:ascii="Arial" w:cs="Arial" w:eastAsia="Arial" w:hAnsi="Arial"/>
          <w:sz w:val="18"/>
          <w:szCs w:val="18"/>
          <w:b w:val="1"/>
          <w:bCs w:val="1"/>
          <w:color w:val="auto"/>
        </w:rPr>
        <w:t>16,593,494</w:t>
      </w:r>
    </w:p>
    <w:p>
      <w:pPr>
        <w:sectPr>
          <w:pgSz w:w="11900" w:h="16838" w:orient="portrait"/>
          <w:cols w:equalWidth="0" w:num="1">
            <w:col w:w="11240"/>
          </w:cols>
          <w:pgMar w:left="320" w:top="121" w:right="339" w:bottom="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Sole power to dispose or to direct the disposition of: </w:t>
      </w:r>
      <w:r>
        <w:rPr>
          <w:rFonts w:ascii="Arial" w:cs="Arial" w:eastAsia="Arial" w:hAnsi="Arial"/>
          <w:sz w:val="16"/>
          <w:szCs w:val="16"/>
          <w:b w:val="1"/>
          <w:bCs w:val="1"/>
          <w:color w:val="auto"/>
        </w:rPr>
        <w:t>16,593,494</w:t>
      </w:r>
    </w:p>
    <w:p>
      <w:pPr>
        <w:sectPr>
          <w:pgSz w:w="11900" w:h="16838" w:orient="portrait"/>
          <w:cols w:equalWidth="0" w:num="2">
            <w:col w:w="1460" w:space="720"/>
            <w:col w:w="9060"/>
          </w:cols>
          <w:pgMar w:left="320" w:top="121" w:right="339" w:bottom="0" w:gutter="0" w:footer="0" w:header="0"/>
          <w:type w:val="continuous"/>
        </w:sectPr>
      </w:pPr>
    </w:p>
    <w:bookmarkStart w:id="3" w:name="page4"/>
    <w:bookmarkEnd w:id="3"/>
    <w:p>
      <w:pPr>
        <w:spacing w:after="0"/>
        <w:tabs>
          <w:tab w:leader="none" w:pos="22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Instruction. </w:t>
      </w:r>
      <w:r>
        <w:rPr>
          <w:rFonts w:ascii="Arial" w:cs="Arial" w:eastAsia="Arial" w:hAnsi="Arial"/>
          <w:sz w:val="16"/>
          <w:szCs w:val="16"/>
          <w:color w:val="auto"/>
        </w:rPr>
        <w:t>For computations regarding securities which represent a right to acquire an underlying security, see Rule 13d-3(d)(1).</w:t>
      </w:r>
    </w:p>
    <w:p>
      <w:pPr>
        <w:sectPr>
          <w:pgSz w:w="11900" w:h="16838" w:orient="portrait"/>
          <w:cols w:equalWidth="0" w:num="1">
            <w:col w:w="11080"/>
          </w:cols>
          <w:pgMar w:left="320" w:top="337" w:right="4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211"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spacing w:after="0" w:line="41"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 xml:space="preserve">If the statement is being filed to report the fact that as of the date hereof the reporting person has ceased to be the beneficial owner of more than five percent of the class of securities, check the following [ </w:t>
      </w:r>
      <w:r>
        <w:rPr>
          <w:rFonts w:ascii="Arial" w:cs="Arial" w:eastAsia="Arial" w:hAnsi="Arial"/>
          <w:sz w:val="18"/>
          <w:szCs w:val="18"/>
          <w:b w:val="1"/>
          <w:bCs w:val="1"/>
          <w:color w:val="auto"/>
        </w:rPr>
        <w:t>X</w:t>
      </w:r>
      <w:r>
        <w:rPr>
          <w:rFonts w:ascii="Arial" w:cs="Arial" w:eastAsia="Arial" w:hAnsi="Arial"/>
          <w:sz w:val="18"/>
          <w:szCs w:val="18"/>
          <w:color w:val="auto"/>
        </w:rPr>
        <w:t xml:space="preserve"> ].</w:t>
      </w:r>
    </w:p>
    <w:p>
      <w:pPr>
        <w:sectPr>
          <w:pgSz w:w="11900" w:h="16838" w:orient="portrait"/>
          <w:cols w:equalWidth="0" w:num="1">
            <w:col w:w="11080"/>
          </w:cols>
          <w:pgMar w:left="320" w:top="337" w:right="499" w:bottom="1440" w:gutter="0" w:footer="0" w:header="0"/>
          <w:type w:val="continuous"/>
        </w:sect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center"/>
        <w:ind w:right="2640"/>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N/A</w:t>
      </w:r>
    </w:p>
    <w:p>
      <w:pPr>
        <w:sectPr>
          <w:pgSz w:w="11900" w:h="16838" w:orient="portrait"/>
          <w:cols w:equalWidth="0" w:num="1">
            <w:col w:w="11080"/>
          </w:cols>
          <w:pgMar w:left="320" w:top="337" w:right="49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ind w:left="1960"/>
        <w:spacing w:after="0"/>
        <w:rPr>
          <w:sz w:val="20"/>
          <w:szCs w:val="20"/>
          <w:color w:val="auto"/>
        </w:rPr>
      </w:pPr>
      <w:r>
        <w:rPr>
          <w:rFonts w:ascii="Arial" w:cs="Arial" w:eastAsia="Arial" w:hAnsi="Arial"/>
          <w:sz w:val="17"/>
          <w:szCs w:val="17"/>
          <w:color w:val="auto"/>
        </w:rPr>
        <w:t>N/A</w:t>
      </w:r>
    </w:p>
    <w:p>
      <w:pPr>
        <w:sectPr>
          <w:pgSz w:w="11900" w:h="16838" w:orient="portrait"/>
          <w:cols w:equalWidth="0" w:num="1">
            <w:col w:w="11080"/>
          </w:cols>
          <w:pgMar w:left="320" w:top="337" w:right="49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N/A</w:t>
      </w:r>
    </w:p>
    <w:p>
      <w:pPr>
        <w:sectPr>
          <w:pgSz w:w="11900" w:h="16838" w:orient="portrait"/>
          <w:cols w:equalWidth="0" w:num="1">
            <w:col w:w="11080"/>
          </w:cols>
          <w:pgMar w:left="320" w:top="337" w:right="49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2520" w:space="720"/>
            <w:col w:w="7840"/>
          </w:cols>
          <w:pgMar w:left="320" w:top="337" w:right="499" w:bottom="1440" w:gutter="0" w:footer="0" w:header="0"/>
          <w:type w:val="continuous"/>
        </w:sectPr>
      </w:pPr>
    </w:p>
    <w:p>
      <w:pPr>
        <w:spacing w:after="0" w:line="41"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N/A</w:t>
      </w:r>
    </w:p>
    <w:p>
      <w:pPr>
        <w:sectPr>
          <w:pgSz w:w="11900" w:h="16838" w:orient="portrait"/>
          <w:cols w:equalWidth="0" w:num="1">
            <w:col w:w="11080"/>
          </w:cols>
          <w:pgMar w:left="320" w:top="337" w:right="49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2640" w:space="720"/>
            <w:col w:w="7720"/>
          </w:cols>
          <w:pgMar w:left="320" w:top="337" w:right="499" w:bottom="1440" w:gutter="0" w:footer="0" w:header="0"/>
          <w:type w:val="continuous"/>
        </w:sect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November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Peter David Rands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David 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142875</wp:posOffset>
            </wp:positionV>
            <wp:extent cx="3566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sectPr>
      <w:pgSz w:w="11900" w:h="16838" w:orient="portrait"/>
      <w:cols w:equalWidth="0" w:num="1">
        <w:col w:w="11080"/>
      </w:cols>
      <w:pgMar w:left="320" w:top="33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6"/>
      <w:numFmt w:val="bullet"/>
      <w:start w:val="1"/>
    </w:lvl>
  </w:abstractNum>
  <w:abstractNum w:abstractNumId="3">
    <w:nsid w:val="41B71EFB"/>
    <w:multiLevelType w:val="hybridMultilevel"/>
    <w:lvl w:ilvl="0">
      <w:lvlJc w:val="left"/>
      <w:lvlText w:val="7"/>
      <w:numFmt w:val="bullet"/>
      <w:start w:val="1"/>
    </w:lvl>
  </w:abstractNum>
  <w:abstractNum w:abstractNumId="4">
    <w:nsid w:val="79E2A9E3"/>
    <w:multiLevelType w:val="hybridMultilevel"/>
    <w:lvl w:ilvl="0">
      <w:lvlJc w:val="left"/>
      <w:lvlText w:val="8"/>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X"/>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2023-11-17T11:06:22Z</dcterms:created>
  <dcterms:modified xsi:type="dcterms:W3CDTF">2023-11-17T11:06:22Z</dcterms:modified>
</cp:coreProperties>
</file>