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As filed with the Securities and Exchange Commission on January 7, 2025.</w:t>
      </w:r>
    </w:p>
    <w:p>
      <w:pPr>
        <w:spacing w:after="0" w:line="2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w:t>
      </w:r>
    </w:p>
    <w:p>
      <w:pPr>
        <w:spacing w:after="0" w:line="19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FORM F-10</w:t>
      </w:r>
    </w:p>
    <w:p>
      <w:pPr>
        <w:spacing w:after="0" w:line="22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REGISTRATION STATEMENT UNDER</w:t>
      </w:r>
    </w:p>
    <w:p>
      <w:pPr>
        <w:spacing w:after="0" w:line="1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16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pacing w:after="0" w:line="17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u w:val="single" w:color="auto"/>
          <w:color w:val="auto"/>
        </w:rPr>
        <w:t>Ontario, Canada</w:t>
      </w:r>
    </w:p>
    <w:p>
      <w:pPr>
        <w:spacing w:after="0" w:line="18"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22"/>
          <w:szCs w:val="22"/>
          <w:color w:val="auto"/>
        </w:rPr>
        <w:t>(Province or other 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2834</w:t>
      </w:r>
    </w:p>
    <w:p>
      <w:pPr>
        <w:spacing w:after="0" w:line="18"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(Primary Standard Industrial Classification Code Number, if applicable)</w:t>
      </w:r>
    </w:p>
    <w:p>
      <w:pPr>
        <w:spacing w:after="0" w:line="17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u w:val="single" w:color="auto"/>
          <w:color w:val="auto"/>
        </w:rPr>
        <w:t>N/A</w:t>
      </w:r>
    </w:p>
    <w:p>
      <w:pPr>
        <w:spacing w:after="0" w:line="1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22"/>
          <w:szCs w:val="22"/>
          <w:color w:val="auto"/>
        </w:rPr>
        <w:t>(I.R.S. Employer Identification No., if applicable)</w:t>
      </w:r>
    </w:p>
    <w:p>
      <w:pPr>
        <w:spacing w:after="0" w:line="17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100 King Street West, Suite 5600</w:t>
      </w:r>
    </w:p>
    <w:p>
      <w:pPr>
        <w:spacing w:after="0" w:line="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Toronto, Ontario, Canada M5X 1C9</w:t>
      </w:r>
    </w:p>
    <w:p>
      <w:pPr>
        <w:jc w:val="center"/>
        <w:ind w:right="320"/>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(908) 764-8385</w:t>
      </w:r>
    </w:p>
    <w:p>
      <w:pPr>
        <w:spacing w:after="0" w:line="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i w:val="1"/>
          <w:iCs w:val="1"/>
          <w:color w:val="auto"/>
        </w:rPr>
        <w:t>(Address and telephone number of Registrant's principal executive offices)</w:t>
      </w:r>
    </w:p>
    <w:p>
      <w:pPr>
        <w:spacing w:after="0" w:line="17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C T Corporation System</w:t>
      </w:r>
    </w:p>
    <w:p>
      <w:pPr>
        <w:ind w:left="3760"/>
        <w:spacing w:after="0" w:line="187" w:lineRule="auto"/>
        <w:rPr>
          <w:sz w:val="20"/>
          <w:szCs w:val="20"/>
          <w:color w:val="auto"/>
        </w:rPr>
      </w:pPr>
      <w:r>
        <w:rPr>
          <w:rFonts w:ascii="Times New Roman" w:cs="Times New Roman" w:eastAsia="Times New Roman" w:hAnsi="Times New Roman"/>
          <w:sz w:val="22"/>
          <w:szCs w:val="22"/>
          <w:b w:val="1"/>
          <w:bCs w:val="1"/>
          <w:color w:val="auto"/>
        </w:rPr>
        <w:t>1015 15</w:t>
      </w:r>
      <w:r>
        <w:rPr>
          <w:rFonts w:ascii="Times New Roman" w:cs="Times New Roman" w:eastAsia="Times New Roman" w:hAnsi="Times New Roman"/>
          <w:sz w:val="35"/>
          <w:szCs w:val="35"/>
          <w:b w:val="1"/>
          <w:bCs w:val="1"/>
          <w:color w:val="auto"/>
          <w:vertAlign w:val="superscript"/>
        </w:rPr>
        <w:t>th</w:t>
      </w:r>
      <w:r>
        <w:rPr>
          <w:rFonts w:ascii="Times New Roman" w:cs="Times New Roman" w:eastAsia="Times New Roman" w:hAnsi="Times New Roman"/>
          <w:sz w:val="22"/>
          <w:szCs w:val="22"/>
          <w:b w:val="1"/>
          <w:bCs w:val="1"/>
          <w:color w:val="auto"/>
        </w:rPr>
        <w:t xml:space="preserve"> Street N.W., Suite 1000</w:t>
      </w:r>
    </w:p>
    <w:p>
      <w:pPr>
        <w:jc w:val="center"/>
        <w:ind w:right="320"/>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20005</w:t>
      </w:r>
    </w:p>
    <w:p>
      <w:pPr>
        <w:jc w:val="center"/>
        <w:ind w:right="320"/>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(202) 572-3133</w:t>
      </w:r>
    </w:p>
    <w:p>
      <w:pPr>
        <w:jc w:val="center"/>
        <w:ind w:right="320"/>
        <w:spacing w:after="0"/>
        <w:rPr>
          <w:sz w:val="20"/>
          <w:szCs w:val="20"/>
          <w:color w:val="auto"/>
        </w:rPr>
      </w:pPr>
      <w:r>
        <w:rPr>
          <w:rFonts w:ascii="Times New Roman" w:cs="Times New Roman" w:eastAsia="Times New Roman" w:hAnsi="Times New Roman"/>
          <w:sz w:val="21"/>
          <w:szCs w:val="21"/>
          <w:i w:val="1"/>
          <w:iCs w:val="1"/>
          <w:color w:val="auto"/>
        </w:rPr>
        <w:t>(Name, address (including zip code) and telephone number (including area code) of agent for service in the United States)</w:t>
      </w:r>
    </w:p>
    <w:p>
      <w:pPr>
        <w:spacing w:after="0" w:line="190" w:lineRule="exact"/>
        <w:rPr>
          <w:sz w:val="24"/>
          <w:szCs w:val="24"/>
          <w:color w:val="auto"/>
        </w:rPr>
      </w:pPr>
    </w:p>
    <w:tbl>
      <w:tblPr>
        <w:tblLayout w:type="fixed"/>
        <w:tblInd w:w="1640" w:type="dxa"/>
        <w:tblCellMar>
          <w:top w:w="0" w:type="dxa"/>
          <w:left w:w="0" w:type="dxa"/>
          <w:bottom w:w="0" w:type="dxa"/>
          <w:right w:w="0" w:type="dxa"/>
        </w:tblCellMar>
      </w:tblPr>
      <w:tr>
        <w:trPr>
          <w:trHeight w:val="286"/>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gridSpan w:val="3"/>
          </w:tcPr>
          <w:p>
            <w:pPr>
              <w:ind w:left="200"/>
              <w:spacing w:after="0"/>
              <w:rPr>
                <w:sz w:val="20"/>
                <w:szCs w:val="20"/>
                <w:color w:val="auto"/>
              </w:rPr>
            </w:pPr>
            <w:r>
              <w:rPr>
                <w:rFonts w:ascii="Times New Roman" w:cs="Times New Roman" w:eastAsia="Times New Roman" w:hAnsi="Times New Roman"/>
                <w:sz w:val="22"/>
                <w:szCs w:val="22"/>
                <w:b w:val="1"/>
                <w:bCs w:val="1"/>
                <w:color w:val="auto"/>
              </w:rPr>
              <w:t>Copies to:</w:t>
            </w:r>
          </w:p>
        </w:tc>
      </w:tr>
      <w:tr>
        <w:trPr>
          <w:trHeight w:val="398"/>
        </w:trPr>
        <w:tc>
          <w:tcPr>
            <w:tcW w:w="2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Douglas Drysdale</w:t>
            </w:r>
          </w:p>
        </w:tc>
        <w:tc>
          <w:tcPr>
            <w:tcW w:w="4300" w:type="dxa"/>
            <w:vAlign w:val="bottom"/>
            <w:gridSpan w:val="3"/>
          </w:tcPr>
          <w:p>
            <w:pPr>
              <w:jc w:val="center"/>
              <w:ind w:left="1426"/>
              <w:spacing w:after="0"/>
              <w:rPr>
                <w:sz w:val="20"/>
                <w:szCs w:val="20"/>
                <w:color w:val="auto"/>
              </w:rPr>
            </w:pPr>
            <w:r>
              <w:rPr>
                <w:rFonts w:ascii="Times New Roman" w:cs="Times New Roman" w:eastAsia="Times New Roman" w:hAnsi="Times New Roman"/>
                <w:sz w:val="18"/>
                <w:szCs w:val="18"/>
                <w:b w:val="1"/>
                <w:bCs w:val="1"/>
                <w:color w:val="auto"/>
              </w:rPr>
              <w:t>Richard Raymer</w:t>
            </w:r>
          </w:p>
        </w:tc>
      </w:tr>
      <w:tr>
        <w:trPr>
          <w:trHeight w:val="216"/>
        </w:trPr>
        <w:tc>
          <w:tcPr>
            <w:tcW w:w="840" w:type="dxa"/>
            <w:vAlign w:val="bottom"/>
          </w:tcPr>
          <w:p>
            <w:pPr>
              <w:spacing w:after="0"/>
              <w:rPr>
                <w:sz w:val="18"/>
                <w:szCs w:val="18"/>
                <w:color w:val="auto"/>
              </w:rPr>
            </w:pPr>
          </w:p>
        </w:tc>
        <w:tc>
          <w:tcPr>
            <w:tcW w:w="21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Cybin, Inc.</w:t>
            </w:r>
          </w:p>
        </w:tc>
        <w:tc>
          <w:tcPr>
            <w:tcW w:w="4300" w:type="dxa"/>
            <w:vAlign w:val="bottom"/>
            <w:gridSpan w:val="3"/>
          </w:tcPr>
          <w:p>
            <w:pPr>
              <w:jc w:val="center"/>
              <w:ind w:left="1426"/>
              <w:spacing w:after="0"/>
              <w:rPr>
                <w:sz w:val="20"/>
                <w:szCs w:val="20"/>
                <w:color w:val="auto"/>
              </w:rPr>
            </w:pPr>
            <w:r>
              <w:rPr>
                <w:rFonts w:ascii="Times New Roman" w:cs="Times New Roman" w:eastAsia="Times New Roman" w:hAnsi="Times New Roman"/>
                <w:sz w:val="18"/>
                <w:szCs w:val="18"/>
                <w:b w:val="1"/>
                <w:bCs w:val="1"/>
                <w:color w:val="auto"/>
                <w:w w:val="99"/>
              </w:rPr>
              <w:t>Dorsey &amp; Whitney LLP</w:t>
            </w:r>
          </w:p>
        </w:tc>
      </w:tr>
      <w:tr>
        <w:trPr>
          <w:trHeight w:val="216"/>
        </w:trPr>
        <w:tc>
          <w:tcPr>
            <w:tcW w:w="2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100 King Street West,</w:t>
            </w:r>
          </w:p>
        </w:tc>
        <w:tc>
          <w:tcPr>
            <w:tcW w:w="4300" w:type="dxa"/>
            <w:vAlign w:val="bottom"/>
            <w:gridSpan w:val="3"/>
          </w:tcPr>
          <w:p>
            <w:pPr>
              <w:jc w:val="center"/>
              <w:ind w:left="1426"/>
              <w:spacing w:after="0"/>
              <w:rPr>
                <w:sz w:val="20"/>
                <w:szCs w:val="20"/>
                <w:color w:val="auto"/>
              </w:rPr>
            </w:pPr>
            <w:r>
              <w:rPr>
                <w:rFonts w:ascii="Times New Roman" w:cs="Times New Roman" w:eastAsia="Times New Roman" w:hAnsi="Times New Roman"/>
                <w:sz w:val="18"/>
                <w:szCs w:val="18"/>
                <w:b w:val="1"/>
                <w:bCs w:val="1"/>
                <w:color w:val="auto"/>
                <w:w w:val="98"/>
              </w:rPr>
              <w:t>66 Wellington St West,</w:t>
            </w:r>
          </w:p>
        </w:tc>
      </w:tr>
      <w:tr>
        <w:trPr>
          <w:trHeight w:val="216"/>
        </w:trPr>
        <w:tc>
          <w:tcPr>
            <w:tcW w:w="840" w:type="dxa"/>
            <w:vAlign w:val="bottom"/>
          </w:tcPr>
          <w:p>
            <w:pPr>
              <w:spacing w:after="0"/>
              <w:rPr>
                <w:sz w:val="18"/>
                <w:szCs w:val="18"/>
                <w:color w:val="auto"/>
              </w:rPr>
            </w:pPr>
          </w:p>
        </w:tc>
        <w:tc>
          <w:tcPr>
            <w:tcW w:w="21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Suite 5600,</w:t>
            </w:r>
          </w:p>
        </w:tc>
        <w:tc>
          <w:tcPr>
            <w:tcW w:w="2340" w:type="dxa"/>
            <w:vAlign w:val="bottom"/>
          </w:tcPr>
          <w:p>
            <w:pPr>
              <w:spacing w:after="0"/>
              <w:rPr>
                <w:sz w:val="18"/>
                <w:szCs w:val="18"/>
                <w:color w:val="auto"/>
              </w:rPr>
            </w:pPr>
          </w:p>
        </w:tc>
        <w:tc>
          <w:tcPr>
            <w:tcW w:w="19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Suite 3400,</w:t>
            </w:r>
          </w:p>
        </w:tc>
      </w:tr>
      <w:tr>
        <w:trPr>
          <w:trHeight w:val="216"/>
        </w:trPr>
        <w:tc>
          <w:tcPr>
            <w:tcW w:w="2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Toronto, Ontario, Canada M5X 1C9</w:t>
            </w:r>
          </w:p>
        </w:tc>
        <w:tc>
          <w:tcPr>
            <w:tcW w:w="4300" w:type="dxa"/>
            <w:vAlign w:val="bottom"/>
            <w:gridSpan w:val="3"/>
          </w:tcPr>
          <w:p>
            <w:pPr>
              <w:jc w:val="center"/>
              <w:ind w:left="1426"/>
              <w:spacing w:after="0"/>
              <w:rPr>
                <w:sz w:val="20"/>
                <w:szCs w:val="20"/>
                <w:color w:val="auto"/>
              </w:rPr>
            </w:pPr>
            <w:r>
              <w:rPr>
                <w:rFonts w:ascii="Times New Roman" w:cs="Times New Roman" w:eastAsia="Times New Roman" w:hAnsi="Times New Roman"/>
                <w:sz w:val="18"/>
                <w:szCs w:val="18"/>
                <w:b w:val="1"/>
                <w:bCs w:val="1"/>
                <w:color w:val="auto"/>
                <w:w w:val="98"/>
              </w:rPr>
              <w:t>Toronto, Ontario Canada, M5K 1E6</w:t>
            </w:r>
          </w:p>
        </w:tc>
      </w:tr>
      <w:tr>
        <w:trPr>
          <w:trHeight w:val="198"/>
        </w:trPr>
        <w:tc>
          <w:tcPr>
            <w:tcW w:w="84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(866) 292-4601</w:t>
            </w:r>
          </w:p>
        </w:tc>
        <w:tc>
          <w:tcPr>
            <w:tcW w:w="1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(416) 367-7388</w:t>
            </w:r>
          </w:p>
        </w:tc>
        <w:tc>
          <w:tcPr>
            <w:tcW w:w="820" w:type="dxa"/>
            <w:vAlign w:val="bottom"/>
          </w:tcPr>
          <w:p>
            <w:pPr>
              <w:spacing w:after="0"/>
              <w:rPr>
                <w:sz w:val="17"/>
                <w:szCs w:val="17"/>
                <w:color w:val="auto"/>
              </w:rPr>
            </w:pPr>
          </w:p>
        </w:tc>
      </w:tr>
    </w:tbl>
    <w:p>
      <w:pPr>
        <w:spacing w:after="0" w:line="21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Approximate date of commencement of proposed sale of the securities to the public:</w:t>
      </w:r>
    </w:p>
    <w:p>
      <w:pPr>
        <w:spacing w:after="0" w:line="18"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22"/>
          <w:szCs w:val="22"/>
          <w:color w:val="auto"/>
        </w:rPr>
        <w:t>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130810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660" w:top="4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Province of Ontario, Canada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(Principal jurisdiction regulating this offering)</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It is proposed that this filing shall become effective (check appropriate box below):</w:t>
      </w:r>
    </w:p>
    <w:p>
      <w:pPr>
        <w:spacing w:after="0" w:line="390" w:lineRule="exact"/>
        <w:rPr>
          <w:sz w:val="20"/>
          <w:szCs w:val="20"/>
          <w:color w:val="auto"/>
        </w:rPr>
      </w:pPr>
    </w:p>
    <w:p>
      <w:pPr>
        <w:ind w:left="900" w:hanging="892"/>
        <w:spacing w:after="0" w:line="245" w:lineRule="exact"/>
        <w:tabs>
          <w:tab w:leader="none" w:pos="45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upon filing with the Commission pursuant to Rule 467(a) (if in connection with an offering being made contemporaneously in the United States and Canada).</w:t>
      </w:r>
    </w:p>
    <w:p>
      <w:pPr>
        <w:spacing w:after="0" w:line="1" w:lineRule="exact"/>
        <w:rPr>
          <w:rFonts w:ascii="Times New Roman" w:cs="Times New Roman" w:eastAsia="Times New Roman" w:hAnsi="Times New Roman"/>
          <w:sz w:val="18"/>
          <w:szCs w:val="18"/>
          <w:color w:val="auto"/>
        </w:rPr>
      </w:pPr>
    </w:p>
    <w:p>
      <w:pPr>
        <w:ind w:left="460" w:hanging="452"/>
        <w:spacing w:after="0" w:line="207" w:lineRule="exact"/>
        <w:tabs>
          <w:tab w:leader="none" w:pos="46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some future date (check the appropriate box below):</w:t>
      </w:r>
    </w:p>
    <w:tbl>
      <w:tblPr>
        <w:tblLayout w:type="fixed"/>
        <w:tblInd w:w="460" w:type="dxa"/>
        <w:tblCellMar>
          <w:top w:w="0" w:type="dxa"/>
          <w:left w:w="0" w:type="dxa"/>
          <w:bottom w:w="0" w:type="dxa"/>
          <w:right w:w="0" w:type="dxa"/>
        </w:tblCellMar>
      </w:tblPr>
      <w:tr>
        <w:trPr>
          <w:trHeight w:val="171"/>
        </w:trPr>
        <w:tc>
          <w:tcPr>
            <w:tcW w:w="280" w:type="dxa"/>
            <w:vAlign w:val="bottom"/>
          </w:tcPr>
          <w:p>
            <w:pPr>
              <w:jc w:val="right"/>
              <w:ind w:right="70"/>
              <w:spacing w:after="0" w:line="171" w:lineRule="exact"/>
              <w:rPr>
                <w:sz w:val="20"/>
                <w:szCs w:val="20"/>
                <w:color w:val="auto"/>
              </w:rPr>
            </w:pPr>
            <w:r>
              <w:rPr>
                <w:rFonts w:ascii="Times New Roman" w:cs="Times New Roman" w:eastAsia="Times New Roman" w:hAnsi="Times New Roman"/>
                <w:sz w:val="18"/>
                <w:szCs w:val="18"/>
                <w:color w:val="auto"/>
                <w:w w:val="73"/>
              </w:rPr>
              <w:t>1.</w:t>
            </w:r>
          </w:p>
        </w:tc>
        <w:tc>
          <w:tcPr>
            <w:tcW w:w="460" w:type="dxa"/>
            <w:vAlign w:val="bottom"/>
          </w:tcPr>
          <w:p>
            <w:pPr>
              <w:ind w:left="160"/>
              <w:spacing w:after="0" w:line="17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pursuant to Rule 467(b) on (</w:t>
            </w:r>
          </w:p>
        </w:tc>
        <w:tc>
          <w:tcPr>
            <w:tcW w:w="100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 at (</w:t>
            </w:r>
          </w:p>
        </w:tc>
        <w:tc>
          <w:tcPr>
            <w:tcW w:w="6520" w:type="dxa"/>
            <w:vAlign w:val="bottom"/>
            <w:gridSpan w:val="2"/>
          </w:tcPr>
          <w:p>
            <w:pPr>
              <w:jc w:val="right"/>
              <w:ind w:right="1750"/>
              <w:spacing w:after="0" w:line="171" w:lineRule="exact"/>
              <w:rPr>
                <w:sz w:val="20"/>
                <w:szCs w:val="20"/>
                <w:color w:val="auto"/>
              </w:rPr>
            </w:pPr>
            <w:r>
              <w:rPr>
                <w:rFonts w:ascii="Times New Roman" w:cs="Times New Roman" w:eastAsia="Times New Roman" w:hAnsi="Times New Roman"/>
                <w:sz w:val="18"/>
                <w:szCs w:val="18"/>
                <w:color w:val="auto"/>
              </w:rPr>
              <w:t>) (designate a time not sooner than 7 calendar days after filing).</w:t>
            </w:r>
          </w:p>
        </w:tc>
      </w:tr>
      <w:tr>
        <w:trPr>
          <w:trHeight w:val="252"/>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3"/>
              </w:rPr>
              <w:t>2.</w:t>
            </w:r>
          </w:p>
        </w:tc>
        <w:tc>
          <w:tcPr>
            <w:tcW w:w="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pursuant to Rule 467(b) on (</w:t>
            </w:r>
          </w:p>
        </w:tc>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at (</w:t>
            </w:r>
          </w:p>
        </w:tc>
        <w:tc>
          <w:tcPr>
            <w:tcW w:w="6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(designate a time 7 calendar days or sooner after filing) because the securities</w:t>
            </w:r>
          </w:p>
        </w:tc>
      </w:tr>
      <w:tr>
        <w:trPr>
          <w:trHeight w:val="229"/>
        </w:trPr>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regulatory authority in the review jurisdiction has issued a receipt or notification of clearance on (</w:t>
            </w:r>
          </w:p>
        </w:tc>
        <w:tc>
          <w:tcPr>
            <w:tcW w:w="256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w:t>
            </w:r>
          </w:p>
        </w:tc>
      </w:tr>
    </w:tbl>
    <w:p>
      <w:pPr>
        <w:ind w:left="1340" w:right="20" w:hanging="887"/>
        <w:spacing w:after="0" w:line="219" w:lineRule="exact"/>
        <w:tabs>
          <w:tab w:leader="none" w:pos="895"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ind w:left="900" w:hanging="447"/>
        <w:spacing w:after="0" w:line="207" w:lineRule="exact"/>
        <w:tabs>
          <w:tab w:leader="none" w:pos="9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after the filing of the next amendment to this Form (if preliminary material is being filed).</w:t>
      </w:r>
    </w:p>
    <w:p>
      <w:pPr>
        <w:spacing w:after="0" w:line="198" w:lineRule="exact"/>
        <w:rPr>
          <w:sz w:val="20"/>
          <w:szCs w:val="20"/>
          <w:color w:val="auto"/>
        </w:rPr>
      </w:pPr>
    </w:p>
    <w:p>
      <w:pPr>
        <w:jc w:val="both"/>
        <w:ind w:firstLine="692"/>
        <w:spacing w:after="0" w:line="285" w:lineRule="exact"/>
        <w:rPr>
          <w:sz w:val="20"/>
          <w:szCs w:val="20"/>
          <w:color w:val="auto"/>
        </w:rPr>
      </w:pPr>
      <w:r>
        <w:rPr>
          <w:rFonts w:ascii="Times New Roman" w:cs="Times New Roman" w:eastAsia="Times New Roman" w:hAnsi="Times New Roman"/>
          <w:sz w:val="22"/>
          <w:szCs w:val="22"/>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The Registrant hereby amends this Registration Statement on such date or dates as may be necessary to delay its effective date until the Registration Statement shall become effective as provided in Rule 467 under the Securities Act or on such date as the Commission, acting pursuant to Section 8(a) of the Securities Act, may determine.</w:t>
      </w:r>
    </w:p>
    <w:p>
      <w:pPr>
        <w:spacing w:after="0" w:line="16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Pursuant to Rule 429 under the Securities Act, the prospectus contained in this Registration Statement relates to Registration Statement 333-276333.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INFORMATION REQUIRED TO BE DELIVERED TO OFFEREES OR PURCHASERS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Amendment No. 3 dated January 6, 2025 to the Short Form Base Shelf Prospectus dated August 17, 2023, as amended by Amendment No. 1 dated December 22, 2023 and by Amendment No. 2 dated April 8, 2024</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Amendment No. 1 dated December 22, 2023 and by Amendment No. 2 dated April 8, 2024, and as further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Amendment No. 1 dated December 22, 2023 and by Amendment No. 2 dated April 8, 2024, and as further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Amendment No. 1 dated December 22, 2023 and by Amendment No. 2 dated April 8, 2024, and as further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obtained on request without charge from the Secretary of Cybin Inc. at 100 King Street West, Suite 5600, Toronto, Ontario M5X 1C9, telephone 1-866-292-4601, and are also available electronically at www.sedarplus.ca.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05890"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$650,000,000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short form base shelf prospectus dated August 17, 2023, as amended by Amendment No. 1 dated December 22, 2023 and by Amendment No. 2 dated April 8, 2024 (collectively,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3 to increase the aggregate amount of Securities that may be offered from time to time under the Prospectus from $400,000,000 to $650,000,000. Capitalized terms used but not otherwise defined in this Amendment No. 3 have the meanings ascribed thereto in the Prospectus.</w:t>
      </w:r>
    </w:p>
    <w:p>
      <w:pPr>
        <w:spacing w:after="0" w:line="1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_______________________________________________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567" w:right="339" w:bottom="94"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67" w:right="339" w:bottom="94" w:gutter="0" w:footer="0" w:header="0"/>
          <w:type w:val="continuous"/>
        </w:sectPr>
      </w:pPr>
    </w:p>
    <w:bookmarkStart w:id="3" w:name="page4"/>
    <w:bookmarkEnd w:id="3"/>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3.</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_______________________________________________</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"$400,000,000" contained on the face page of the Prospectus and substituting "$650,000,000" therefor. The first paragraph of the text on the face page of the Prospectus, as so amended, is deleted and replaced with the following:</w:t>
      </w:r>
    </w:p>
    <w:p>
      <w:pPr>
        <w:spacing w:after="0" w:line="169"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$650,000,000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"Selling Securityholders"."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"$400,000,000" contained in the first sentence of the first paragraph under the heading "Plan of Distribution" on page 28, so that such sentence, as so amended, reads as follows:</w:t>
      </w:r>
    </w:p>
    <w:p>
      <w:pPr>
        <w:spacing w:after="0" w:line="15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$650,000,000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The Prospectus is further amended by deleting the third paragraph on page iv of the Prospectus, and replacing with the following:</w:t>
      </w:r>
    </w:p>
    <w:p>
      <w:pPr>
        <w:spacing w:after="0" w:line="21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"Douglas Drysdale, an officer of the Corporation, 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 Risks Related to an Offering - Enforcement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Civil Liabilities".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right="20" w:hanging="320"/>
        <w:spacing w:after="0" w:line="262"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25, 2024 for the year ended March 31, 2024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2024 and 2023, together with the auditor's report thereon;</w:t>
      </w:r>
    </w:p>
    <w:p>
      <w:pPr>
        <w:spacing w:after="0" w:line="158"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2024;</w:t>
      </w:r>
    </w:p>
    <w:p>
      <w:pPr>
        <w:spacing w:after="0" w:line="206"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2024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2024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24, 2024 relating to an annual and special meeting of shareholders of the Corporation held on August 27, 2024;</w:t>
      </w:r>
    </w:p>
    <w:p>
      <w:pPr>
        <w:spacing w:after="0" w:line="158"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19, 2024 relating to the filing of articles of amendment to consolidate the Corporation's issued and outstanding Common Shares on the basis one new Common Share for every 38 existing Common Shares; and</w:t>
      </w:r>
    </w:p>
    <w:p>
      <w:pPr>
        <w:spacing w:after="0" w:line="169" w:lineRule="exact"/>
        <w:rPr>
          <w:rFonts w:ascii="Times New Roman" w:cs="Times New Roman" w:eastAsia="Times New Roman" w:hAnsi="Times New Roman"/>
          <w:sz w:val="22"/>
          <w:szCs w:val="22"/>
          <w:color w:val="auto"/>
        </w:rPr>
      </w:pPr>
    </w:p>
    <w:p>
      <w:pPr>
        <w:jc w:val="both"/>
        <w:ind w:left="1300" w:hanging="320"/>
        <w:spacing w:after="0" w:line="241" w:lineRule="auto"/>
        <w:tabs>
          <w:tab w:leader="none" w:pos="132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all of the issued and outstanding common shares of Small Pharma pursuant to a court-approved plan of arrangement."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August 7, 2024, the date of the Interim Financial Statements and Interim MD&amp;A.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August 13, 2024, the Corporation announced that it held a Type B Initial Breakthrough Therapy Meeting with the U.S.</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Food and Drug Administration in Washington, D.C.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38" w:lineRule="auto"/>
        <w:rPr>
          <w:sz w:val="20"/>
          <w:szCs w:val="20"/>
          <w:color w:val="auto"/>
        </w:rPr>
      </w:pPr>
      <w:r>
        <w:rPr>
          <w:rFonts w:ascii="Times New Roman" w:cs="Times New Roman" w:eastAsia="Times New Roman" w:hAnsi="Times New Roman"/>
          <w:sz w:val="22"/>
          <w:szCs w:val="22"/>
          <w:color w:val="auto"/>
        </w:rPr>
        <w:t>On September 19, 2024, the Corporation announced that it expects to report 12-month Phase 2 efficacy data of its proprietary deuterated psilocin program, CYB003, in early Q4 2024. The Corporation further announced its plans to report topline safety and efficacy results at year-end 2024 or early Q1 2025 for its proprietary deuterated DMT program, CYB004. The Corporation also announced the appointment of Dr. Atul R. Mahableshwarkar, and Dr. Tom Macek to lead the Corporation's CYB003 and CYB004 programs, respectively.</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October 1, 2024, the Corporation announced the appointment of senior clinical team leaders, Dr. Mirza Rahman as Senior Vice President, Patient Safety &amp; Pharmacovigilance and Dr. Marcelo Gutierrez, Vice President, Clinical Pharmacology, as well as the expansion of its clinical operations team.</w:t>
      </w:r>
    </w:p>
    <w:p>
      <w:pPr>
        <w:spacing w:after="0" w:line="18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 xml:space="preserve">On November 13, 2024, the Corporation announced the initiation of PARADIGM </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its Phase 3 pivotal program evaluating the efficacy and safety of CYB003 for the adjunctive treatment of MDD. This Phase 3 program comprises three pivotal efficacy studies, which are described below.</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1 ("</w:t>
      </w:r>
      <w:r>
        <w:rPr>
          <w:rFonts w:ascii="Times New Roman" w:cs="Times New Roman" w:eastAsia="Times New Roman" w:hAnsi="Times New Roman"/>
          <w:sz w:val="22"/>
          <w:szCs w:val="22"/>
          <w:b w:val="1"/>
          <w:bCs w:val="1"/>
          <w:color w:val="auto"/>
        </w:rPr>
        <w:t>APPROACH</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Participants (n=220) will be randomized 1:1 to receive either 16 mg of CYB003 (n=110) or inactive placebo (n=110). Each study arm will evaluate a two-dose regimen, with doses administered three weeks apart. The study will enroll patients suffering from moderate to severe MDD (Montgomery-Asberg Depression Rating Scale ("</w:t>
      </w:r>
      <w:r>
        <w:rPr>
          <w:rFonts w:ascii="Times New Roman" w:cs="Times New Roman" w:eastAsia="Times New Roman" w:hAnsi="Times New Roman"/>
          <w:sz w:val="22"/>
          <w:szCs w:val="22"/>
          <w:b w:val="1"/>
          <w:bCs w:val="1"/>
          <w:color w:val="auto"/>
        </w:rPr>
        <w:t>MADRS</w:t>
      </w:r>
      <w:r>
        <w:rPr>
          <w:rFonts w:ascii="Times New Roman" w:cs="Times New Roman" w:eastAsia="Times New Roman" w:hAnsi="Times New Roman"/>
          <w:sz w:val="22"/>
          <w:szCs w:val="22"/>
          <w:color w:val="auto"/>
        </w:rPr>
        <w:t>") ≥24) who are on a stable dose of antidepressant medication but are responding inadequately.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-574675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The primary endpoint will be change in depressive symptoms as measured by change in MADRS from baseline at six weeks after the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-280035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APPROACH will enroll participants at 36 clinical sites across the U.S. and Europe. The first pivotal study APPROACH has been initiated, with topline results expected in 2026.</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2 ("</w:t>
      </w:r>
      <w:r>
        <w:rPr>
          <w:rFonts w:ascii="Times New Roman" w:cs="Times New Roman" w:eastAsia="Times New Roman" w:hAnsi="Times New Roman"/>
          <w:sz w:val="22"/>
          <w:szCs w:val="22"/>
          <w:b w:val="1"/>
          <w:bCs w:val="1"/>
          <w:color w:val="auto"/>
        </w:rPr>
        <w:t>EMBRACE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-574675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The primary endpoint will be change in depressive symptoms as measured by change in MADRS from baseline at six weeks after the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-280035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EMBRACE is expected to enroll at 48 clinical sites, with minimal site overlap with the APPROACH study. The second pivotal study EMBRACE is expected to begin in the first half of 2025.</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3 ("</w:t>
      </w:r>
      <w:r>
        <w:rPr>
          <w:rFonts w:ascii="Times New Roman" w:cs="Times New Roman" w:eastAsia="Times New Roman" w:hAnsi="Times New Roman"/>
          <w:sz w:val="22"/>
          <w:szCs w:val="22"/>
          <w:b w:val="1"/>
          <w:bCs w:val="1"/>
          <w:color w:val="auto"/>
        </w:rPr>
        <w:t>EXTEND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21"/>
          <w:szCs w:val="21"/>
          <w:color w:val="auto"/>
        </w:rPr>
        <w:t>Participants from APPROACH and EMBRACE will roll over into EXTEND (up to n=550)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-736600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November 18, 2024, the Corporation announced 12-month efficacy data from its Phase 2 study of CYB003, which is described below:</w:t>
      </w:r>
    </w:p>
    <w:p>
      <w:pPr>
        <w:spacing w:after="0" w:line="158"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21"/>
          <w:szCs w:val="21"/>
          <w:u w:val="single" w:color="auto"/>
          <w:color w:val="auto"/>
        </w:rPr>
        <w:t>Summary of 12-Month Efficacy Data for CYB003 16 mg</w:t>
      </w:r>
    </w:p>
    <w:p>
      <w:pPr>
        <w:spacing w:after="0" w:line="218"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146050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6" w:name="page7"/>
    <w:bookmarkEnd w:id="6"/>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Eight participants completed the 12-month follow-up of which seven received two doses (active-active) of 16 mg and one received a single dose of 16 mg (placebo - active). The mean change from baseline in MADRS was approximately 23 points after two doses of 16 mg (n=7). The mean change from baseline MADRS was 32 points across the 12 mg and 16 mg dosing arms. 100% of participants receiving two doses of 16 mg were responders and 71% of participants receiving two doses of 16 mg were in remission. The two participants in the 16 mg dosing arm that were responders (≥50% reduction in MADRS score) but not remitters had MADRS scores of 11; remission is defined as MADRS total score ≤10.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Summary of 12-Month Efficacy Data for CYB003 12 mg</w:t>
      </w:r>
    </w:p>
    <w:p>
      <w:pPr>
        <w:spacing w:after="0" w:line="20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Thirteen participants completed the 12-month follow-up of which ten received two doses (active-active) of 12 mg and three received a single dose of 12 mg (placebo - active). The mean change from baseline in MADRS was approximately 18 points after two doses of 12 mg (n=10). 60% of participants receiving two doses of 12 mg were responders and 50% of participants receiving two doses of 12 mg were in remission.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Up to two thirds of MDD patients do not achieve remission with first-line antidepressants, which have defined the current</w:t>
      </w:r>
    </w:p>
    <w:p>
      <w:pPr>
        <w:spacing w:after="0" w:line="31" w:lineRule="exact"/>
        <w:rPr>
          <w:sz w:val="20"/>
          <w:szCs w:val="20"/>
          <w:color w:val="auto"/>
        </w:rPr>
      </w:pPr>
    </w:p>
    <w:p>
      <w:pPr>
        <w:jc w:val="both"/>
        <w:ind w:left="660"/>
        <w:spacing w:after="0" w:line="197" w:lineRule="auto"/>
        <w:rPr>
          <w:sz w:val="20"/>
          <w:szCs w:val="20"/>
          <w:color w:val="auto"/>
        </w:rPr>
      </w:pPr>
      <w:r>
        <w:rPr>
          <w:rFonts w:ascii="Times New Roman" w:cs="Times New Roman" w:eastAsia="Times New Roman" w:hAnsi="Times New Roman"/>
          <w:sz w:val="22"/>
          <w:szCs w:val="22"/>
          <w:color w:val="auto"/>
        </w:rPr>
        <w:t>treatment standard.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CYB003 may provide the opportunity to pivot away from the chronic, daily treatments that often only offer symptomatic relief, and move towards more patient-friendly infrequent, long-lasting therapeutics for MDD</w:t>
      </w:r>
    </w:p>
    <w:p>
      <w:pPr>
        <w:spacing w:after="0" w:line="2"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1"/>
          <w:szCs w:val="21"/>
          <w:color w:val="auto"/>
        </w:rPr>
        <w:t>patients who do not achieve remission with existing treatments.</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Current intermittent treatments like esketamine, ECT and TMS require on average up to 36 outpatient visits per treatment cycle, burdening both patients and treatment centers. In comparison, CYB003's two doses per treatment cycle have the potential to free up capacity for new patients and</w:t>
      </w:r>
    </w:p>
    <w:p>
      <w:pPr>
        <w:ind w:left="660"/>
        <w:spacing w:after="0"/>
        <w:rPr>
          <w:sz w:val="20"/>
          <w:szCs w:val="20"/>
          <w:color w:val="auto"/>
        </w:rPr>
      </w:pPr>
      <w:r>
        <w:rPr>
          <w:rFonts w:ascii="Times New Roman" w:cs="Times New Roman" w:eastAsia="Times New Roman" w:hAnsi="Times New Roman"/>
          <w:sz w:val="22"/>
          <w:szCs w:val="22"/>
          <w:color w:val="auto"/>
        </w:rPr>
        <w:t>improve accessibility to treatment.</w:t>
      </w:r>
      <w:r>
        <w:rPr>
          <w:rFonts w:ascii="Times New Roman" w:cs="Times New Roman" w:eastAsia="Times New Roman" w:hAnsi="Times New Roman"/>
          <w:sz w:val="35"/>
          <w:szCs w:val="35"/>
          <w:color w:val="auto"/>
          <w:vertAlign w:val="superscript"/>
        </w:rPr>
        <w:t>3</w:t>
      </w:r>
    </w:p>
    <w:p>
      <w:pPr>
        <w:spacing w:after="0" w:line="81"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CYB003 has demonstrated an excellent safety profile, with no new adverse events reported in the 12-month follow up, including no reports of suicidality."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20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1"/>
          <w:szCs w:val="21"/>
          <w:i w:val="1"/>
          <w:iCs w:val="1"/>
          <w:color w:val="auto"/>
        </w:rPr>
        <w:t>"Risk Factors - Risks Related to an Offering - Discretion over the Use of Proceeds"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w:t>
      </w:r>
    </w:p>
    <w:p>
      <w:pPr>
        <w:spacing w:after="0" w:line="44" w:lineRule="exact"/>
        <w:rPr>
          <w:sz w:val="20"/>
          <w:szCs w:val="20"/>
          <w:color w:val="auto"/>
        </w:rPr>
      </w:pPr>
    </w:p>
    <w:p>
      <w:pPr>
        <w:jc w:val="both"/>
        <w:ind w:firstLine="8"/>
        <w:spacing w:after="0" w:line="220" w:lineRule="auto"/>
        <w:tabs>
          <w:tab w:leader="none" w:pos="1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line="200"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11" w:right="339" w:bottom="1440" w:gutter="0" w:footer="0" w:header="0"/>
        </w:sectPr>
      </w:pP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 w:name="page8"/>
    <w:bookmarkEnd w:id="7"/>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As at January 6, 2025, the Corporation has approximately $136,247,000 in cash. As at January 6, 2025, the Corporation anticipates that it will require approximately $113,500,000 to continue operations over the next 12 months, including funding for the achievement of the next significant milestone under the Corporation's Deuterated Psilocin Program (CYB003) and the Deuterated Dimethyltryptamine Program (CYB004).</w:t>
      </w:r>
    </w:p>
    <w:p>
      <w:pPr>
        <w:spacing w:after="0" w:line="180"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560" w:type="dxa"/>
            <w:vAlign w:val="bottom"/>
            <w:gridSpan w:val="2"/>
          </w:tcPr>
          <w:p>
            <w:pPr>
              <w:jc w:val="center"/>
              <w:ind w:right="2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gridSpan w:val="2"/>
            <w:vMerge w:val="continue"/>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960" w:type="dxa"/>
            <w:vAlign w:val="bottom"/>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50"/>
        </w:trPr>
        <w:tc>
          <w:tcPr>
            <w:tcW w:w="7460" w:type="dxa"/>
            <w:vAlign w:val="bottom"/>
            <w:tcBorders>
              <w:top w:val="single" w:sz="8" w:color="auto"/>
            </w:tcBorders>
            <w:shd w:val="clear" w:color="auto" w:fill="E6EFFF"/>
          </w:tcPr>
          <w:p>
            <w:pPr>
              <w:spacing w:after="0" w:line="250"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8"/>
                <w:szCs w:val="28"/>
                <w:color w:val="auto"/>
                <w:vertAlign w:val="superscript"/>
              </w:rPr>
              <w:t>(5)</w:t>
            </w:r>
          </w:p>
        </w:tc>
        <w:tc>
          <w:tcPr>
            <w:tcW w:w="260" w:type="dxa"/>
            <w:vAlign w:val="bottom"/>
            <w:tcBorders>
              <w:top w:val="single" w:sz="8" w:color="E6EFFF"/>
            </w:tcBorders>
            <w:shd w:val="clear" w:color="auto" w:fill="E6EFFF"/>
          </w:tcPr>
          <w:p>
            <w:pPr>
              <w:spacing w:after="0"/>
              <w:rPr>
                <w:sz w:val="21"/>
                <w:szCs w:val="21"/>
                <w:color w:val="auto"/>
              </w:rPr>
            </w:pPr>
          </w:p>
        </w:tc>
        <w:tc>
          <w:tcPr>
            <w:tcW w:w="1340" w:type="dxa"/>
            <w:vAlign w:val="bottom"/>
            <w:tcBorders>
              <w:top w:val="single" w:sz="8" w:color="auto"/>
            </w:tcBorders>
            <w:shd w:val="clear" w:color="auto" w:fill="E6EFFF"/>
          </w:tcPr>
          <w:p>
            <w:pPr>
              <w:spacing w:after="0"/>
              <w:rPr>
                <w:sz w:val="21"/>
                <w:szCs w:val="21"/>
                <w:color w:val="auto"/>
              </w:rPr>
            </w:pPr>
          </w:p>
        </w:tc>
        <w:tc>
          <w:tcPr>
            <w:tcW w:w="220" w:type="dxa"/>
            <w:vAlign w:val="bottom"/>
            <w:tcBorders>
              <w:top w:val="single" w:sz="8" w:color="E6EFFF"/>
            </w:tcBorders>
            <w:shd w:val="clear" w:color="auto" w:fill="E6EFFF"/>
          </w:tcPr>
          <w:p>
            <w:pPr>
              <w:spacing w:after="0"/>
              <w:rPr>
                <w:sz w:val="21"/>
                <w:szCs w:val="21"/>
                <w:color w:val="auto"/>
              </w:rPr>
            </w:pPr>
          </w:p>
        </w:tc>
        <w:tc>
          <w:tcPr>
            <w:tcW w:w="1960" w:type="dxa"/>
            <w:vAlign w:val="bottom"/>
            <w:tcBorders>
              <w:top w:val="single" w:sz="8" w:color="auto"/>
            </w:tcBorders>
            <w:shd w:val="clear" w:color="auto" w:fill="E6E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Progression of Phase 3 APPROACH studies in MDD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19,720,000</w:t>
            </w:r>
          </w:p>
        </w:tc>
        <w:tc>
          <w:tcPr>
            <w:tcW w:w="22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Q4 2025</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96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Provide topline safety and efficacy data from Phase 2 GAD study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4,333,000</w:t>
            </w:r>
          </w:p>
        </w:tc>
        <w:tc>
          <w:tcPr>
            <w:tcW w:w="22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Q2 2025</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96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Complete preclinical development of phenethylamine drug candidate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35,000</w:t>
            </w:r>
          </w:p>
        </w:tc>
        <w:tc>
          <w:tcPr>
            <w:tcW w:w="220" w:type="dxa"/>
            <w:vAlign w:val="bottom"/>
          </w:tcPr>
          <w:p>
            <w:pPr>
              <w:spacing w:after="0"/>
              <w:rPr>
                <w:sz w:val="22"/>
                <w:szCs w:val="22"/>
                <w:color w:val="auto"/>
              </w:rPr>
            </w:pPr>
          </w:p>
        </w:tc>
        <w:tc>
          <w:tcPr>
            <w:tcW w:w="1960" w:type="dxa"/>
            <w:vAlign w:val="bottom"/>
          </w:tcPr>
          <w:p>
            <w:pPr>
              <w:jc w:val="center"/>
              <w:ind w:right="30"/>
              <w:spacing w:after="0" w:line="256" w:lineRule="exact"/>
              <w:rPr>
                <w:sz w:val="20"/>
                <w:szCs w:val="20"/>
                <w:color w:val="auto"/>
              </w:rPr>
            </w:pPr>
            <w:r>
              <w:rPr>
                <w:rFonts w:ascii="Times New Roman" w:cs="Times New Roman" w:eastAsia="Times New Roman" w:hAnsi="Times New Roman"/>
                <w:sz w:val="18"/>
                <w:szCs w:val="18"/>
                <w:color w:val="auto"/>
                <w:w w:val="94"/>
              </w:rPr>
              <w:t>Q1 2026</w:t>
            </w:r>
            <w:r>
              <w:rPr>
                <w:rFonts w:ascii="Times New Roman" w:cs="Times New Roman" w:eastAsia="Times New Roman" w:hAnsi="Times New Roman"/>
                <w:sz w:val="29"/>
                <w:szCs w:val="29"/>
                <w:color w:val="auto"/>
                <w:w w:val="94"/>
                <w:vertAlign w:val="superscript"/>
              </w:rPr>
              <w:t>(7)</w:t>
            </w:r>
          </w:p>
        </w:tc>
        <w:tc>
          <w:tcPr>
            <w:tcW w:w="0" w:type="dxa"/>
            <w:vAlign w:val="bottom"/>
          </w:tcPr>
          <w:p>
            <w:pPr>
              <w:spacing w:after="0"/>
              <w:rPr>
                <w:sz w:val="1"/>
                <w:szCs w:val="1"/>
                <w:color w:val="auto"/>
              </w:rPr>
            </w:pPr>
          </w:p>
        </w:tc>
      </w:tr>
      <w:tr>
        <w:trPr>
          <w:trHeight w:val="257"/>
        </w:trPr>
        <w:tc>
          <w:tcPr>
            <w:tcW w:w="7720" w:type="dxa"/>
            <w:vAlign w:val="bottom"/>
            <w:gridSpan w:val="2"/>
            <w:shd w:val="clear" w:color="auto" w:fill="E6EFFF"/>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112,159,000</w:t>
            </w:r>
          </w:p>
        </w:tc>
        <w:tc>
          <w:tcPr>
            <w:tcW w:w="220" w:type="dxa"/>
            <w:vAlign w:val="bottom"/>
            <w:shd w:val="clear" w:color="auto" w:fill="E6EFFF"/>
          </w:tcPr>
          <w:p>
            <w:pPr>
              <w:spacing w:after="0"/>
              <w:rPr>
                <w:sz w:val="22"/>
                <w:szCs w:val="22"/>
                <w:color w:val="auto"/>
              </w:rPr>
            </w:pPr>
          </w:p>
        </w:tc>
        <w:tc>
          <w:tcPr>
            <w:tcW w:w="1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8"/>
        </w:trPr>
        <w:tc>
          <w:tcPr>
            <w:tcW w:w="772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136,247,000</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jc w:val="both"/>
        <w:ind w:left="440" w:hanging="432"/>
        <w:spacing w:after="0" w:line="238" w:lineRule="auto"/>
        <w:tabs>
          <w:tab w:leader="none" w:pos="47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480" w:hanging="472"/>
        <w:spacing w:after="0" w:line="230" w:lineRule="auto"/>
        <w:tabs>
          <w:tab w:leader="none" w:pos="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1.37:1.</w:t>
      </w:r>
    </w:p>
    <w:p>
      <w:pPr>
        <w:ind w:left="480" w:hanging="472"/>
        <w:spacing w:after="0" w:line="230" w:lineRule="auto"/>
        <w:tabs>
          <w:tab w:leader="none" w:pos="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440" w:hanging="432"/>
        <w:spacing w:after="0" w:line="230" w:lineRule="auto"/>
        <w:tabs>
          <w:tab w:leader="none" w:pos="47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42" w:lineRule="auto"/>
        <w:tabs>
          <w:tab w:leader="none" w:pos="47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37 clinical sites, with minimal site overlap with the planned EMBRACE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Company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08"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 w:name="page9"/>
    <w:bookmarkEnd w:id="8"/>
    <w:p>
      <w:pPr>
        <w:jc w:val="both"/>
        <w:ind w:left="440" w:hanging="432"/>
        <w:spacing w:after="0" w:line="236" w:lineRule="auto"/>
        <w:tabs>
          <w:tab w:leader="none" w:pos="47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34" w:lineRule="auto"/>
        <w:tabs>
          <w:tab w:leader="none" w:pos="47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Q4 2024. Due to the Corporation prioritizing the progression of its Deuterated Psilocybin Analog Program and Deuterated Dimethyltryptamine Program, it now expects to complete preclinical development of a phenethylamine drug candidate in Q1 2026.</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January 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$136,247,000.</w:t>
      </w:r>
    </w:p>
    <w:p>
      <w:pPr>
        <w:spacing w:after="0" w:line="16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C$411,000,000 in gross proceeds through private placement and prospectus offerings. The Corporation has experienced operating losses and cash outflows from operations since incorporation and will require ongoing financing to continue its research and development activates.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Negative Operating Cash Flow and Going Concern".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59" w:lineRule="auto"/>
        <w:rPr>
          <w:sz w:val="20"/>
          <w:szCs w:val="20"/>
          <w:color w:val="auto"/>
        </w:rPr>
      </w:pPr>
      <w:r>
        <w:rPr>
          <w:rFonts w:ascii="Times New Roman" w:cs="Times New Roman" w:eastAsia="Times New Roman" w:hAnsi="Times New Roman"/>
          <w:sz w:val="22"/>
          <w:szCs w:val="22"/>
          <w:color w:val="auto"/>
        </w:rPr>
        <w:t>The Prospectus is further amended by deleting all references to "Deuterated Psilocybin Analog Program" and replacing it with "Deuterated Psilocin Program".</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January 6, 2025,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a registration statement of which this Prospectus forms a part,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Amendment No. 2 dated April 8, 2024 to the Short Form Base Shelf Prospectus dated August 17, 2023, as amended by Amendment No. 1 dated December 22, 2023</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Amendment No. 1 dated December 22, 2023, and as further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Amendment No. 1 dated December 22, 2023, and as further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Amendment No. 1 dated December 22, 2023, and as further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05890" cy="840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short form base shelf prospectus dated August 17, 2023, as amended by Amendment No. 1 dated December 22, 2023 (collectively,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of Cybin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is hereby amended by this Amendment No. 2 to provide that the securities that may be offered and issued thereunder will include distributions by various selling securityholders. Capitalized terms used but not otherwise defined in this Amendment No. 2 have the meanings ascribed thereto in the Prospectus.</w:t>
      </w:r>
    </w:p>
    <w:p>
      <w:pPr>
        <w:spacing w:after="0" w:line="16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2.</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paragraph of the text on the face page of the Prospectus, as so amended, is deleted and replaced with the following:</w:t>
      </w:r>
    </w:p>
    <w:p>
      <w:pPr>
        <w:spacing w:after="0" w:line="202"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"Selling Securityholders"."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second, third and fourth paragraphs on page ii of the Prospectus, and replacing with the following:</w:t>
      </w:r>
    </w:p>
    <w:p>
      <w:pPr>
        <w:spacing w:after="0" w:line="158"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ectPr>
          <w:pgSz w:w="11900" w:h="16838" w:orient="portrait"/>
          <w:cols w:equalWidth="0" w:num="1">
            <w:col w:w="11240"/>
          </w:cols>
          <w:pgMar w:left="320" w:top="108" w:right="339" w:bottom="63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634" w:gutter="0" w:footer="0" w:header="0"/>
          <w:type w:val="continuous"/>
        </w:sectPr>
      </w:pPr>
    </w:p>
    <w:bookmarkStart w:id="12" w:name="page13"/>
    <w:bookmarkEnd w:id="12"/>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84"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Distributions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right="20" w:hanging="428"/>
        <w:spacing w:after="0" w:line="262" w:lineRule="auto"/>
        <w:tabs>
          <w:tab w:leader="none" w:pos="132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428"/>
        <w:spacing w:after="0" w:line="258" w:lineRule="auto"/>
        <w:tabs>
          <w:tab w:leader="none" w:pos="132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ind w:left="468" w:hanging="468"/>
        <w:spacing w:after="0"/>
        <w:tabs>
          <w:tab w:leader="none" w:pos="46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nine months ended December 31,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28" w:right="20" w:hanging="428"/>
        <w:spacing w:after="0" w:line="258" w:lineRule="auto"/>
        <w:tabs>
          <w:tab w:leader="none" w:pos="4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nine months ended December 31,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58" w:lineRule="exact"/>
        <w:rPr>
          <w:rFonts w:ascii="Times New Roman" w:cs="Times New Roman" w:eastAsia="Times New Roman" w:hAnsi="Times New Roman"/>
          <w:sz w:val="22"/>
          <w:szCs w:val="22"/>
          <w:color w:val="auto"/>
        </w:rPr>
      </w:pPr>
    </w:p>
    <w:p>
      <w:pPr>
        <w:jc w:val="both"/>
        <w:ind w:left="428" w:hanging="428"/>
        <w:spacing w:after="0" w:line="238" w:lineRule="auto"/>
        <w:tabs>
          <w:tab w:leader="none" w:pos="4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73" w:lineRule="exact"/>
        <w:rPr>
          <w:rFonts w:ascii="Times New Roman" w:cs="Times New Roman" w:eastAsia="Times New Roman" w:hAnsi="Times New Roman"/>
          <w:sz w:val="22"/>
          <w:szCs w:val="22"/>
          <w:color w:val="auto"/>
        </w:rPr>
      </w:pPr>
    </w:p>
    <w:p>
      <w:pPr>
        <w:jc w:val="both"/>
        <w:ind w:left="428" w:hanging="428"/>
        <w:spacing w:after="0" w:line="239" w:lineRule="auto"/>
        <w:tabs>
          <w:tab w:leader="none" w:pos="4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80"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428" w:hanging="428"/>
        <w:spacing w:after="0" w:line="241" w:lineRule="auto"/>
        <w:tabs>
          <w:tab w:leader="none" w:pos="47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October 25, 2023 with respect to the closing of the Arrangement with Small Pharma;</w:t>
      </w:r>
    </w:p>
    <w:p>
      <w:pPr>
        <w:spacing w:after="0" w:line="217" w:lineRule="exact"/>
        <w:rPr>
          <w:rFonts w:ascii="Times New Roman" w:cs="Times New Roman" w:eastAsia="Times New Roman" w:hAnsi="Times New Roman"/>
          <w:sz w:val="21"/>
          <w:szCs w:val="21"/>
          <w:color w:val="auto"/>
        </w:rPr>
      </w:pPr>
    </w:p>
    <w:p>
      <w:pPr>
        <w:jc w:val="both"/>
        <w:ind w:left="428" w:right="20" w:hanging="428"/>
        <w:spacing w:after="0" w:line="244" w:lineRule="auto"/>
        <w:tabs>
          <w:tab w:leader="none" w:pos="47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w:t>
      </w:r>
    </w:p>
    <w:p>
      <w:pPr>
        <w:spacing w:after="0" w:line="173"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March 21, 2024 relating to the private placement offering of 348,837,210 Common Shares of the Corporation at a price of US$0.43 per Common Share for gross proceeds of US150,000,000, before deducting fees and expenses related to the offering (the "</w:t>
      </w: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206"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146050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368"/>
          </w:cols>
          <w:pgMar w:left="1192" w:top="112" w:right="339" w:bottom="1440" w:gutter="0" w:footer="0" w:header="0"/>
        </w:sectPr>
      </w:pPr>
    </w:p>
    <w:bookmarkStart w:id="14" w:name="page15"/>
    <w:bookmarkEnd w:id="14"/>
    <w:p>
      <w:pPr>
        <w:spacing w:after="0" w:line="259"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February 13, 2024, the date of the Interim Financial Statements and Interim MD&amp;A.</w:t>
      </w:r>
    </w:p>
    <w:p>
      <w:pPr>
        <w:spacing w:after="0" w:line="17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13, 2024, the Corporation announced that the FDA has granted Breakthrough Therapy Designation to CYB003, the Corporation's proprietary deuterated psilocybin analog in development for the adjunctive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14, 2024, the Corporation announced a positive End-of-Phase 2 meeting with the FDA for CYB003.</w:t>
      </w:r>
    </w:p>
    <w:p>
      <w:pPr>
        <w:spacing w:after="0" w:line="20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15, 2024, the Corporation announced the initiation of a Phase 2 proof-of-concept study of CYB004, its proprietary DMT molecule in development for the treatment of Generalized Anxiety Disorder. In January 2024, the FDA cleared Cybin's Investigational New Drug application for CYB004.</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19, 2024, the Corporation announced the closing of the Private Placement."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first paragraph under the section titled "Use of Proceeds" and replacing it with the following:</w:t>
      </w:r>
    </w:p>
    <w:p>
      <w:pPr>
        <w:spacing w:after="0" w:line="15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section title and accompanying text directly under the section titled "Use of Proceeds":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21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The Prospectus may also from time to time, relate to the Offering of Securities by way of a secondary offering (each, a "</w:t>
      </w:r>
      <w:r>
        <w:rPr>
          <w:rFonts w:ascii="Times New Roman" w:cs="Times New Roman" w:eastAsia="Times New Roman" w:hAnsi="Times New Roman"/>
          <w:sz w:val="21"/>
          <w:szCs w:val="21"/>
          <w:b w:val="1"/>
          <w:bCs w:val="1"/>
          <w:color w:val="auto"/>
        </w:rPr>
        <w:t>Secondary Offering</w:t>
      </w:r>
      <w:r>
        <w:rPr>
          <w:rFonts w:ascii="Times New Roman" w:cs="Times New Roman" w:eastAsia="Times New Roman" w:hAnsi="Times New Roman"/>
          <w:sz w:val="21"/>
          <w:szCs w:val="21"/>
          <w:color w:val="auto"/>
        </w:rPr>
        <w:t>")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w:t>
      </w:r>
    </w:p>
    <w:p>
      <w:pPr>
        <w:spacing w:after="0" w:line="3" w:lineRule="exact"/>
        <w:rPr>
          <w:sz w:val="20"/>
          <w:szCs w:val="20"/>
          <w:color w:val="auto"/>
        </w:rPr>
      </w:pPr>
    </w:p>
    <w:p>
      <w:pPr>
        <w:jc w:val="both"/>
        <w:ind w:left="660" w:hanging="4"/>
        <w:spacing w:after="0" w:line="231" w:lineRule="auto"/>
        <w:tabs>
          <w:tab w:leader="none" w:pos="105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"Plan of Distribution" and replacing it with the following: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$400,000,000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77"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Shareholders may sell Securities to or through underwriters or dealers purchasing as principals and may also sell Securities to one or more purchasers directly, through statutory exemptions, or through agents designated from time to time.</w:t>
      </w:r>
    </w:p>
    <w:p>
      <w:pPr>
        <w:spacing w:after="0" w:line="181"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8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ectPr>
          <w:pgSz w:w="11900" w:h="16838" w:orient="portrait"/>
          <w:cols w:equalWidth="0" w:num="1">
            <w:col w:w="11240"/>
          </w:cols>
          <w:pgMar w:left="320" w:top="112"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 w:name="page17"/>
    <w:bookmarkEnd w:id="16"/>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8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December 22,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has filed with the SEC an appointment of agent for service of process on Form F-X relating to the registration statement of which this Prospectus forms a part.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dated December 22, 2023 to the Short Form Base Shelf Prospectus dated August 17, 2023</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obtained on request without charge from the Secretary of Cybin Inc. at 100 King Street West, Suite 5600, Toronto, Ontario M5X 1C9, telephone 1-866-292-4601, and are also available electronically at www.sedarplus.ca.</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147955</wp:posOffset>
            </wp:positionV>
            <wp:extent cx="1517015" cy="986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0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short form base shelf prospectus dated August 17, 2023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1 to increase the aggregate amount of Securities that may be offered from time to time under the Prospectus from $160,000,000 to $400,000,000. Capitalized terms used but not otherwise defined in this Amendment No. 1 have the meanings ascribed thereto in the Prospectus.</w:t>
      </w:r>
    </w:p>
    <w:p>
      <w:pPr>
        <w:spacing w:after="0" w:line="1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9" w:name="page20"/>
    <w:bookmarkEnd w:id="19"/>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1.</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"$160,000,000" contained on the face page of the Prospectus and substituting "$400,000,000" therefor. The first paragraph of the text on the face page of the Prospectus, as so amended, is deleted and replaced with the following:</w:t>
      </w:r>
    </w:p>
    <w:p>
      <w:pPr>
        <w:spacing w:after="0" w:line="169"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"$160,000,000" contained in the first sentence of the first paragraph under the heading "Plan of Distribution" on page 28, so that such sentence, as so amended, reads as follows:</w:t>
      </w:r>
    </w:p>
    <w:p>
      <w:pPr>
        <w:spacing w:after="0" w:line="158" w:lineRule="exact"/>
        <w:rPr>
          <w:sz w:val="20"/>
          <w:szCs w:val="20"/>
          <w:color w:val="auto"/>
        </w:rPr>
      </w:pPr>
    </w:p>
    <w:p>
      <w:pPr>
        <w:jc w:val="both"/>
        <w:ind w:left="660" w:right="20"/>
        <w:spacing w:after="0" w:line="244" w:lineRule="auto"/>
        <w:rPr>
          <w:sz w:val="20"/>
          <w:szCs w:val="20"/>
          <w:color w:val="auto"/>
        </w:rPr>
      </w:pPr>
      <w:r>
        <w:rPr>
          <w:rFonts w:ascii="Times New Roman" w:cs="Times New Roman" w:eastAsia="Times New Roman" w:hAnsi="Times New Roman"/>
          <w:sz w:val="22"/>
          <w:szCs w:val="22"/>
          <w:color w:val="auto"/>
        </w:rPr>
        <w:t>"The Corporation may from time to time during the 25-month period commencing on August 17, 2023, that this Prospectus, including any amendments and supplements hereto, remains valid, offer for sale and sell up to an aggregate of $400,000,000 in Securities hereunder."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color w:val="auto"/>
        </w:rPr>
        <w:t>The Prospectus is further amended by deleting the third paragraph on page iv of the Prospectus, and replacing with the following:</w:t>
      </w:r>
    </w:p>
    <w:p>
      <w:pPr>
        <w:spacing w:after="0" w:line="21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“Douglas Drysdale, an officer of the Corporation, and George Tziras, a director and officer of the Corporation, each reside outside of Canada. They have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1"/>
          <w:szCs w:val="21"/>
          <w:i w:val="1"/>
          <w:iCs w:val="1"/>
          <w:color w:val="auto"/>
        </w:rPr>
        <w:t>“Risk Factors – Risks Related to an Offering – Enforcement of Civil Liabilities”.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hanging="320"/>
        <w:spacing w:after="0" w:line="262" w:lineRule="auto"/>
        <w:tabs>
          <w:tab w:leader="none" w:pos="13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58"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58"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3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80"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4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1300" w:hanging="320"/>
        <w:spacing w:after="0" w:line="241" w:lineRule="auto"/>
        <w:tabs>
          <w:tab w:leader="none" w:pos="134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October 25, 2023 with respect to the closing of the Arrangement with Small Pharma;</w:t>
      </w:r>
    </w:p>
    <w:p>
      <w:pPr>
        <w:sectPr>
          <w:pgSz w:w="11900" w:h="16838" w:orient="portrait"/>
          <w:cols w:equalWidth="0" w:num="1">
            <w:col w:w="11240"/>
          </w:cols>
          <w:pgMar w:left="320" w:top="11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1" w:name="page22"/>
    <w:bookmarkEnd w:id="21"/>
    <w:p>
      <w:pPr>
        <w:jc w:val="both"/>
        <w:ind w:left="1300" w:right="20" w:hanging="320"/>
        <w:spacing w:after="0" w:line="244" w:lineRule="auto"/>
        <w:tabs>
          <w:tab w:leader="none" w:pos="134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 and</w:t>
      </w:r>
    </w:p>
    <w:p>
      <w:pPr>
        <w:spacing w:after="0" w:line="173"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November 14, 2023, the date of the Interim Financial Statements and Interim MD&amp;A.</w:t>
      </w:r>
    </w:p>
    <w:p>
      <w:pPr>
        <w:spacing w:after="0" w:line="17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On November 30, 2023, the Corporation announced positive Phase 2 topline safety and efficacy data for CYB0003, its proprietary deuterated psilocybin analog, being developed for the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On December 6, 2023, the Corporation announced that the United States Patent and Trademark Office had granted U.S. patent 11,834,410 in support of its CYB003 program. The patent, which is expected to provide exclusivity until at least 2041, includes composition of matter claims to pharmaceutical compositions within the Corporation’s proprietary deuterated psilocybin analog program, CYB003, as well as claims directed toward the therapeutic treatment of MDD, treatment-resistant depression, and alcohol use disorder.”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206"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1"/>
          <w:szCs w:val="21"/>
          <w:i w:val="1"/>
          <w:iCs w:val="1"/>
          <w:color w:val="auto"/>
        </w:rPr>
        <w:t>“Risk Factors – Risks Related to an Offering – Discretion over the Use of Proceeds”</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As at December 21, 2023, the Corporation had cash resources, being cash and an HST receivable, of approximately $39,290,000. As at December 21, 2023, the Corporation anticipates that it will require approximately $39,290,000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7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tbl>
      <w:tblPr>
        <w:tblLayout w:type="fixed"/>
        <w:tblInd w:w="32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12 Month Use</w:t>
            </w:r>
          </w:p>
        </w:tc>
        <w:tc>
          <w:tcPr>
            <w:tcW w:w="19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0" w:type="dxa"/>
            <w:vAlign w:val="bottom"/>
          </w:tcPr>
          <w:p>
            <w:pPr>
              <w:spacing w:after="0"/>
              <w:rPr>
                <w:sz w:val="1"/>
                <w:szCs w:val="1"/>
                <w:color w:val="auto"/>
              </w:rPr>
            </w:pPr>
          </w:p>
        </w:tc>
      </w:tr>
      <w:tr>
        <w:trPr>
          <w:trHeight w:val="225"/>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88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6"/>
                <w:szCs w:val="26"/>
                <w:b w:val="1"/>
                <w:bCs w:val="1"/>
                <w:color w:val="auto"/>
                <w:vertAlign w:val="superscript"/>
              </w:rPr>
              <w:t>(2)(3)</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Timeline for</w:t>
            </w:r>
          </w:p>
        </w:tc>
        <w:tc>
          <w:tcPr>
            <w:tcW w:w="0" w:type="dxa"/>
            <w:vAlign w:val="bottom"/>
          </w:tcPr>
          <w:p>
            <w:pPr>
              <w:spacing w:after="0"/>
              <w:rPr>
                <w:sz w:val="1"/>
                <w:szCs w:val="1"/>
                <w:color w:val="auto"/>
              </w:rPr>
            </w:pPr>
          </w:p>
        </w:tc>
      </w:tr>
      <w:tr>
        <w:trPr>
          <w:trHeight w:val="270"/>
        </w:trPr>
        <w:tc>
          <w:tcPr>
            <w:tcW w:w="5740" w:type="dxa"/>
            <w:vAlign w:val="bottom"/>
            <w:vMerge w:val="continue"/>
          </w:tcPr>
          <w:p>
            <w:pPr>
              <w:spacing w:after="0"/>
              <w:rPr>
                <w:sz w:val="23"/>
                <w:szCs w:val="23"/>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3"/>
                <w:szCs w:val="23"/>
                <w:color w:val="auto"/>
              </w:rPr>
            </w:pPr>
          </w:p>
        </w:tc>
        <w:tc>
          <w:tcPr>
            <w:tcW w:w="1900" w:type="dxa"/>
            <w:vAlign w:val="bottom"/>
            <w:gridSpan w:val="3"/>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09"/>
        </w:trPr>
        <w:tc>
          <w:tcPr>
            <w:tcW w:w="574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Psilocybin Analog Program</w:t>
            </w:r>
          </w:p>
        </w:tc>
        <w:tc>
          <w:tcPr>
            <w:tcW w:w="1700" w:type="dxa"/>
            <w:vAlign w:val="bottom"/>
            <w:tcBorders>
              <w:top w:val="single" w:sz="8" w:color="auto"/>
            </w:tcBorders>
            <w:shd w:val="clear" w:color="auto" w:fill="E6EFFF"/>
          </w:tcPr>
          <w:p>
            <w:pPr>
              <w:spacing w:after="0"/>
              <w:rPr>
                <w:sz w:val="18"/>
                <w:szCs w:val="18"/>
                <w:color w:val="auto"/>
              </w:rPr>
            </w:pPr>
          </w:p>
        </w:tc>
        <w:tc>
          <w:tcPr>
            <w:tcW w:w="180" w:type="dxa"/>
            <w:vAlign w:val="bottom"/>
            <w:tcBorders>
              <w:top w:val="single" w:sz="8" w:color="E6EFFF"/>
            </w:tcBorders>
            <w:shd w:val="clear" w:color="auto" w:fill="E6EFFF"/>
          </w:tcPr>
          <w:p>
            <w:pPr>
              <w:spacing w:after="0"/>
              <w:rPr>
                <w:sz w:val="18"/>
                <w:szCs w:val="18"/>
                <w:color w:val="auto"/>
              </w:rPr>
            </w:pPr>
          </w:p>
        </w:tc>
        <w:tc>
          <w:tcPr>
            <w:tcW w:w="1320" w:type="dxa"/>
            <w:vAlign w:val="bottom"/>
            <w:tcBorders>
              <w:top w:val="single" w:sz="8" w:color="auto"/>
            </w:tcBorders>
            <w:shd w:val="clear" w:color="auto" w:fill="E6EFFF"/>
          </w:tcPr>
          <w:p>
            <w:pPr>
              <w:spacing w:after="0"/>
              <w:rPr>
                <w:sz w:val="18"/>
                <w:szCs w:val="18"/>
                <w:color w:val="auto"/>
              </w:rPr>
            </w:pPr>
          </w:p>
        </w:tc>
        <w:tc>
          <w:tcPr>
            <w:tcW w:w="380" w:type="dxa"/>
            <w:vAlign w:val="bottom"/>
            <w:tcBorders>
              <w:top w:val="single" w:sz="8" w:color="auto"/>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Complete Phase 1/2a topline safety and efficacy data readout for CYB003</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MDD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Complete</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Complete FDA submission of Phase 1/2a data</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893,000</w:t>
            </w:r>
          </w:p>
        </w:tc>
        <w:tc>
          <w:tcPr>
            <w:tcW w:w="1900" w:type="dxa"/>
            <w:vAlign w:val="bottom"/>
            <w:gridSpan w:val="3"/>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Complete</w:t>
            </w:r>
          </w:p>
        </w:tc>
        <w:tc>
          <w:tcPr>
            <w:tcW w:w="0" w:type="dxa"/>
            <w:vAlign w:val="bottom"/>
          </w:tcPr>
          <w:p>
            <w:pPr>
              <w:spacing w:after="0"/>
              <w:rPr>
                <w:sz w:val="1"/>
                <w:szCs w:val="1"/>
                <w:color w:val="auto"/>
              </w:rPr>
            </w:pPr>
          </w:p>
        </w:tc>
      </w:tr>
      <w:tr>
        <w:trPr>
          <w:trHeight w:val="256"/>
        </w:trPr>
        <w:tc>
          <w:tcPr>
            <w:tcW w:w="5740" w:type="dxa"/>
            <w:vAlign w:val="bottom"/>
          </w:tcPr>
          <w:p>
            <w:pPr>
              <w:ind w:left="260"/>
              <w:spacing w:after="0" w:line="256" w:lineRule="exact"/>
              <w:rPr>
                <w:sz w:val="20"/>
                <w:szCs w:val="20"/>
                <w:color w:val="auto"/>
              </w:rPr>
            </w:pPr>
            <w:r>
              <w:rPr>
                <w:rFonts w:ascii="Times New Roman" w:cs="Times New Roman" w:eastAsia="Times New Roman" w:hAnsi="Times New Roman"/>
                <w:sz w:val="18"/>
                <w:szCs w:val="18"/>
                <w:color w:val="auto"/>
              </w:rPr>
              <w:t>Phase 2 data assessing durability of effect of CYB003 at 12 weeks</w:t>
            </w:r>
            <w:r>
              <w:rPr>
                <w:rFonts w:ascii="Times New Roman" w:cs="Times New Roman" w:eastAsia="Times New Roman" w:hAnsi="Times New Roman"/>
                <w:sz w:val="29"/>
                <w:szCs w:val="29"/>
                <w:color w:val="auto"/>
                <w:vertAlign w:val="superscript"/>
              </w:rPr>
              <w:t>(5)</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Initiate a Phase 3 study of CYB003 in MDD</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8,940,000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from Phase 1 CYB004-E trial</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215,000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w w:val="92"/>
              </w:rPr>
              <w:t>2024</w:t>
            </w:r>
            <w:r>
              <w:rPr>
                <w:rFonts w:ascii="Times New Roman" w:cs="Times New Roman" w:eastAsia="Times New Roman" w:hAnsi="Times New Roman"/>
                <w:sz w:val="29"/>
                <w:szCs w:val="29"/>
                <w:color w:val="auto"/>
                <w:w w:val="92"/>
                <w:vertAlign w:val="superscript"/>
              </w:rPr>
              <w:t>(6)</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FDA IND submission</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Initiate a Phase 2 proof-of-concept study</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1,239,000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Initiate a subcutaneous formulation study</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170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320" w:type="dxa"/>
            <w:vAlign w:val="bottom"/>
            <w:shd w:val="clear" w:color="auto" w:fill="E6EFFF"/>
          </w:tcPr>
          <w:p>
            <w:pPr>
              <w:spacing w:after="0"/>
              <w:rPr>
                <w:sz w:val="18"/>
                <w:szCs w:val="18"/>
                <w:color w:val="auto"/>
              </w:rPr>
            </w:pP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preclinical development of phenethylamine drug candidate</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w w:val="92"/>
              </w:rPr>
              <w:t>2024</w:t>
            </w:r>
            <w:r>
              <w:rPr>
                <w:rFonts w:ascii="Times New Roman" w:cs="Times New Roman" w:eastAsia="Times New Roman" w:hAnsi="Times New Roman"/>
                <w:sz w:val="29"/>
                <w:szCs w:val="29"/>
                <w:color w:val="auto"/>
                <w:w w:val="92"/>
                <w:vertAlign w:val="superscript"/>
              </w:rPr>
              <w:t>(7)</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Technology Programs</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spacing w:after="0"/>
              <w:rPr>
                <w:sz w:val="18"/>
                <w:szCs w:val="18"/>
                <w:color w:val="auto"/>
              </w:rPr>
            </w:pP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(8)</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27,082,000</w:t>
            </w:r>
          </w:p>
        </w:tc>
        <w:tc>
          <w:tcPr>
            <w:tcW w:w="13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39,290,000</w:t>
            </w:r>
          </w:p>
        </w:tc>
        <w:tc>
          <w:tcPr>
            <w:tcW w:w="1320" w:type="dxa"/>
            <w:vAlign w:val="bottom"/>
            <w:shd w:val="clear" w:color="auto" w:fill="E6EFFF"/>
          </w:tcPr>
          <w:p>
            <w:pPr>
              <w:spacing w:after="0"/>
              <w:rPr>
                <w:sz w:val="18"/>
                <w:szCs w:val="18"/>
                <w:color w:val="auto"/>
              </w:rPr>
            </w:pPr>
          </w:p>
        </w:tc>
        <w:tc>
          <w:tcPr>
            <w:tcW w:w="38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 w:lineRule="exact"/>
        <w:rPr>
          <w:sz w:val="20"/>
          <w:szCs w:val="20"/>
          <w:color w:val="auto"/>
        </w:rPr>
      </w:pPr>
    </w:p>
    <w:p>
      <w:pPr>
        <w:jc w:val="both"/>
        <w:ind w:left="540" w:hanging="332"/>
        <w:spacing w:after="0" w:line="230" w:lineRule="auto"/>
        <w:tabs>
          <w:tab w:leader="none" w:pos="5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ind w:left="560" w:hanging="352"/>
        <w:spacing w:after="0" w:line="230" w:lineRule="auto"/>
        <w:tabs>
          <w:tab w:leader="none" w:pos="5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1.37:1.</w:t>
      </w:r>
    </w:p>
    <w:p>
      <w:pPr>
        <w:ind w:left="540" w:right="20" w:hanging="332"/>
        <w:spacing w:after="0" w:line="230" w:lineRule="auto"/>
        <w:tabs>
          <w:tab w:leader="none" w:pos="5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 as well proceeds from the 2023 ATM Program and August 2023 Prospectus Supplement.</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milestone, being the receipt of Phase 2 data assessing durability of the effect of CYB003 at 12 weeks, is derived from the results of the Corporation’s Phase 1/2a study and, therefore, the Corporation has not allocated additional funds for this milestone.</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Q3/Q4 2023. The Corporation now expects to receive the topline data readout in Q1 2024, due to certain timing issues.</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Q4 2023. Due to the Corporation prioritizing the progression of its Deuterated Psilocybin Analog Program and Deuterated Dimethyltryptamine Program, it now expects to complete preclinical development of a phenethylamine drug candidate in Q1 2024.</w:t>
      </w:r>
    </w:p>
    <w:p>
      <w:pPr>
        <w:spacing w:after="0" w:line="2" w:lineRule="exact"/>
        <w:rPr>
          <w:rFonts w:ascii="Times New Roman" w:cs="Times New Roman" w:eastAsia="Times New Roman" w:hAnsi="Times New Roman"/>
          <w:sz w:val="22"/>
          <w:szCs w:val="22"/>
          <w:color w:val="auto"/>
        </w:rPr>
      </w:pPr>
    </w:p>
    <w:p>
      <w:pPr>
        <w:jc w:val="both"/>
        <w:ind w:left="540" w:hanging="332"/>
        <w:spacing w:after="0" w:line="234" w:lineRule="auto"/>
        <w:tabs>
          <w:tab w:leader="none" w:pos="57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73" w:lineRule="exact"/>
        <w:rPr>
          <w:sz w:val="20"/>
          <w:szCs w:val="20"/>
          <w:color w:val="auto"/>
        </w:rPr>
      </w:pPr>
    </w:p>
    <w:p>
      <w:pPr>
        <w:jc w:val="both"/>
        <w:ind w:left="320"/>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6"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As at December 21,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December 21, 2023 in the amount of approximately $39,290,000.</w:t>
      </w:r>
    </w:p>
    <w:p>
      <w:pPr>
        <w:sectPr>
          <w:pgSz w:w="11900" w:h="16838" w:orient="portrait"/>
          <w:cols w:equalWidth="0" w:num="1">
            <w:col w:w="10900"/>
          </w:cols>
          <w:pgMar w:left="660" w:top="360" w:right="339" w:bottom="1440" w:gutter="0" w:footer="0" w:header="0"/>
        </w:sectPr>
      </w:pP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168275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660" w:top="360" w:right="339" w:bottom="1440" w:gutter="0" w:footer="0" w:header="0"/>
          <w:type w:val="continuous"/>
        </w:sectPr>
      </w:pPr>
    </w:p>
    <w:bookmarkStart w:id="23" w:name="page24"/>
    <w:bookmarkEnd w:id="23"/>
    <w:p>
      <w:pPr>
        <w:jc w:val="both"/>
        <w:ind w:left="660"/>
        <w:spacing w:after="0" w:line="260"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5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or incorporated by reference in, this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210"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1"/>
          <w:szCs w:val="21"/>
          <w:i w:val="1"/>
          <w:iCs w:val="1"/>
          <w:color w:val="auto"/>
        </w:rPr>
        <w:t>“Risk Factors – Risks Related to an Offering - Negative Operating Cash Flow and Going Concern”.</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as the second paragraph under the section titled “Auditors, Transfer Agent and Registrar”:</w:t>
      </w:r>
    </w:p>
    <w:p>
      <w:pPr>
        <w:spacing w:after="0" w:line="158"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1"/>
          <w:szCs w:val="21"/>
          <w:color w:val="auto"/>
        </w:rPr>
        <w:t>MNP LLP, Chartered Professional Accountants, are the former auditors of Small Pharma and have confirmed that they are independent of Small Pharma within the meaning of the relevant rules and related interpretations prescribed by the relevant professional bodies in Canada and any applicable legislation or regulation. Neither MNP LLP nor any designated professional thereof, had any registered or beneficial interest in any securities or other property of Small Pharma at the time they prepared the relevant financial statements incorporated by reference in this Prospectus or at any time thereafter.”</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August 17,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a registration statement of which this Prospectus forms a part,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jc w:val="both"/>
        <w:spacing w:after="0" w:line="238" w:lineRule="auto"/>
        <w:rPr>
          <w:sz w:val="20"/>
          <w:szCs w:val="20"/>
          <w:color w:val="auto"/>
        </w:rPr>
      </w:pPr>
      <w:r>
        <w:rPr>
          <w:rFonts w:ascii="Times New Roman" w:cs="Times New Roman" w:eastAsia="Times New Roman" w:hAnsi="Times New Roman"/>
          <w:sz w:val="22"/>
          <w:szCs w:val="22"/>
          <w:i w:val="1"/>
          <w:iCs w:val="1"/>
          <w:color w:val="FF0000"/>
        </w:rPr>
        <w:t>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87" w:lineRule="exact"/>
        <w:rPr>
          <w:sz w:val="20"/>
          <w:szCs w:val="20"/>
          <w:color w:val="auto"/>
        </w:rPr>
      </w:pPr>
    </w:p>
    <w:p>
      <w:pPr>
        <w:spacing w:after="0"/>
        <w:tabs>
          <w:tab w:leader="none" w:pos="10020" w:val="left"/>
        </w:tabs>
        <w:rPr>
          <w:sz w:val="20"/>
          <w:szCs w:val="20"/>
          <w:color w:val="auto"/>
        </w:rPr>
      </w:pPr>
      <w:r>
        <w:rPr>
          <w:rFonts w:ascii="Times New Roman" w:cs="Times New Roman" w:eastAsia="Times New Roman" w:hAnsi="Times New Roman"/>
          <w:sz w:val="18"/>
          <w:szCs w:val="18"/>
          <w:u w:val="single" w:color="auto"/>
          <w:color w:val="auto"/>
        </w:rPr>
        <w:t>New Issue</w:t>
      </w:r>
      <w:r>
        <w:rPr>
          <w:sz w:val="20"/>
          <w:szCs w:val="20"/>
          <w:color w:val="auto"/>
        </w:rPr>
        <w:tab/>
      </w:r>
      <w:r>
        <w:rPr>
          <w:rFonts w:ascii="Times New Roman" w:cs="Times New Roman" w:eastAsia="Times New Roman" w:hAnsi="Times New Roman"/>
          <w:sz w:val="18"/>
          <w:szCs w:val="18"/>
          <w:color w:val="auto"/>
        </w:rPr>
        <w:t>August 17, 2023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150495</wp:posOffset>
            </wp:positionV>
            <wp:extent cx="1405890" cy="840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$160,000,000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$160,000,000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6" w:name="page27"/>
    <w:bookmarkEnd w:id="26"/>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The Securities may be sold through underwriters or dealers, directly by the Corporation pursuant to applicable statutory exemptions, or through designated agents from time to time. See </w:t>
      </w:r>
      <w:r>
        <w:rPr>
          <w:rFonts w:ascii="Times New Roman" w:cs="Times New Roman" w:eastAsia="Times New Roman" w:hAnsi="Times New Roman"/>
          <w:sz w:val="21"/>
          <w:szCs w:val="21"/>
          <w:i w:val="1"/>
          <w:iCs w:val="1"/>
          <w:color w:val="auto"/>
        </w:rPr>
        <w:t>"Plan of Distribution".</w:t>
      </w:r>
      <w:r>
        <w:rPr>
          <w:rFonts w:ascii="Times New Roman" w:cs="Times New Roman" w:eastAsia="Times New Roman" w:hAnsi="Times New Roman"/>
          <w:sz w:val="21"/>
          <w:szCs w:val="21"/>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 at prices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NEO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August 16, 2023, the last trading day prior to the filing of this Prospectus, the closing prices of the Common Shares listed on the NEO and the NYSE American were $0.44 and US$0.323, respectively.</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 Risks Related to an Offering - Enforcement of Civil Liabilities"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931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51"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3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psilocybin is currently a Schedule III drug. Under the CSA, psilocybin is currently a Schedule I drug.</w:t>
      </w:r>
    </w:p>
    <w:p>
      <w:pPr>
        <w:spacing w:after="0" w:line="144"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39" w:lineRule="exact"/>
        <w:rPr>
          <w:sz w:val="20"/>
          <w:szCs w:val="20"/>
          <w:color w:val="auto"/>
        </w:rPr>
      </w:pPr>
    </w:p>
    <w:p>
      <w:pPr>
        <w:jc w:val="both"/>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83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146050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gridSpan w:val="4"/>
          </w:tcPr>
          <w:p>
            <w:pPr>
              <w:ind w:left="246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GENERAL MATTERS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EEEEEE"/>
            </w:tcBorders>
          </w:tcPr>
          <w:p>
            <w:pPr>
              <w:spacing w:after="0"/>
              <w:rPr>
                <w:sz w:val="24"/>
                <w:szCs w:val="24"/>
                <w:color w:val="auto"/>
              </w:rPr>
            </w:pPr>
          </w:p>
        </w:tc>
        <w:tc>
          <w:tcPr>
            <w:tcW w:w="116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spacing w:after="0"/>
              <w:rPr>
                <w:sz w:val="24"/>
                <w:szCs w:val="24"/>
                <w:color w:val="auto"/>
              </w:rPr>
            </w:pPr>
          </w:p>
        </w:tc>
        <w:tc>
          <w:tcPr>
            <w:tcW w:w="2440" w:type="dxa"/>
            <w:vAlign w:val="bottom"/>
            <w:tcBorders>
              <w:top w:val="single" w:sz="8" w:color="EEEEEE"/>
            </w:tcBorders>
          </w:tcPr>
          <w:p>
            <w:pPr>
              <w:spacing w:after="0"/>
              <w:rPr>
                <w:sz w:val="24"/>
                <w:szCs w:val="24"/>
                <w:color w:val="auto"/>
              </w:rPr>
            </w:pPr>
          </w:p>
        </w:tc>
        <w:tc>
          <w:tcPr>
            <w:tcW w:w="2720" w:type="dxa"/>
            <w:vAlign w:val="bottom"/>
            <w:tcBorders>
              <w:top w:val="single" w:sz="8" w:color="EEEE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40" w:type="dxa"/>
            <w:vAlign w:val="bottom"/>
            <w:shd w:val="clear" w:color="auto" w:fill="000000"/>
          </w:tcPr>
          <w:p>
            <w:pPr>
              <w:spacing w:after="0"/>
              <w:rPr>
                <w:sz w:val="6"/>
                <w:szCs w:val="6"/>
                <w:color w:val="auto"/>
              </w:rPr>
            </w:pPr>
          </w:p>
        </w:tc>
        <w:tc>
          <w:tcPr>
            <w:tcW w:w="27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0000FF"/>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58" w:lineRule="exact"/>
        <w:rPr>
          <w:sz w:val="20"/>
          <w:szCs w:val="20"/>
          <w:color w:val="auto"/>
        </w:rPr>
      </w:pPr>
    </w:p>
    <w:p>
      <w:pPr>
        <w:jc w:val="center"/>
        <w:ind w:right="40"/>
        <w:spacing w:after="0" w:line="435" w:lineRule="auto"/>
        <w:rPr>
          <w:sz w:val="20"/>
          <w:szCs w:val="20"/>
          <w:color w:val="auto"/>
        </w:rPr>
      </w:pPr>
      <w:r>
        <w:rPr>
          <w:rFonts w:ascii="Times New Roman" w:cs="Times New Roman" w:eastAsia="Times New Roman" w:hAnsi="Times New Roman"/>
          <w:sz w:val="22"/>
          <w:szCs w:val="22"/>
          <w:color w:val="auto"/>
        </w:rPr>
        <w:t xml:space="preserve">In this Prospectus, unless stated otherwise or the context requires otherwise, all dollar amounts are expressed in Canadian dollars. </w:t>
      </w:r>
      <w:r>
        <w:rPr>
          <w:rFonts w:ascii="Times New Roman" w:cs="Times New Roman" w:eastAsia="Times New Roman" w:hAnsi="Times New Roman"/>
          <w:sz w:val="22"/>
          <w:szCs w:val="22"/>
          <w:b w:val="1"/>
          <w:bCs w:val="1"/>
          <w:color w:val="auto"/>
        </w:rPr>
        <w:t>CAUTIONARY NOTE REGARDING FORWARD-LOOKING INFORMATION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jc w:val="both"/>
        <w:spacing w:after="0" w:line="231" w:lineRule="auto"/>
        <w:rPr>
          <w:sz w:val="20"/>
          <w:szCs w:val="20"/>
          <w:color w:val="auto"/>
        </w:rPr>
      </w:pPr>
      <w:r>
        <w:rPr>
          <w:rFonts w:ascii="Times New Roman" w:cs="Times New Roman" w:eastAsia="Times New Roman" w:hAnsi="Times New Roman"/>
          <w:sz w:val="22"/>
          <w:szCs w:val="22"/>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80" w:lineRule="exact"/>
        <w:rPr>
          <w:sz w:val="20"/>
          <w:szCs w:val="20"/>
          <w:color w:val="auto"/>
        </w:rPr>
      </w:pPr>
    </w:p>
    <w:p>
      <w:pPr>
        <w:ind w:left="660" w:hanging="328"/>
        <w:spacing w:after="0" w:line="241" w:lineRule="auto"/>
        <w:tabs>
          <w:tab w:leader="none" w:pos="67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60" w:hanging="328"/>
        <w:spacing w:after="0" w:line="230" w:lineRule="auto"/>
        <w:tabs>
          <w:tab w:leader="none" w:pos="67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7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7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hanging="328"/>
        <w:spacing w:after="0" w:line="230" w:lineRule="auto"/>
        <w:tabs>
          <w:tab w:leader="none" w:pos="67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sectPr>
          <w:pgSz w:w="11900" w:h="16838" w:orient="portrait"/>
          <w:cols w:equalWidth="0" w:num="1">
            <w:col w:w="11240"/>
          </w:cols>
          <w:pgMar w:left="320" w:top="11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3" w:name="page34"/>
    <w:bookmarkEnd w:id="33"/>
    <w:p>
      <w:pPr>
        <w:ind w:left="660" w:right="20" w:hanging="328"/>
        <w:spacing w:after="0" w:line="259" w:lineRule="auto"/>
        <w:tabs>
          <w:tab w:leader="none" w:pos="67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2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54" w:lineRule="exact"/>
        <w:rPr>
          <w:sz w:val="20"/>
          <w:szCs w:val="20"/>
          <w:color w:val="auto"/>
        </w:rPr>
      </w:pPr>
    </w:p>
    <w:p>
      <w:pPr>
        <w:ind w:left="660" w:hanging="396"/>
        <w:spacing w:after="0" w:line="262" w:lineRule="auto"/>
        <w:tabs>
          <w:tab w:leader="none" w:pos="6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together with the auditor’s report thereon;</w:t>
      </w:r>
    </w:p>
    <w:p>
      <w:pPr>
        <w:spacing w:after="0" w:line="158" w:lineRule="exact"/>
        <w:rPr>
          <w:rFonts w:ascii="Times New Roman" w:cs="Times New Roman" w:eastAsia="Times New Roman" w:hAnsi="Times New Roman"/>
          <w:sz w:val="22"/>
          <w:szCs w:val="22"/>
          <w:color w:val="auto"/>
        </w:rPr>
      </w:pPr>
    </w:p>
    <w:p>
      <w:pPr>
        <w:ind w:left="680" w:hanging="416"/>
        <w:spacing w:after="0"/>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ind w:left="660" w:right="20" w:hanging="396"/>
        <w:spacing w:after="0" w:line="262" w:lineRule="auto"/>
        <w:tabs>
          <w:tab w:leader="none" w:pos="6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2023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13, 2022 relating to an annual meeting of shareholders of the Corporation held on August 15, 2022;</w:t>
      </w:r>
    </w:p>
    <w:p>
      <w:pPr>
        <w:spacing w:after="0" w:line="158" w:lineRule="exact"/>
        <w:rPr>
          <w:rFonts w:ascii="Times New Roman" w:cs="Times New Roman" w:eastAsia="Times New Roman" w:hAnsi="Times New Roman"/>
          <w:sz w:val="22"/>
          <w:szCs w:val="22"/>
          <w:color w:val="auto"/>
        </w:rPr>
      </w:pPr>
    </w:p>
    <w:p>
      <w:pPr>
        <w:jc w:val="both"/>
        <w:ind w:left="660" w:hanging="396"/>
        <w:spacing w:after="0" w:line="238" w:lineRule="auto"/>
        <w:tabs>
          <w:tab w:leader="none" w:pos="6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(the “</w:t>
      </w:r>
      <w:r>
        <w:rPr>
          <w:rFonts w:ascii="Times New Roman" w:cs="Times New Roman" w:eastAsia="Times New Roman" w:hAnsi="Times New Roman"/>
          <w:sz w:val="22"/>
          <w:szCs w:val="22"/>
          <w:b w:val="1"/>
          <w:bCs w:val="1"/>
          <w:color w:val="auto"/>
        </w:rPr>
        <w:t>May 2023 Prospectus Supplement</w:t>
      </w:r>
      <w:r>
        <w:rPr>
          <w:rFonts w:ascii="Times New Roman" w:cs="Times New Roman" w:eastAsia="Times New Roman" w:hAnsi="Times New Roman"/>
          <w:sz w:val="22"/>
          <w:szCs w:val="22"/>
          <w:color w:val="auto"/>
        </w:rPr>
        <w:t>”),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jc w:val="both"/>
        <w:ind w:left="660" w:hanging="396"/>
        <w:spacing w:after="0" w:line="244" w:lineRule="auto"/>
        <w:tabs>
          <w:tab w:leader="none" w:pos="6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at a price of US$0.34 per Unit for gross proceeds of US$8,250,000 pursuant to a prospectus supplement dated August 1, 2023 to the 2021 Base Shelf Prospectus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of which this Prospectus forms a part. In addition, any other report on Form 6-K and the exhibits thereto filed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ectPr>
          <w:pgSz w:w="11900" w:h="16838" w:orient="portrait"/>
          <w:cols w:equalWidth="0" w:num="1">
            <w:col w:w="11240"/>
          </w:cols>
          <w:pgMar w:left="320" w:top="108" w:right="339" w:bottom="823"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823" w:gutter="0" w:footer="0" w:header="0"/>
          <w:type w:val="continuous"/>
        </w:sectPr>
      </w:pPr>
    </w:p>
    <w:bookmarkStart w:id="35" w:name="page36"/>
    <w:bookmarkEnd w:id="35"/>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0000FF"/>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0000FF"/>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novel formulation approaches and treatment regimens.</w:t>
      </w:r>
      <w:r>
        <w:rPr>
          <w:rFonts w:ascii="Times New Roman" w:cs="Times New Roman" w:eastAsia="Times New Roman" w:hAnsi="Times New Roman"/>
          <w:sz w:val="35"/>
          <w:szCs w:val="35"/>
          <w:color w:val="auto"/>
          <w:vertAlign w:val="superscript"/>
        </w:rPr>
        <w:t>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both"/>
        <w:spacing w:after="0" w:line="251"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21"/>
          <w:szCs w:val="21"/>
          <w:b w:val="1"/>
          <w:bCs w:val="1"/>
          <w:color w:val="auto"/>
        </w:rPr>
        <w:t>DMT</w:t>
      </w:r>
      <w:r>
        <w:rPr>
          <w:rFonts w:ascii="Times New Roman" w:cs="Times New Roman" w:eastAsia="Times New Roman" w:hAnsi="Times New Roman"/>
          <w:sz w:val="21"/>
          <w:szCs w:val="21"/>
          <w:color w:val="auto"/>
        </w:rPr>
        <w:t>"), CYB005, phenethylamine derivatives, and an expansive list of preclinical molecules to facilitate future drug development opportunities.</w:t>
      </w:r>
    </w:p>
    <w:p>
      <w:pPr>
        <w:spacing w:after="0" w:line="169" w:lineRule="exact"/>
        <w:rPr>
          <w:sz w:val="20"/>
          <w:szCs w:val="20"/>
          <w:color w:val="auto"/>
        </w:rPr>
      </w:pPr>
    </w:p>
    <w:p>
      <w:pPr>
        <w:jc w:val="both"/>
        <w:ind w:firstLine="54"/>
        <w:spacing w:after="0" w:line="258" w:lineRule="auto"/>
        <w:rPr>
          <w:sz w:val="20"/>
          <w:szCs w:val="20"/>
          <w:color w:val="auto"/>
        </w:rPr>
      </w:pPr>
      <w:r>
        <w:rPr>
          <w:rFonts w:ascii="Times New Roman" w:cs="Times New Roman" w:eastAsia="Times New Roman" w:hAnsi="Times New Roman"/>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 ("</w:t>
      </w:r>
      <w:r>
        <w:rPr>
          <w:rFonts w:ascii="Times New Roman" w:cs="Times New Roman" w:eastAsia="Times New Roman" w:hAnsi="Times New Roman"/>
          <w:sz w:val="22"/>
          <w:szCs w:val="22"/>
          <w:b w:val="1"/>
          <w:bCs w:val="1"/>
          <w:color w:val="auto"/>
        </w:rPr>
        <w:t>SC</w:t>
      </w:r>
      <w:r>
        <w:rPr>
          <w:rFonts w:ascii="Times New Roman" w:cs="Times New Roman" w:eastAsia="Times New Roman" w:hAnsi="Times New Roman"/>
          <w:sz w:val="22"/>
          <w:szCs w:val="22"/>
          <w:color w:val="auto"/>
        </w:rPr>
        <w:t>") administration.</w:t>
      </w:r>
      <w:r>
        <w:rPr>
          <w:rFonts w:ascii="Times New Roman" w:cs="Times New Roman" w:eastAsia="Times New Roman" w:hAnsi="Times New Roman"/>
          <w:sz w:val="35"/>
          <w:szCs w:val="35"/>
          <w:color w:val="auto"/>
          <w:vertAlign w:val="superscript"/>
        </w:rPr>
        <w:t>2</w:t>
      </w:r>
    </w:p>
    <w:p>
      <w:pPr>
        <w:spacing w:after="0" w:line="8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The Corporation is also developing compounds that may have the potential to address neuroinflammation</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central nervous system disorders, and psychiatric disorders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 please see the Corporation’s Annual Information Form and Interim MD&amp;A incorporated by reference into this Prospectus.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17" w:lineRule="exact"/>
        <w:rPr>
          <w:sz w:val="20"/>
          <w:szCs w:val="20"/>
          <w:color w:val="auto"/>
        </w:rPr>
      </w:pPr>
    </w:p>
    <w:p>
      <w:pPr>
        <w:jc w:val="both"/>
        <w:ind w:firstLine="8"/>
        <w:spacing w:after="0" w:line="217" w:lineRule="auto"/>
        <w:tabs>
          <w:tab w:leader="none" w:pos="135"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0" w:lineRule="auto"/>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18"/>
          <w:szCs w:val="18"/>
          <w:color w:val="auto"/>
        </w:rPr>
        <w:t xml:space="preserve"> See footnote 1.</w:t>
      </w:r>
    </w:p>
    <w:p>
      <w:pPr>
        <w:ind w:left="160" w:hanging="152"/>
        <w:spacing w:after="0" w:line="183" w:lineRule="auto"/>
        <w:tabs>
          <w:tab w:leader="none" w:pos="160" w:val="left"/>
        </w:tabs>
        <w:numPr>
          <w:ilvl w:val="0"/>
          <w:numId w:val="1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See footnote 1.</w:t>
      </w:r>
    </w:p>
    <w:p>
      <w:pPr>
        <w:spacing w:after="0" w:line="40" w:lineRule="exact"/>
        <w:rPr>
          <w:rFonts w:ascii="Times New Roman" w:cs="Times New Roman" w:eastAsia="Times New Roman" w:hAnsi="Times New Roman"/>
          <w:sz w:val="35"/>
          <w:szCs w:val="35"/>
          <w:color w:val="auto"/>
          <w:vertAlign w:val="superscript"/>
        </w:rPr>
      </w:pPr>
    </w:p>
    <w:p>
      <w:pPr>
        <w:spacing w:after="0" w:line="182"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See footnote 1</w:t>
      </w:r>
      <w:r>
        <w:rPr>
          <w:rFonts w:ascii="Times New Roman" w:cs="Times New Roman" w:eastAsia="Times New Roman" w:hAnsi="Times New Roman"/>
          <w:sz w:val="22"/>
          <w:szCs w:val="22"/>
          <w:b w:val="1"/>
          <w:bCs w:val="1"/>
          <w:color w:val="auto"/>
        </w:rPr>
        <w: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118110</wp:posOffset>
            </wp:positionV>
            <wp:extent cx="2991485" cy="3154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914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206" w:lineRule="exact"/>
        <w:rPr>
          <w:sz w:val="20"/>
          <w:szCs w:val="20"/>
          <w:color w:val="auto"/>
        </w:rPr>
      </w:pPr>
    </w:p>
    <w:p>
      <w:pPr>
        <w:jc w:val="both"/>
        <w:ind w:left="1420" w:right="1080" w:hanging="278"/>
        <w:spacing w:after="0" w:line="241" w:lineRule="auto"/>
        <w:tabs>
          <w:tab w:leader="none" w:pos="145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Adelia Therapeutics Inc.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hold certain non-voting securities of Cybin U.S. issued in connection with the acquisition of Adelia on December 14, 2020 (the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For additional information in respect of the Adelia Transaction, please see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Information Form incorporated by reference in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jc w:val="both"/>
        <w:spacing w:after="0" w:line="233" w:lineRule="auto"/>
        <w:rPr>
          <w:sz w:val="20"/>
          <w:szCs w:val="20"/>
          <w:color w:val="auto"/>
        </w:rPr>
      </w:pPr>
      <w:r>
        <w:rPr>
          <w:rFonts w:ascii="Times New Roman" w:cs="Times New Roman" w:eastAsia="Times New Roman" w:hAnsi="Times New Roman"/>
          <w:sz w:val="22"/>
          <w:szCs w:val="22"/>
          <w:color w:val="auto"/>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June 29, 2023, the Corporation announced the appointment of Aaron Bartlone as Chief Operating Officer, effective July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2023. Mr. Bartlone has served as Chief Operating Officer of Cybin’s U.S. subsidiary, Cybin US Holdings, Inc., since March</w:t>
      </w:r>
    </w:p>
    <w:p>
      <w:pPr>
        <w:spacing w:after="0" w:line="230" w:lineRule="auto"/>
        <w:rPr>
          <w:sz w:val="20"/>
          <w:szCs w:val="20"/>
          <w:color w:val="auto"/>
        </w:rPr>
      </w:pPr>
      <w:r>
        <w:rPr>
          <w:rFonts w:ascii="Times New Roman" w:cs="Times New Roman" w:eastAsia="Times New Roman" w:hAnsi="Times New Roman"/>
          <w:sz w:val="22"/>
          <w:szCs w:val="22"/>
          <w:color w:val="auto"/>
        </w:rPr>
        <w:t>2021. Mr. Bartlone is a United States resident and currently holds 701,070 Common Shares and options exercisable 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1,315,000 Common Shares.</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August 5, 2023, the Corporation’s at-the-market equity program to issue and sell up to US$35,000,000 of Common Shares (the “</w:t>
      </w:r>
      <w:r>
        <w:rPr>
          <w:rFonts w:ascii="Times New Roman" w:cs="Times New Roman" w:eastAsia="Times New Roman" w:hAnsi="Times New Roman"/>
          <w:sz w:val="22"/>
          <w:szCs w:val="22"/>
          <w:b w:val="1"/>
          <w:bCs w:val="1"/>
          <w:color w:val="auto"/>
        </w:rPr>
        <w:t>ATM Program</w:t>
      </w:r>
      <w:r>
        <w:rPr>
          <w:rFonts w:ascii="Times New Roman" w:cs="Times New Roman" w:eastAsia="Times New Roman" w:hAnsi="Times New Roman"/>
          <w:sz w:val="22"/>
          <w:szCs w:val="22"/>
          <w:color w:val="auto"/>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 and treatment-resistant depression.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On August 17, 2023, the Corporation announced that it has initiated preparations for good manufacturing practices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production of a capsule formulation of CYB003, its proprietary deuterated psilocybin analog in development for the potential treatment of MDD.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 This exemption allows the holder to possess and use the controlled substance without being subject to the restrictions set out in the CDSA.</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6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Times New Roman" w:cs="Times New Roman" w:eastAsia="Times New Roman" w:hAnsi="Times New Roman"/>
          <w:sz w:val="21"/>
          <w:szCs w:val="21"/>
          <w:b w:val="1"/>
          <w:bCs w:val="1"/>
          <w:color w:val="auto"/>
        </w:rPr>
        <w:t>IND</w:t>
      </w:r>
      <w:r>
        <w:rPr>
          <w:rFonts w:ascii="Times New Roman" w:cs="Times New Roman" w:eastAsia="Times New Roman" w:hAnsi="Times New Roman"/>
          <w:sz w:val="21"/>
          <w:szCs w:val="21"/>
          <w:color w:val="auto"/>
        </w:rPr>
        <w:t>”) related to its Deuterated Psilocybin Analog Program upon</w:t>
      </w:r>
    </w:p>
    <w:p>
      <w:pPr>
        <w:spacing w:after="0" w:line="1"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completion of its pre-clinical studies and CMC development.</w:t>
      </w: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Anticipated timelines related to regulatory filings are based on reasonable assumptions informed by current knowledge and information available to the Corporation.</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1" w:lineRule="exact"/>
        <w:rPr>
          <w:sz w:val="20"/>
          <w:szCs w:val="20"/>
          <w:color w:val="auto"/>
        </w:rPr>
      </w:pPr>
    </w:p>
    <w:p>
      <w:pPr>
        <w:jc w:val="both"/>
        <w:ind w:firstLine="8"/>
        <w:spacing w:after="0" w:line="216" w:lineRule="auto"/>
        <w:tabs>
          <w:tab w:leader="none" w:pos="148"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ectPr>
          <w:pgSz w:w="11900" w:h="16838" w:orient="portrait"/>
          <w:cols w:equalWidth="0" w:num="1">
            <w:col w:w="11240"/>
          </w:cols>
          <w:pgMar w:left="320" w:top="112"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2" w:name="page43"/>
    <w:bookmarkEnd w:id="42"/>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controlled drugs legislation in the United Kingdom is the Misuse of Drugs Act 1971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previously disclosed that it intended to file a clinical trial application with the United Kingdom Medicines and Healthcare products Regulatory Agency (the "</w:t>
      </w:r>
      <w:r>
        <w:rPr>
          <w:rFonts w:ascii="Times New Roman" w:cs="Times New Roman" w:eastAsia="Times New Roman" w:hAnsi="Times New Roman"/>
          <w:sz w:val="22"/>
          <w:szCs w:val="22"/>
          <w:b w:val="1"/>
          <w:bCs w:val="1"/>
          <w:color w:val="auto"/>
        </w:rPr>
        <w:t>MHRA</w:t>
      </w:r>
      <w:r>
        <w:rPr>
          <w:rFonts w:ascii="Times New Roman" w:cs="Times New Roman" w:eastAsia="Times New Roman" w:hAnsi="Times New Roman"/>
          <w:sz w:val="22"/>
          <w:szCs w:val="22"/>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7</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17" w:lineRule="exact"/>
        <w:rPr>
          <w:sz w:val="20"/>
          <w:szCs w:val="20"/>
          <w:color w:val="auto"/>
        </w:rPr>
      </w:pPr>
    </w:p>
    <w:p>
      <w:pPr>
        <w:jc w:val="both"/>
        <w:ind w:firstLine="8"/>
        <w:spacing w:after="0" w:line="193" w:lineRule="auto"/>
        <w:tabs>
          <w:tab w:leader="none" w:pos="166"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 </w:t>
      </w:r>
      <w:r>
        <w:rPr>
          <w:rFonts w:ascii="Times New Roman" w:cs="Times New Roman" w:eastAsia="Times New Roman" w:hAnsi="Times New Roman"/>
          <w:sz w:val="22"/>
          <w:szCs w:val="22"/>
          <w:i w:val="1"/>
          <w:iCs w:val="1"/>
          <w:color w:val="auto"/>
        </w:rPr>
        <w:t>Pharmaceutical Products</w:t>
      </w:r>
      <w:r>
        <w:rPr>
          <w:rFonts w:ascii="Times New Roman" w:cs="Times New Roman" w:eastAsia="Times New Roman" w:hAnsi="Times New Roman"/>
          <w:sz w:val="22"/>
          <w:szCs w:val="22"/>
          <w:color w:val="auto"/>
        </w:rPr>
        <w:t>", depending on how the API is developed, certain authorizations and licences from the MHRA may be required to authorize some of the activities carried on at the UK-based facilities in relation to the API.</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All premises that are licensed in connection with the possession, supply, manufacture and/or production of controlled drugs are required to adhere to detailed security standards.</w:t>
      </w:r>
      <w:r>
        <w:rPr>
          <w:rFonts w:ascii="Times New Roman" w:cs="Times New Roman" w:eastAsia="Times New Roman" w:hAnsi="Times New Roman"/>
          <w:sz w:val="35"/>
          <w:szCs w:val="35"/>
          <w:color w:val="auto"/>
          <w:vertAlign w:val="superscript"/>
        </w:rPr>
        <w:t>8</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w:t>
      </w:r>
    </w:p>
    <w:p>
      <w:pPr>
        <w:spacing w:after="0" w:line="1" w:lineRule="exact"/>
        <w:rPr>
          <w:sz w:val="20"/>
          <w:szCs w:val="20"/>
          <w:color w:val="auto"/>
        </w:rPr>
      </w:pPr>
    </w:p>
    <w:p>
      <w:pPr>
        <w:ind w:right="4540"/>
        <w:spacing w:after="0" w:line="306" w:lineRule="auto"/>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Pharmaceutical Products</w:t>
      </w:r>
    </w:p>
    <w:p>
      <w:pPr>
        <w:spacing w:after="0" w:line="1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7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2"/>
          <w:szCs w:val="22"/>
          <w:b w:val="1"/>
          <w:bCs w:val="1"/>
          <w:color w:val="auto"/>
        </w:rPr>
        <w:t>GDP</w:t>
      </w:r>
      <w:r>
        <w:rPr>
          <w:rFonts w:ascii="Times New Roman" w:cs="Times New Roman" w:eastAsia="Times New Roman" w:hAnsi="Times New Roman"/>
          <w:sz w:val="22"/>
          <w:szCs w:val="22"/>
          <w:color w:val="auto"/>
        </w:rPr>
        <w:t>")) and to hold a related licence from the MHRA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 the API is subsequently processed will determine the licences that the UK-based facility must hold. In particular:</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if the API is just one 'ingredient' of the investigational medicinal product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Authorisations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-574675</wp:posOffset>
            </wp:positionV>
            <wp:extent cx="68580"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ind w:left="200" w:hanging="192"/>
        <w:spacing w:after="0" w:line="201" w:lineRule="auto"/>
        <w:tabs>
          <w:tab w:leader="none" w:pos="20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Security guidance for all existing or prospective Home Office Controlled Drug Licensees and/or</w:t>
      </w:r>
    </w:p>
    <w:p>
      <w:pPr>
        <w:spacing w:after="0" w:line="1" w:lineRule="exact"/>
        <w:rPr>
          <w:rFonts w:ascii="Times New Roman" w:cs="Times New Roman" w:eastAsia="Times New Roman" w:hAnsi="Times New Roman"/>
          <w:sz w:val="36"/>
          <w:szCs w:val="36"/>
          <w:color w:val="auto"/>
          <w:vertAlign w:val="superscript"/>
        </w:rPr>
      </w:pPr>
    </w:p>
    <w:p>
      <w:pPr>
        <w:spacing w:after="0" w:line="23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Precursor Chemical Licensees or Registrants; 2022; https://assets.publishing.service.gov.uk/government/uploads/system/uploads/attachment_data/file/1125889/ Security_Guidance_for_all_Businesses_and_Other_Organisations_v1.5_Nov_2022.pdf.</w:t>
      </w:r>
    </w:p>
    <w:p>
      <w:pPr>
        <w:spacing w:after="0"/>
        <w:tabs>
          <w:tab w:leader="none" w:pos="600" w:val="left"/>
          <w:tab w:leader="none" w:pos="1660" w:val="left"/>
          <w:tab w:leader="none" w:pos="2740" w:val="left"/>
          <w:tab w:leader="none" w:pos="4100" w:val="left"/>
          <w:tab w:leader="none" w:pos="5560" w:val="left"/>
          <w:tab w:leader="none" w:pos="6340" w:val="left"/>
          <w:tab w:leader="none" w:pos="7640" w:val="left"/>
          <w:tab w:leader="none" w:pos="9040" w:val="left"/>
          <w:tab w:leader="none" w:pos="10520" w:val="left"/>
        </w:tabs>
        <w:rPr>
          <w:sz w:val="20"/>
          <w:szCs w:val="20"/>
          <w:color w:val="auto"/>
        </w:rPr>
      </w:pPr>
      <w:r>
        <w:rPr>
          <w:rFonts w:ascii="Times New Roman" w:cs="Times New Roman" w:eastAsia="Times New Roman" w:hAnsi="Times New Roman"/>
          <w:sz w:val="31"/>
          <w:szCs w:val="31"/>
          <w:color w:val="auto"/>
          <w:vertAlign w:val="superscript"/>
        </w:rPr>
        <w:t>9</w:t>
      </w:r>
      <w:r>
        <w:rPr>
          <w:sz w:val="20"/>
          <w:szCs w:val="20"/>
          <w:color w:val="auto"/>
        </w:rPr>
        <w:tab/>
      </w:r>
      <w:r>
        <w:rPr>
          <w:rFonts w:ascii="Times New Roman" w:cs="Times New Roman" w:eastAsia="Times New Roman" w:hAnsi="Times New Roman"/>
          <w:sz w:val="19"/>
          <w:szCs w:val="19"/>
          <w:color w:val="auto"/>
        </w:rPr>
        <w:t>Home</w:t>
      </w:r>
      <w:r>
        <w:rPr>
          <w:sz w:val="20"/>
          <w:szCs w:val="20"/>
          <w:color w:val="auto"/>
        </w:rPr>
        <w:tab/>
      </w:r>
      <w:r>
        <w:rPr>
          <w:rFonts w:ascii="Times New Roman" w:cs="Times New Roman" w:eastAsia="Times New Roman" w:hAnsi="Times New Roman"/>
          <w:sz w:val="22"/>
          <w:szCs w:val="22"/>
          <w:color w:val="auto"/>
        </w:rPr>
        <w:t>Office</w:t>
      </w:r>
      <w:r>
        <w:rPr>
          <w:sz w:val="20"/>
          <w:szCs w:val="20"/>
          <w:color w:val="auto"/>
        </w:rPr>
        <w:tab/>
      </w:r>
      <w:r>
        <w:rPr>
          <w:rFonts w:ascii="Times New Roman" w:cs="Times New Roman" w:eastAsia="Times New Roman" w:hAnsi="Times New Roman"/>
          <w:sz w:val="22"/>
          <w:szCs w:val="22"/>
          <w:color w:val="auto"/>
        </w:rPr>
        <w:t>guidance;</w:t>
      </w:r>
      <w:r>
        <w:rPr>
          <w:sz w:val="20"/>
          <w:szCs w:val="20"/>
          <w:color w:val="auto"/>
        </w:rPr>
        <w:tab/>
      </w:r>
      <w:r>
        <w:rPr>
          <w:rFonts w:ascii="Times New Roman" w:cs="Times New Roman" w:eastAsia="Times New Roman" w:hAnsi="Times New Roman"/>
          <w:sz w:val="22"/>
          <w:szCs w:val="22"/>
          <w:color w:val="auto"/>
        </w:rPr>
        <w:t>Guidelines</w:t>
      </w:r>
      <w:r>
        <w:rPr>
          <w:sz w:val="20"/>
          <w:szCs w:val="20"/>
          <w:color w:val="auto"/>
        </w:rPr>
        <w:tab/>
      </w:r>
      <w:r>
        <w:rPr>
          <w:rFonts w:ascii="Times New Roman" w:cs="Times New Roman" w:eastAsia="Times New Roman" w:hAnsi="Times New Roman"/>
          <w:sz w:val="22"/>
          <w:szCs w:val="22"/>
          <w:color w:val="auto"/>
        </w:rPr>
        <w:t>for</w:t>
      </w:r>
      <w:r>
        <w:rPr>
          <w:sz w:val="20"/>
          <w:szCs w:val="20"/>
          <w:color w:val="auto"/>
        </w:rPr>
        <w:tab/>
      </w:r>
      <w:r>
        <w:rPr>
          <w:rFonts w:ascii="Times New Roman" w:cs="Times New Roman" w:eastAsia="Times New Roman" w:hAnsi="Times New Roman"/>
          <w:sz w:val="22"/>
          <w:szCs w:val="22"/>
          <w:color w:val="auto"/>
        </w:rPr>
        <w:t>Standard</w:t>
      </w:r>
      <w:r>
        <w:rPr>
          <w:sz w:val="20"/>
          <w:szCs w:val="20"/>
          <w:color w:val="auto"/>
        </w:rPr>
        <w:tab/>
      </w:r>
      <w:r>
        <w:rPr>
          <w:rFonts w:ascii="Times New Roman" w:cs="Times New Roman" w:eastAsia="Times New Roman" w:hAnsi="Times New Roman"/>
          <w:sz w:val="22"/>
          <w:szCs w:val="22"/>
          <w:color w:val="auto"/>
        </w:rPr>
        <w:t>Operating</w:t>
      </w:r>
      <w:r>
        <w:rPr>
          <w:sz w:val="20"/>
          <w:szCs w:val="20"/>
          <w:color w:val="auto"/>
        </w:rPr>
        <w:tab/>
      </w:r>
      <w:r>
        <w:rPr>
          <w:rFonts w:ascii="Times New Roman" w:cs="Times New Roman" w:eastAsia="Times New Roman" w:hAnsi="Times New Roman"/>
          <w:sz w:val="22"/>
          <w:szCs w:val="22"/>
          <w:color w:val="auto"/>
        </w:rPr>
        <w:t>Procedures</w:t>
      </w:r>
      <w:r>
        <w:rPr>
          <w:sz w:val="20"/>
          <w:szCs w:val="20"/>
          <w:color w:val="auto"/>
        </w:rPr>
        <w:tab/>
      </w:r>
      <w:r>
        <w:rPr>
          <w:rFonts w:ascii="Times New Roman" w:cs="Times New Roman" w:eastAsia="Times New Roman" w:hAnsi="Times New Roman"/>
          <w:sz w:val="21"/>
          <w:szCs w:val="21"/>
          <w:color w:val="auto"/>
        </w:rPr>
        <w:t>(SOPs);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https://assets.publishing.service.gov.uk/government/uploads/</w:t>
      </w:r>
    </w:p>
    <w:p>
      <w:pPr>
        <w:spacing w:after="0"/>
        <w:rPr>
          <w:sz w:val="20"/>
          <w:szCs w:val="20"/>
          <w:color w:val="auto"/>
        </w:rPr>
      </w:pPr>
      <w:r>
        <w:rPr>
          <w:rFonts w:ascii="Times New Roman" w:cs="Times New Roman" w:eastAsia="Times New Roman" w:hAnsi="Times New Roman"/>
          <w:sz w:val="22"/>
          <w:szCs w:val="22"/>
          <w:color w:val="auto"/>
        </w:rPr>
        <w:t>system/uploads/attachment_data/file/480572/StandardOpProcedure.pdf.</w:t>
      </w:r>
    </w:p>
    <w:p>
      <w:pPr>
        <w:sectPr>
          <w:pgSz w:w="11900" w:h="16838" w:orient="portrait"/>
          <w:cols w:equalWidth="0" w:num="1">
            <w:col w:w="11240"/>
          </w:cols>
          <w:pgMar w:left="320" w:top="112"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4" w:name="page45"/>
    <w:bookmarkEnd w:id="44"/>
    <w:p>
      <w:pPr>
        <w:jc w:val="both"/>
        <w:spacing w:after="0"/>
        <w:rPr>
          <w:sz w:val="20"/>
          <w:szCs w:val="20"/>
          <w:color w:val="auto"/>
        </w:rPr>
      </w:pPr>
      <w:r>
        <w:rPr>
          <w:rFonts w:ascii="Times New Roman" w:cs="Times New Roman" w:eastAsia="Times New Roman" w:hAnsi="Times New Roman"/>
          <w:sz w:val="22"/>
          <w:szCs w:val="22"/>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w:t>
      </w:r>
      <w:r>
        <w:rPr>
          <w:rFonts w:ascii="Times New Roman" w:cs="Times New Roman" w:eastAsia="Times New Roman" w:hAnsi="Times New Roman"/>
          <w:sz w:val="22"/>
          <w:szCs w:val="22"/>
          <w:i w:val="1"/>
          <w:iCs w:val="1"/>
          <w:color w:val="auto"/>
        </w:rPr>
        <w:t>P. azurescens, P. semilanceata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 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psilocybin are well known and well characterized. In conjunction with psychotherapy, psilocybin has been utilized broadly in phase II clinical trials.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Cybin has commenced research and development on the delivery of synthetic psilocybin and other psychedelics through mechanisms such as sublingual film delivery, IV, and by way of inhalation.</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ind w:left="660"/>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-92710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6" w:name="page47"/>
    <w:bookmarkEnd w:id="46"/>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pgSz w:w="11900" w:h="16838" w:orient="portrait"/>
          <w:cols w:equalWidth="0" w:num="1">
            <w:col w:w="11240"/>
          </w:cols>
          <w:pgMar w:left="320" w:top="112"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7" w:name="page48"/>
    <w:bookmarkEnd w:id="47"/>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United States, pharmaceutical manufacturers are subject to complex laws and regulations pertaining to healthcare "fraud and abuse," including, but not limited to, the Anti-Kickback Statute, the federal False Claims Act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spacing w:after="0"/>
        <w:rPr>
          <w:sz w:val="20"/>
          <w:szCs w:val="20"/>
          <w:color w:val="auto"/>
        </w:rPr>
      </w:pPr>
      <w:r>
        <w:rPr>
          <w:rFonts w:ascii="Times New Roman" w:cs="Times New Roman" w:eastAsia="Times New Roman" w:hAnsi="Times New Roman"/>
          <w:sz w:val="22"/>
          <w:szCs w:val="22"/>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Netherlands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both"/>
        <w:spacing w:after="0" w:line="236" w:lineRule="auto"/>
        <w:rPr>
          <w:sz w:val="20"/>
          <w:szCs w:val="20"/>
          <w:color w:val="auto"/>
        </w:rPr>
      </w:pPr>
      <w:r>
        <w:rPr>
          <w:rFonts w:ascii="Times New Roman" w:cs="Times New Roman" w:eastAsia="Times New Roman" w:hAnsi="Times New Roman"/>
          <w:sz w:val="22"/>
          <w:szCs w:val="22"/>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7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pgSz w:w="11900" w:h="16838" w:orient="portrait"/>
          <w:cols w:equalWidth="0" w:num="1">
            <w:col w:w="11240"/>
          </w:cols>
          <w:pgMar w:left="320" w:top="112" w:right="339" w:bottom="329"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329" w:gutter="0" w:footer="0" w:header="0"/>
          <w:type w:val="continuous"/>
        </w:sectPr>
      </w:pPr>
    </w:p>
    <w:bookmarkStart w:id="50" w:name="page51"/>
    <w:bookmarkEnd w:id="50"/>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jc w:val="both"/>
        <w:spacing w:after="0"/>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share and loan capitalization of the Corporation since the date of the Interim Financial Statements.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240" w:type="dxa"/>
            <w:vAlign w:val="bottom"/>
            <w:gridSpan w:val="2"/>
          </w:tcPr>
          <w:p>
            <w:pPr>
              <w:jc w:val="center"/>
              <w:ind w:right="240"/>
              <w:spacing w:after="0" w:line="225"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6"/>
                <w:szCs w:val="26"/>
                <w:b w:val="1"/>
                <w:bCs w:val="1"/>
                <w:color w:val="auto"/>
                <w:vertAlign w:val="superscript"/>
              </w:rPr>
              <w:t>(2)(3)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Timeline for</w:t>
            </w:r>
          </w:p>
        </w:tc>
        <w:tc>
          <w:tcPr>
            <w:tcW w:w="0" w:type="dxa"/>
            <w:vAlign w:val="bottom"/>
          </w:tcPr>
          <w:p>
            <w:pPr>
              <w:spacing w:after="0"/>
              <w:rPr>
                <w:sz w:val="1"/>
                <w:szCs w:val="1"/>
                <w:color w:val="auto"/>
              </w:rPr>
            </w:pPr>
          </w:p>
        </w:tc>
      </w:tr>
      <w:tr>
        <w:trPr>
          <w:trHeight w:val="162"/>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Program</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w w:val="91"/>
              </w:rPr>
              <w:t>(1)</w:t>
            </w:r>
          </w:p>
        </w:tc>
        <w:tc>
          <w:tcPr>
            <w:tcW w:w="5460" w:type="dxa"/>
            <w:vAlign w:val="bottom"/>
            <w:vMerge w:val="restart"/>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14"/>
                <w:szCs w:val="14"/>
                <w:color w:val="auto"/>
              </w:rPr>
            </w:pPr>
          </w:p>
        </w:tc>
        <w:tc>
          <w:tcPr>
            <w:tcW w:w="1540" w:type="dxa"/>
            <w:vAlign w:val="bottom"/>
            <w:vMerge w:val="restart"/>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Completio</w:t>
            </w:r>
            <w:r>
              <w:rPr>
                <w:rFonts w:ascii="Times New Roman" w:cs="Times New Roman" w:eastAsia="Times New Roman" w:hAnsi="Times New Roman"/>
                <w:sz w:val="26"/>
                <w:szCs w:val="26"/>
                <w:b w:val="1"/>
                <w:bCs w:val="1"/>
                <w:color w:val="auto"/>
                <w:vertAlign w:val="superscript"/>
              </w:rPr>
              <w:t>(4)</w:t>
            </w:r>
          </w:p>
        </w:tc>
        <w:tc>
          <w:tcPr>
            <w:tcW w:w="0" w:type="dxa"/>
            <w:vAlign w:val="bottom"/>
          </w:tcPr>
          <w:p>
            <w:pPr>
              <w:spacing w:after="0"/>
              <w:rPr>
                <w:sz w:val="1"/>
                <w:szCs w:val="1"/>
                <w:color w:val="auto"/>
              </w:rPr>
            </w:pPr>
          </w:p>
        </w:tc>
      </w:tr>
      <w:tr>
        <w:trPr>
          <w:trHeight w:val="53"/>
        </w:trPr>
        <w:tc>
          <w:tcPr>
            <w:tcW w:w="6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54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E6EFFF"/>
            </w:tcBorders>
          </w:tcPr>
          <w:p>
            <w:pPr>
              <w:spacing w:after="0" w:line="20" w:lineRule="exact"/>
              <w:rPr>
                <w:sz w:val="1"/>
                <w:szCs w:val="1"/>
                <w:color w:val="auto"/>
              </w:rPr>
            </w:pPr>
          </w:p>
        </w:tc>
        <w:tc>
          <w:tcPr>
            <w:tcW w:w="180" w:type="dxa"/>
            <w:vAlign w:val="bottom"/>
            <w:tcBorders>
              <w:bottom w:val="single" w:sz="8" w:color="E6EFFF"/>
            </w:tcBorders>
          </w:tcPr>
          <w:p>
            <w:pPr>
              <w:spacing w:after="0" w:line="20" w:lineRule="exact"/>
              <w:rPr>
                <w:sz w:val="1"/>
                <w:szCs w:val="1"/>
                <w:color w:val="auto"/>
              </w:rPr>
            </w:pPr>
          </w:p>
        </w:tc>
        <w:tc>
          <w:tcPr>
            <w:tcW w:w="5460" w:type="dxa"/>
            <w:vAlign w:val="bottom"/>
            <w:tcBorders>
              <w:bottom w:val="single" w:sz="8" w:color="E6EF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6E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Psilocybin Analog Program</w:t>
            </w:r>
          </w:p>
        </w:tc>
        <w:tc>
          <w:tcPr>
            <w:tcW w:w="2000" w:type="dxa"/>
            <w:vAlign w:val="bottom"/>
            <w:shd w:val="clear" w:color="auto" w:fill="E6EFFF"/>
          </w:tcPr>
          <w:p>
            <w:pPr>
              <w:spacing w:after="0"/>
              <w:rPr>
                <w:sz w:val="18"/>
                <w:szCs w:val="18"/>
                <w:color w:val="auto"/>
              </w:rPr>
            </w:pP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 topline data readout from the Phase 1/2a study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3,880,627</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Q3/Q4 2023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Complete FDA submission of Phase 1/2a data</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2,500,200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Provide topline data from Phase 1 CYB004-E trial</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1,269,000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Q3/Q4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Complete FDA IND submission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1,372,950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Q1 2024</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 Programs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6320" w:type="dxa"/>
            <w:vAlign w:val="bottom"/>
            <w:gridSpan w:val="3"/>
            <w:shd w:val="clear" w:color="auto" w:fill="E6EFFF"/>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(5)</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12,059,223</w:t>
            </w:r>
          </w:p>
        </w:tc>
        <w:tc>
          <w:tcPr>
            <w:tcW w:w="240" w:type="dxa"/>
            <w:vAlign w:val="bottom"/>
            <w:shd w:val="clear" w:color="auto" w:fill="E6EFFF"/>
          </w:tcPr>
          <w:p>
            <w:pPr>
              <w:spacing w:after="0"/>
              <w:rPr>
                <w:sz w:val="22"/>
                <w:szCs w:val="22"/>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21,082,000</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jc w:val="both"/>
        <w:ind w:left="780" w:hanging="276"/>
        <w:spacing w:after="0" w:line="238" w:lineRule="auto"/>
        <w:tabs>
          <w:tab w:leader="none" w:pos="82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820" w:hanging="316"/>
        <w:spacing w:after="0" w:line="230" w:lineRule="auto"/>
        <w:tabs>
          <w:tab w:leader="none" w:pos="8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1.35:1.</w:t>
      </w:r>
    </w:p>
    <w:p>
      <w:pPr>
        <w:ind w:left="780" w:hanging="276"/>
        <w:spacing w:after="0" w:line="230" w:lineRule="auto"/>
        <w:tabs>
          <w:tab w:leader="none" w:pos="82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 as well proceeds from the ATM Program and May 2023 Prospectus.</w:t>
      </w:r>
    </w:p>
    <w:p>
      <w:pPr>
        <w:spacing w:after="0" w:line="1" w:lineRule="exact"/>
        <w:rPr>
          <w:rFonts w:ascii="Times New Roman" w:cs="Times New Roman" w:eastAsia="Times New Roman" w:hAnsi="Times New Roman"/>
          <w:sz w:val="22"/>
          <w:szCs w:val="22"/>
          <w:color w:val="auto"/>
        </w:rPr>
      </w:pPr>
    </w:p>
    <w:p>
      <w:pPr>
        <w:jc w:val="both"/>
        <w:ind w:left="780" w:hanging="276"/>
        <w:spacing w:after="0" w:line="230" w:lineRule="auto"/>
        <w:tabs>
          <w:tab w:leader="none" w:pos="82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780" w:hanging="276"/>
        <w:spacing w:after="0" w:line="234" w:lineRule="auto"/>
        <w:tabs>
          <w:tab w:leader="none" w:pos="82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approximate remaining spend as of June 30, 2023 of $76,000 by September 30, 2023.</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1" w:lineRule="exact"/>
        <w:rPr>
          <w:sz w:val="20"/>
          <w:szCs w:val="20"/>
          <w:color w:val="auto"/>
        </w:rPr>
      </w:pPr>
    </w:p>
    <w:p>
      <w:pPr>
        <w:jc w:val="both"/>
        <w:ind w:firstLine="8"/>
        <w:spacing w:after="0" w:line="219" w:lineRule="auto"/>
        <w:tabs>
          <w:tab w:leader="none" w:pos="252"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12" w:right="339" w:bottom="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146685</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jc w:val="both"/>
        <w:ind w:right="20"/>
        <w:spacing w:after="0" w:line="260"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 Negative Operating Cash Flow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Going Concern".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August 16, 2023, the Corporation had 234,683,234 Common Shares and nil preferred shares issued and outstanding.</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8" w:name="page59"/>
    <w:bookmarkEnd w:id="58"/>
    <w:p>
      <w:pPr>
        <w:ind w:left="660"/>
        <w:spacing w:after="0" w:line="259"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-280670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-282575</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may, from time to time, issue Debt Securities and incur additional indebtedness other than through the issue of Debt Securities pursuant to this Prospectus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pgSz w:w="11900" w:h="16838" w:orient="portrait"/>
          <w:cols w:equalWidth="0" w:num="1">
            <w:col w:w="11240"/>
          </w:cols>
          <w:pgMar w:left="320" w:top="112" w:right="339" w:bottom="86"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6" w:gutter="0" w:footer="0" w:header="0"/>
          <w:type w:val="continuous"/>
        </w:sectPr>
      </w:pPr>
    </w:p>
    <w:bookmarkStart w:id="59" w:name="page60"/>
    <w:bookmarkEnd w:id="59"/>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-94615</wp:posOffset>
            </wp:positionV>
            <wp:extent cx="6858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may from time to time during the 25-month period that this Prospectus, including any amendments and supplements hereto, remains valid, offer for sale and sell up to an aggregate of $160,000,000 in Securities hereunder.</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including in the form of underwriters', dealers' or agents' fees, commissions or concessions.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Ongoing Impact of the Novel Coronavirus "COVID-19"</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outbreak of COVID-19 and its eventual declaration as a pandemic by the World Health Organization ("</w:t>
      </w:r>
      <w:r>
        <w:rPr>
          <w:rFonts w:ascii="Times New Roman" w:cs="Times New Roman" w:eastAsia="Times New Roman" w:hAnsi="Times New Roman"/>
          <w:sz w:val="22"/>
          <w:szCs w:val="22"/>
          <w:b w:val="1"/>
          <w:bCs w:val="1"/>
          <w:color w:val="auto"/>
        </w:rPr>
        <w:t>WHO</w:t>
      </w:r>
      <w:r>
        <w:rPr>
          <w:rFonts w:ascii="Times New Roman" w:cs="Times New Roman" w:eastAsia="Times New Roman" w:hAnsi="Times New Roman"/>
          <w:sz w:val="22"/>
          <w:szCs w:val="22"/>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pgSz w:w="11900" w:h="16838" w:orient="portrait"/>
          <w:cols w:equalWidth="0" w:num="1">
            <w:col w:w="11240"/>
          </w:cols>
          <w:pgMar w:left="320" w:top="108"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2" w:name="page63"/>
    <w:bookmarkEnd w:id="62"/>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 and Going Concern</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Times New Roman" w:cs="Times New Roman" w:eastAsia="Times New Roman" w:hAnsi="Times New Roman"/>
          <w:sz w:val="22"/>
          <w:szCs w:val="22"/>
          <w:i w:val="1"/>
          <w:iCs w:val="1"/>
          <w:color w:val="auto"/>
        </w:rPr>
        <w:t>"Risk Factors - Risks Related to the Offering - Potential Need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 Additional Financing"</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4180" w:firstLine="8"/>
        <w:spacing w:after="0" w:line="424" w:lineRule="auto"/>
        <w:tabs>
          <w:tab w:leader="none" w:pos="126" w:val="left"/>
        </w:tabs>
        <w:numPr>
          <w:ilvl w:val="0"/>
          <w:numId w:val="2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Negative Operating Cash Flow and Going Concern"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4" w:name="page65"/>
    <w:bookmarkEnd w:id="6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Neo is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77" w:lineRule="exact"/>
        <w:rPr>
          <w:sz w:val="20"/>
          <w:szCs w:val="20"/>
          <w:color w:val="auto"/>
        </w:rPr>
      </w:pPr>
    </w:p>
    <w:p>
      <w:pPr>
        <w:jc w:val="center"/>
        <w:ind w:right="500"/>
        <w:spacing w:after="0" w:line="463" w:lineRule="auto"/>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ind w:left="524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INFORMATION NOT REQUIRED TO BE DELIVERED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OFFEREES OR PURCHASERS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Indemnification of Directors and Officers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w:t>
      </w:r>
    </w:p>
    <w:p>
      <w:pPr>
        <w:spacing w:after="0" w:line="1" w:lineRule="exact"/>
        <w:rPr>
          <w:sz w:val="20"/>
          <w:szCs w:val="20"/>
          <w:color w:val="auto"/>
        </w:rPr>
      </w:pPr>
    </w:p>
    <w:p>
      <w:pPr>
        <w:jc w:val="both"/>
        <w:ind w:firstLine="8"/>
        <w:spacing w:after="0" w:line="232" w:lineRule="auto"/>
        <w:tabs>
          <w:tab w:leader="none" w:pos="3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by-laws of the Registrant provide that, subject to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(Ontario).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87"/>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40" w:type="dxa"/>
            <w:vAlign w:val="bottom"/>
            <w:gridSpan w:val="9"/>
          </w:tcPr>
          <w:p>
            <w:pPr>
              <w:ind w:left="1060"/>
              <w:spacing w:after="0"/>
              <w:rPr>
                <w:sz w:val="20"/>
                <w:szCs w:val="20"/>
                <w:color w:val="auto"/>
              </w:rPr>
            </w:pPr>
            <w:r>
              <w:rPr>
                <w:rFonts w:ascii="Times New Roman" w:cs="Times New Roman" w:eastAsia="Times New Roman" w:hAnsi="Times New Roman"/>
                <w:sz w:val="22"/>
                <w:szCs w:val="22"/>
                <w:b w:val="1"/>
                <w:bCs w:val="1"/>
                <w:color w:val="auto"/>
              </w:rPr>
              <w:t>EXHIBIT INDEX</w:t>
            </w:r>
          </w:p>
        </w:tc>
        <w:tc>
          <w:tcPr>
            <w:tcW w:w="0" w:type="dxa"/>
            <w:vAlign w:val="bottom"/>
          </w:tcPr>
          <w:p>
            <w:pPr>
              <w:spacing w:after="0"/>
              <w:rPr>
                <w:sz w:val="1"/>
                <w:szCs w:val="1"/>
                <w:color w:val="auto"/>
              </w:rPr>
            </w:pPr>
          </w:p>
        </w:tc>
      </w:tr>
      <w:tr>
        <w:trPr>
          <w:trHeight w:val="39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900" w:type="dxa"/>
            <w:vAlign w:val="bottom"/>
            <w:tcBorders>
              <w:top w:val="single" w:sz="8" w:color="EEEEEE"/>
            </w:tcBorders>
            <w:gridSpan w:val="3"/>
            <w:shd w:val="clear" w:color="auto" w:fill="EEEEEE"/>
          </w:tcPr>
          <w:p>
            <w:pPr>
              <w:spacing w:after="0"/>
              <w:rPr>
                <w:sz w:val="13"/>
                <w:szCs w:val="13"/>
                <w:color w:val="auto"/>
              </w:rPr>
            </w:pPr>
          </w:p>
        </w:tc>
        <w:tc>
          <w:tcPr>
            <w:tcW w:w="360" w:type="dxa"/>
            <w:vAlign w:val="bottom"/>
            <w:tcBorders>
              <w:top w:val="single" w:sz="8" w:color="EEEEEE"/>
              <w:right w:val="single" w:sz="8" w:color="EEEEEE"/>
            </w:tcBorders>
            <w:shd w:val="clear" w:color="auto" w:fill="EEEEEE"/>
          </w:tcPr>
          <w:p>
            <w:pPr>
              <w:jc w:val="right"/>
              <w:ind w:right="52"/>
              <w:spacing w:after="0" w:line="136" w:lineRule="exact"/>
              <w:rPr>
                <w:rFonts w:ascii="Times New Roman" w:cs="Times New Roman" w:eastAsia="Times New Roman" w:hAnsi="Times New Roman"/>
                <w:sz w:val="15"/>
                <w:szCs w:val="15"/>
                <w:color w:val="0000EE"/>
              </w:rPr>
            </w:pPr>
            <w:hyperlink r:id="rId146">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1</w:t>
              </w:r>
            </w:hyperlink>
          </w:p>
        </w:tc>
        <w:tc>
          <w:tcPr>
            <w:tcW w:w="9980" w:type="dxa"/>
            <w:vAlign w:val="bottom"/>
            <w:tcBorders>
              <w:top w:val="single" w:sz="8" w:color="auto"/>
              <w:right w:val="single" w:sz="8" w:color="EEEEEE"/>
            </w:tcBorders>
            <w:gridSpan w:val="14"/>
            <w:shd w:val="clear" w:color="auto" w:fill="EEEEEE"/>
          </w:tcPr>
          <w:p>
            <w:pPr>
              <w:spacing w:after="0" w:line="142" w:lineRule="exact"/>
              <w:rPr>
                <w:rFonts w:ascii="Times New Roman" w:cs="Times New Roman" w:eastAsia="Times New Roman" w:hAnsi="Times New Roman"/>
                <w:sz w:val="16"/>
                <w:szCs w:val="16"/>
                <w:color w:val="0000EE"/>
              </w:rPr>
            </w:pPr>
            <w:hyperlink r:id="rId146">
              <w:r>
                <w:rPr>
                  <w:rFonts w:ascii="Times New Roman" w:cs="Times New Roman" w:eastAsia="Times New Roman" w:hAnsi="Times New Roman"/>
                  <w:sz w:val="16"/>
                  <w:szCs w:val="16"/>
                  <w:color w:val="0000EE"/>
                </w:rPr>
                <w:t>The annual information form of the Registrant dated June 25, 2024 for the year ended March 31, 2024 (incorporated by reference from</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360" w:type="dxa"/>
            <w:vAlign w:val="bottom"/>
            <w:tcBorders>
              <w:right w:val="single" w:sz="8" w:color="EEEEEE"/>
            </w:tcBorders>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3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60" w:type="dxa"/>
            <w:vAlign w:val="bottom"/>
            <w:shd w:val="clear" w:color="auto" w:fill="0000EE"/>
          </w:tcPr>
          <w:p>
            <w:pPr>
              <w:spacing w:after="0"/>
              <w:rPr>
                <w:sz w:val="2"/>
                <w:szCs w:val="2"/>
                <w:color w:val="auto"/>
              </w:rPr>
            </w:pPr>
          </w:p>
        </w:tc>
        <w:tc>
          <w:tcPr>
            <w:tcW w:w="580" w:type="dxa"/>
            <w:vAlign w:val="bottom"/>
            <w:tcBorders>
              <w:right w:val="single" w:sz="8" w:color="EEEE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9980" w:type="dxa"/>
            <w:vAlign w:val="bottom"/>
            <w:tcBorders>
              <w:right w:val="single" w:sz="8" w:color="EEEEEE"/>
            </w:tcBorders>
            <w:gridSpan w:val="14"/>
            <w:shd w:val="clear" w:color="auto" w:fill="EEEEEE"/>
          </w:tcPr>
          <w:p>
            <w:pPr>
              <w:spacing w:after="0" w:line="202"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Exhibit 99.1 of the Registrant's Annual Report on Form 40-F, filed with the Commission on June 26, 2024).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0" w:type="dxa"/>
            <w:vAlign w:val="bottom"/>
            <w:gridSpan w:val="3"/>
            <w:shd w:val="clear" w:color="auto" w:fill="EEEEEE"/>
          </w:tcPr>
          <w:p>
            <w:pPr>
              <w:spacing w:after="0"/>
              <w:rPr>
                <w:sz w:val="15"/>
                <w:szCs w:val="15"/>
                <w:color w:val="auto"/>
              </w:rPr>
            </w:pPr>
          </w:p>
        </w:tc>
        <w:tc>
          <w:tcPr>
            <w:tcW w:w="360" w:type="dxa"/>
            <w:vAlign w:val="bottom"/>
            <w:tcBorders>
              <w:right w:val="single" w:sz="8" w:color="EEEEEE"/>
            </w:tcBorders>
            <w:shd w:val="clear" w:color="auto" w:fill="EEEEEE"/>
          </w:tcPr>
          <w:p>
            <w:pPr>
              <w:jc w:val="right"/>
              <w:ind w:right="52"/>
              <w:spacing w:after="0" w:line="176" w:lineRule="exact"/>
              <w:rPr>
                <w:rFonts w:ascii="Times New Roman" w:cs="Times New Roman" w:eastAsia="Times New Roman" w:hAnsi="Times New Roman"/>
                <w:sz w:val="18"/>
                <w:szCs w:val="18"/>
                <w:color w:val="0000EE"/>
                <w:w w:val="88"/>
              </w:rPr>
            </w:pPr>
            <w:hyperlink r:id="rId14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9980" w:type="dxa"/>
            <w:vAlign w:val="bottom"/>
            <w:tcBorders>
              <w:right w:val="single" w:sz="8" w:color="EEEEEE"/>
            </w:tcBorders>
            <w:gridSpan w:val="14"/>
            <w:shd w:val="clear" w:color="auto" w:fill="EEEEEE"/>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The audited consolidated financial statements of the Registrant and the notes thereto as at and for the fiscal year ended March 31, 2024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60" w:type="dxa"/>
            <w:vAlign w:val="bottom"/>
            <w:tcBorders>
              <w:right w:val="single" w:sz="8" w:color="EEEE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9980" w:type="dxa"/>
            <w:vAlign w:val="bottom"/>
            <w:tcBorders>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and 2023, together with the auditor's report thereon (incorporated by reference from Exhibit 99.2 of the Registrant's Annual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EEEEEE"/>
              <w:right w:val="single" w:sz="8" w:color="EEEEEE"/>
            </w:tcBorders>
            <w:shd w:val="clear" w:color="auto" w:fill="EEEEEE"/>
          </w:tcPr>
          <w:p>
            <w:pPr>
              <w:spacing w:after="0"/>
              <w:rPr>
                <w:sz w:val="18"/>
                <w:szCs w:val="18"/>
                <w:color w:val="auto"/>
              </w:rPr>
            </w:pPr>
          </w:p>
        </w:tc>
        <w:tc>
          <w:tcPr>
            <w:tcW w:w="9980" w:type="dxa"/>
            <w:vAlign w:val="bottom"/>
            <w:tcBorders>
              <w:top w:val="single" w:sz="8" w:color="0000EE"/>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40-F, filed with the Commission on June 26,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00" w:type="dxa"/>
            <w:vAlign w:val="bottom"/>
            <w:gridSpan w:val="3"/>
            <w:shd w:val="clear" w:color="auto" w:fill="EEEEEE"/>
          </w:tcPr>
          <w:p>
            <w:pPr>
              <w:spacing w:after="0"/>
              <w:rPr>
                <w:sz w:val="15"/>
                <w:szCs w:val="15"/>
                <w:color w:val="auto"/>
              </w:rPr>
            </w:pPr>
          </w:p>
        </w:tc>
        <w:tc>
          <w:tcPr>
            <w:tcW w:w="360" w:type="dxa"/>
            <w:vAlign w:val="bottom"/>
            <w:tcBorders>
              <w:right w:val="single" w:sz="8" w:color="EEEEEE"/>
            </w:tcBorders>
            <w:shd w:val="clear" w:color="auto" w:fill="EEEEEE"/>
          </w:tcPr>
          <w:p>
            <w:pPr>
              <w:jc w:val="right"/>
              <w:ind w:right="52"/>
              <w:spacing w:after="0" w:line="176" w:lineRule="exact"/>
              <w:rPr>
                <w:rFonts w:ascii="Times New Roman" w:cs="Times New Roman" w:eastAsia="Times New Roman" w:hAnsi="Times New Roman"/>
                <w:sz w:val="18"/>
                <w:szCs w:val="18"/>
                <w:color w:val="0000EE"/>
                <w:w w:val="88"/>
              </w:rPr>
            </w:pPr>
            <w:hyperlink r:id="rId14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hyperlink>
          </w:p>
        </w:tc>
        <w:tc>
          <w:tcPr>
            <w:tcW w:w="9980" w:type="dxa"/>
            <w:vAlign w:val="bottom"/>
            <w:tcBorders>
              <w:right w:val="single" w:sz="8" w:color="EEEEEE"/>
            </w:tcBorders>
            <w:gridSpan w:val="14"/>
            <w:shd w:val="clear" w:color="auto" w:fill="EEEEEE"/>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Management's discussion and analysis of the Registrant for the year ended March 31, 2024 (incorporated by reference from Exhibit 99.3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60" w:type="dxa"/>
            <w:vAlign w:val="bottom"/>
            <w:tcBorders>
              <w:right w:val="single" w:sz="8" w:color="EEEE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EEEE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980" w:type="dxa"/>
            <w:vAlign w:val="bottom"/>
            <w:tcBorders>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of the Registrant's Annual Report on Form 40-F, filed with the Commission on June 26,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0" w:type="dxa"/>
            <w:vAlign w:val="bottom"/>
            <w:gridSpan w:val="3"/>
            <w:shd w:val="clear" w:color="auto" w:fill="EEEEEE"/>
          </w:tcPr>
          <w:p>
            <w:pPr>
              <w:spacing w:after="0"/>
              <w:rPr>
                <w:sz w:val="15"/>
                <w:szCs w:val="15"/>
                <w:color w:val="auto"/>
              </w:rPr>
            </w:pPr>
          </w:p>
        </w:tc>
        <w:tc>
          <w:tcPr>
            <w:tcW w:w="360" w:type="dxa"/>
            <w:vAlign w:val="bottom"/>
            <w:tcBorders>
              <w:right w:val="single" w:sz="8" w:color="EEEEEE"/>
            </w:tcBorders>
            <w:shd w:val="clear" w:color="auto" w:fill="EEEEEE"/>
          </w:tcPr>
          <w:p>
            <w:pPr>
              <w:jc w:val="right"/>
              <w:ind w:right="52"/>
              <w:spacing w:after="0" w:line="176" w:lineRule="exact"/>
              <w:rPr>
                <w:rFonts w:ascii="Times New Roman" w:cs="Times New Roman" w:eastAsia="Times New Roman" w:hAnsi="Times New Roman"/>
                <w:sz w:val="18"/>
                <w:szCs w:val="18"/>
                <w:color w:val="0000EE"/>
                <w:w w:val="88"/>
              </w:rPr>
            </w:pPr>
            <w:hyperlink r:id="rId14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hyperlink>
          </w:p>
        </w:tc>
        <w:tc>
          <w:tcPr>
            <w:tcW w:w="9980" w:type="dxa"/>
            <w:vAlign w:val="bottom"/>
            <w:tcBorders>
              <w:right w:val="single" w:sz="8" w:color="EEEEEE"/>
            </w:tcBorders>
            <w:gridSpan w:val="14"/>
            <w:shd w:val="clear" w:color="auto" w:fill="EEEEEE"/>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The unaudited interim condensed consolidated financial statements of the Registrant and the notes thereto for the three and six months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60" w:type="dxa"/>
            <w:vAlign w:val="bottom"/>
            <w:tcBorders>
              <w:right w:val="single" w:sz="8" w:color="EEEE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right w:val="single" w:sz="8" w:color="EEEEEE"/>
            </w:tcBorders>
            <w:shd w:val="clear" w:color="auto" w:fill="EEEEEE"/>
          </w:tcPr>
          <w:p>
            <w:pPr>
              <w:spacing w:after="0"/>
              <w:rPr>
                <w:sz w:val="17"/>
                <w:szCs w:val="17"/>
                <w:color w:val="auto"/>
              </w:rPr>
            </w:pPr>
          </w:p>
        </w:tc>
        <w:tc>
          <w:tcPr>
            <w:tcW w:w="9980" w:type="dxa"/>
            <w:vAlign w:val="bottom"/>
            <w:tcBorders>
              <w:bottom w:val="single" w:sz="8" w:color="0000EE"/>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ended September 30, 2024 (incorporated by reference from Exhibit 99.1 of the Registrant's Form 6-K, furnished to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980" w:type="dxa"/>
            <w:vAlign w:val="bottom"/>
            <w:tcBorders>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November 13,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00" w:type="dxa"/>
            <w:vAlign w:val="bottom"/>
            <w:gridSpan w:val="3"/>
            <w:shd w:val="clear" w:color="auto" w:fill="EEEEEE"/>
          </w:tcPr>
          <w:p>
            <w:pPr>
              <w:spacing w:after="0"/>
              <w:rPr>
                <w:sz w:val="15"/>
                <w:szCs w:val="15"/>
                <w:color w:val="auto"/>
              </w:rPr>
            </w:pPr>
          </w:p>
        </w:tc>
        <w:tc>
          <w:tcPr>
            <w:tcW w:w="360" w:type="dxa"/>
            <w:vAlign w:val="bottom"/>
            <w:tcBorders>
              <w:right w:val="single" w:sz="8" w:color="EEEEEE"/>
            </w:tcBorders>
            <w:shd w:val="clear" w:color="auto" w:fill="EEEEEE"/>
          </w:tcPr>
          <w:p>
            <w:pPr>
              <w:jc w:val="right"/>
              <w:ind w:right="52"/>
              <w:spacing w:after="0" w:line="176" w:lineRule="exact"/>
              <w:rPr>
                <w:rFonts w:ascii="Times New Roman" w:cs="Times New Roman" w:eastAsia="Times New Roman" w:hAnsi="Times New Roman"/>
                <w:sz w:val="18"/>
                <w:szCs w:val="18"/>
                <w:color w:val="0000EE"/>
                <w:w w:val="88"/>
              </w:rPr>
            </w:pPr>
            <w:hyperlink r:id="rId15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hyperlink>
          </w:p>
        </w:tc>
        <w:tc>
          <w:tcPr>
            <w:tcW w:w="9980" w:type="dxa"/>
            <w:vAlign w:val="bottom"/>
            <w:tcBorders>
              <w:right w:val="single" w:sz="8" w:color="EEEEEE"/>
            </w:tcBorders>
            <w:gridSpan w:val="14"/>
            <w:shd w:val="clear" w:color="auto" w:fill="EEEEEE"/>
          </w:tcPr>
          <w:p>
            <w:pPr>
              <w:spacing w:after="0" w:line="17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Management's discussion and analysis of the Registrant for the three and six months ended September 30, 2024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60" w:type="dxa"/>
            <w:vAlign w:val="bottom"/>
            <w:tcBorders>
              <w:right w:val="single" w:sz="8" w:color="EEEE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980" w:type="dxa"/>
            <w:vAlign w:val="bottom"/>
            <w:tcBorders>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from Exhibit 99.2 of the Registrant's Form 6-K, furnished to the Commission on November 13,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0" w:type="dxa"/>
            <w:vAlign w:val="bottom"/>
            <w:gridSpan w:val="3"/>
            <w:shd w:val="clear" w:color="auto" w:fill="EEEEEE"/>
          </w:tcPr>
          <w:p>
            <w:pPr>
              <w:spacing w:after="0"/>
              <w:rPr>
                <w:sz w:val="15"/>
                <w:szCs w:val="15"/>
                <w:color w:val="auto"/>
              </w:rPr>
            </w:pPr>
          </w:p>
        </w:tc>
        <w:tc>
          <w:tcPr>
            <w:tcW w:w="360" w:type="dxa"/>
            <w:vAlign w:val="bottom"/>
            <w:tcBorders>
              <w:right w:val="single" w:sz="8" w:color="EEEEEE"/>
            </w:tcBorders>
            <w:shd w:val="clear" w:color="auto" w:fill="EEEEEE"/>
          </w:tcPr>
          <w:p>
            <w:pPr>
              <w:jc w:val="right"/>
              <w:ind w:right="52"/>
              <w:spacing w:after="0" w:line="176" w:lineRule="exact"/>
              <w:rPr>
                <w:rFonts w:ascii="Times New Roman" w:cs="Times New Roman" w:eastAsia="Times New Roman" w:hAnsi="Times New Roman"/>
                <w:sz w:val="18"/>
                <w:szCs w:val="18"/>
                <w:color w:val="0000EE"/>
                <w:w w:val="88"/>
              </w:rPr>
            </w:pPr>
            <w:hyperlink r:id="rId151">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6</w:t>
              </w:r>
            </w:hyperlink>
          </w:p>
        </w:tc>
        <w:tc>
          <w:tcPr>
            <w:tcW w:w="9980" w:type="dxa"/>
            <w:vAlign w:val="bottom"/>
            <w:tcBorders>
              <w:right w:val="single" w:sz="8" w:color="EEEEEE"/>
            </w:tcBorders>
            <w:gridSpan w:val="14"/>
            <w:shd w:val="clear" w:color="auto" w:fill="EEEEEE"/>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The management information circular of the Registrant dated July 24, 2024 relating to an annual and special meeting of shareholders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60" w:type="dxa"/>
            <w:vAlign w:val="bottom"/>
            <w:tcBorders>
              <w:right w:val="single" w:sz="8" w:color="EEEE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0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right w:val="single" w:sz="8" w:color="EEEEEE"/>
            </w:tcBorders>
            <w:shd w:val="clear" w:color="auto" w:fill="EEEEEE"/>
          </w:tcPr>
          <w:p>
            <w:pPr>
              <w:spacing w:after="0"/>
              <w:rPr>
                <w:sz w:val="17"/>
                <w:szCs w:val="17"/>
                <w:color w:val="auto"/>
              </w:rPr>
            </w:pPr>
          </w:p>
        </w:tc>
        <w:tc>
          <w:tcPr>
            <w:tcW w:w="9980" w:type="dxa"/>
            <w:vAlign w:val="bottom"/>
            <w:tcBorders>
              <w:bottom w:val="single" w:sz="8" w:color="0000EE"/>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the Registrant held on August 27, 2024 (incorporated by reference from Exhibit 99.1 of the Registrant's Form 6-K, furnished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980" w:type="dxa"/>
            <w:vAlign w:val="bottom"/>
            <w:tcBorders>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Commission on August 15,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00" w:type="dxa"/>
            <w:vAlign w:val="bottom"/>
            <w:gridSpan w:val="3"/>
            <w:shd w:val="clear" w:color="auto" w:fill="EEEEEE"/>
          </w:tcPr>
          <w:p>
            <w:pPr>
              <w:spacing w:after="0"/>
              <w:rPr>
                <w:sz w:val="15"/>
                <w:szCs w:val="15"/>
                <w:color w:val="auto"/>
              </w:rPr>
            </w:pPr>
          </w:p>
        </w:tc>
        <w:tc>
          <w:tcPr>
            <w:tcW w:w="360" w:type="dxa"/>
            <w:vAlign w:val="bottom"/>
            <w:tcBorders>
              <w:right w:val="single" w:sz="8" w:color="EEEEEE"/>
            </w:tcBorders>
            <w:shd w:val="clear" w:color="auto" w:fill="EEEEEE"/>
          </w:tcPr>
          <w:p>
            <w:pPr>
              <w:jc w:val="right"/>
              <w:ind w:right="52"/>
              <w:spacing w:after="0" w:line="176" w:lineRule="exact"/>
              <w:rPr>
                <w:rFonts w:ascii="Times New Roman" w:cs="Times New Roman" w:eastAsia="Times New Roman" w:hAnsi="Times New Roman"/>
                <w:sz w:val="18"/>
                <w:szCs w:val="18"/>
                <w:color w:val="0000EE"/>
                <w:w w:val="88"/>
              </w:rPr>
            </w:pPr>
            <w:hyperlink r:id="rId15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7</w:t>
              </w:r>
            </w:hyperlink>
          </w:p>
        </w:tc>
        <w:tc>
          <w:tcPr>
            <w:tcW w:w="9980" w:type="dxa"/>
            <w:vAlign w:val="bottom"/>
            <w:tcBorders>
              <w:right w:val="single" w:sz="8" w:color="EEEEEE"/>
            </w:tcBorders>
            <w:gridSpan w:val="14"/>
            <w:shd w:val="clear" w:color="auto" w:fill="EEEEEE"/>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The material change report of the Registrant dated September 19, 2024 relating to the filing of articles of amendment to consolidate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60" w:type="dxa"/>
            <w:vAlign w:val="bottom"/>
            <w:tcBorders>
              <w:right w:val="single" w:sz="8" w:color="EEEE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0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right w:val="single" w:sz="8" w:color="EEEEEE"/>
            </w:tcBorders>
            <w:shd w:val="clear" w:color="auto" w:fill="EEEEEE"/>
          </w:tcPr>
          <w:p>
            <w:pPr>
              <w:spacing w:after="0"/>
              <w:rPr>
                <w:sz w:val="17"/>
                <w:szCs w:val="17"/>
                <w:color w:val="auto"/>
              </w:rPr>
            </w:pPr>
          </w:p>
        </w:tc>
        <w:tc>
          <w:tcPr>
            <w:tcW w:w="9980" w:type="dxa"/>
            <w:vAlign w:val="bottom"/>
            <w:tcBorders>
              <w:bottom w:val="single" w:sz="8" w:color="0000EE"/>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Registrant's issued and outstanding common shares on the basis one new common share for every 38 existing common shares.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980" w:type="dxa"/>
            <w:vAlign w:val="bottom"/>
            <w:tcBorders>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by reference from Exhibit 99.1 of the Registrant's Form 6-K, furnished to the Commission on September 20,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00" w:type="dxa"/>
            <w:vAlign w:val="bottom"/>
            <w:gridSpan w:val="3"/>
            <w:shd w:val="clear" w:color="auto" w:fill="EEEEEE"/>
          </w:tcPr>
          <w:p>
            <w:pPr>
              <w:spacing w:after="0"/>
              <w:rPr>
                <w:sz w:val="15"/>
                <w:szCs w:val="15"/>
                <w:color w:val="auto"/>
              </w:rPr>
            </w:pPr>
          </w:p>
        </w:tc>
        <w:tc>
          <w:tcPr>
            <w:tcW w:w="360" w:type="dxa"/>
            <w:vAlign w:val="bottom"/>
            <w:tcBorders>
              <w:right w:val="single" w:sz="8" w:color="EEEEEE"/>
            </w:tcBorders>
            <w:shd w:val="clear" w:color="auto" w:fill="EEEEEE"/>
          </w:tcPr>
          <w:p>
            <w:pPr>
              <w:jc w:val="right"/>
              <w:ind w:right="52"/>
              <w:spacing w:after="0" w:line="176" w:lineRule="exact"/>
              <w:rPr>
                <w:rFonts w:ascii="Times New Roman" w:cs="Times New Roman" w:eastAsia="Times New Roman" w:hAnsi="Times New Roman"/>
                <w:sz w:val="18"/>
                <w:szCs w:val="18"/>
                <w:color w:val="0000EE"/>
                <w:w w:val="88"/>
              </w:rPr>
            </w:pPr>
            <w:hyperlink r:id="rId15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hyperlink>
          </w:p>
        </w:tc>
        <w:tc>
          <w:tcPr>
            <w:tcW w:w="9980" w:type="dxa"/>
            <w:vAlign w:val="bottom"/>
            <w:tcBorders>
              <w:right w:val="single" w:sz="8" w:color="EEEEEE"/>
            </w:tcBorders>
            <w:gridSpan w:val="14"/>
            <w:shd w:val="clear" w:color="auto" w:fill="EEEEEE"/>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The business acquisition report dated October 27, 2023 relating to the acquisition of Small Pharma Inc. ("Small Pharma") by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60" w:type="dxa"/>
            <w:vAlign w:val="bottom"/>
            <w:tcBorders>
              <w:right w:val="single" w:sz="8" w:color="EEEE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right w:val="single" w:sz="8" w:color="EEEEEE"/>
            </w:tcBorders>
            <w:shd w:val="clear" w:color="auto" w:fill="EEEEEE"/>
          </w:tcPr>
          <w:p>
            <w:pPr>
              <w:spacing w:after="0"/>
              <w:rPr>
                <w:sz w:val="17"/>
                <w:szCs w:val="17"/>
                <w:color w:val="auto"/>
              </w:rPr>
            </w:pPr>
          </w:p>
        </w:tc>
        <w:tc>
          <w:tcPr>
            <w:tcW w:w="9980" w:type="dxa"/>
            <w:vAlign w:val="bottom"/>
            <w:tcBorders>
              <w:bottom w:val="single" w:sz="8" w:color="0000EE"/>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Registrant pursuant to the terms of the definitive agreement under which the Registrant acquired all of the issued and outstanding common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right w:val="single" w:sz="8" w:color="EEEEEE"/>
            </w:tcBorders>
            <w:shd w:val="clear" w:color="auto" w:fill="EEEEEE"/>
          </w:tcPr>
          <w:p>
            <w:pPr>
              <w:spacing w:after="0"/>
              <w:rPr>
                <w:sz w:val="17"/>
                <w:szCs w:val="17"/>
                <w:color w:val="auto"/>
              </w:rPr>
            </w:pPr>
          </w:p>
        </w:tc>
        <w:tc>
          <w:tcPr>
            <w:tcW w:w="9980" w:type="dxa"/>
            <w:vAlign w:val="bottom"/>
            <w:tcBorders>
              <w:bottom w:val="single" w:sz="8" w:color="0000EE"/>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shares of Small Pharma pursuant to a court-approved plan of arrangement (incorporated by reference from Exhibit 99.1 of the Registrant's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980" w:type="dxa"/>
            <w:vAlign w:val="bottom"/>
            <w:tcBorders>
              <w:right w:val="single" w:sz="8" w:color="EEEEEE"/>
            </w:tcBorders>
            <w:gridSpan w:val="14"/>
            <w:shd w:val="clear" w:color="auto" w:fill="EEEEEE"/>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6-K, furnished to the Commission on October 27, 2023).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Borders>
              <w:right w:val="single" w:sz="8" w:color="EEEEEE"/>
            </w:tcBorders>
            <w:gridSpan w:val="4"/>
            <w:shd w:val="clear" w:color="auto" w:fill="EEEEEE"/>
          </w:tcPr>
          <w:p>
            <w:pPr>
              <w:jc w:val="right"/>
              <w:ind w:right="52"/>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9980" w:type="dxa"/>
            <w:vAlign w:val="bottom"/>
            <w:tcBorders>
              <w:right w:val="single" w:sz="8" w:color="EEEEEE"/>
            </w:tcBorders>
            <w:gridSpan w:val="1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Consent of Zeifmans LLP.</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Borders>
              <w:right w:val="single" w:sz="8" w:color="EEEEEE"/>
            </w:tcBorders>
            <w:gridSpan w:val="4"/>
            <w:shd w:val="clear" w:color="auto" w:fill="EEEEEE"/>
          </w:tcPr>
          <w:p>
            <w:pPr>
              <w:jc w:val="right"/>
              <w:ind w:right="52"/>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9980" w:type="dxa"/>
            <w:vAlign w:val="bottom"/>
            <w:tcBorders>
              <w:right w:val="single" w:sz="8" w:color="EEEEEE"/>
            </w:tcBorders>
            <w:gridSpan w:val="1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Consent of MNP LLP</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Borders>
              <w:right w:val="single" w:sz="8" w:color="EEEEEE"/>
            </w:tcBorders>
            <w:gridSpan w:val="4"/>
            <w:shd w:val="clear" w:color="auto" w:fill="EEEEEE"/>
          </w:tcPr>
          <w:p>
            <w:pPr>
              <w:jc w:val="right"/>
              <w:ind w:right="52"/>
              <w:spacing w:after="0" w:line="176"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9980" w:type="dxa"/>
            <w:vAlign w:val="bottom"/>
            <w:tcBorders>
              <w:right w:val="single" w:sz="8" w:color="EEEEEE"/>
            </w:tcBorders>
            <w:gridSpan w:val="1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Powers of Attorney (contained on the signature page hereto).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Borders>
              <w:right w:val="single" w:sz="8" w:color="EEEEEE"/>
            </w:tcBorders>
            <w:gridSpan w:val="4"/>
            <w:shd w:val="clear" w:color="auto" w:fill="EEEEEE"/>
          </w:tcPr>
          <w:p>
            <w:pPr>
              <w:jc w:val="right"/>
              <w:ind w:right="52"/>
              <w:spacing w:after="0" w:line="176"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9980" w:type="dxa"/>
            <w:vAlign w:val="bottom"/>
            <w:tcBorders>
              <w:right w:val="single" w:sz="8" w:color="EEEEEE"/>
            </w:tcBorders>
            <w:gridSpan w:val="1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Form of Debt Indenture.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3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60" w:type="dxa"/>
            <w:vAlign w:val="bottom"/>
            <w:tcBorders>
              <w:right w:val="single" w:sz="8" w:color="EEEEEE"/>
            </w:tcBorders>
            <w:gridSpan w:val="4"/>
            <w:shd w:val="clear" w:color="auto" w:fill="EEEEEE"/>
          </w:tcPr>
          <w:p>
            <w:pPr>
              <w:jc w:val="right"/>
              <w:ind w:right="52"/>
              <w:spacing w:after="0" w:line="176" w:lineRule="exact"/>
              <w:rPr>
                <w:sz w:val="20"/>
                <w:szCs w:val="20"/>
                <w:color w:val="auto"/>
              </w:rPr>
            </w:pPr>
            <w:r>
              <w:rPr>
                <w:rFonts w:ascii="Times New Roman" w:cs="Times New Roman" w:eastAsia="Times New Roman" w:hAnsi="Times New Roman"/>
                <w:sz w:val="18"/>
                <w:szCs w:val="18"/>
                <w:color w:val="0000EE"/>
              </w:rPr>
              <w:t>107*</w:t>
            </w:r>
          </w:p>
        </w:tc>
        <w:tc>
          <w:tcPr>
            <w:tcW w:w="9980" w:type="dxa"/>
            <w:vAlign w:val="bottom"/>
            <w:tcBorders>
              <w:right w:val="single" w:sz="8" w:color="EEEEEE"/>
            </w:tcBorders>
            <w:gridSpan w:val="1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120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30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UNDERTAKING AND CONSENT TO SERVICE OF PROCESS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Undertaking</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F-10 or to transactions in said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Consent to Service of Process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written Appointment of Agent for Service of Process and Undertaking on Form F-X for the Registrant and its agent for service of process is being filed concurrently herewith.</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Any change to the name or address of the agent for service of process of the Registrant shall be communicated promptly to the Commission by amendment to Form F-X referencing the file number of this Registration Statement on Form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the requirements of the Securities Act of 1933, as amended, the registrant certifies that it has reasonable grounds to believe that it meets all of the requirements for filing on Form F-10 and has duly caused this Registration Statement to be signed on its behalf by the undersigned, thereunto duly authorized, in the City of Toronto, Country of Canada on January 7, 2025.</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18415</wp:posOffset>
            </wp:positionV>
            <wp:extent cx="31972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Greg Cavers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1"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22"/>
          <w:szCs w:val="22"/>
          <w:color w:val="auto"/>
        </w:rPr>
        <w:t>KNOW ALL PERSONS BY THESE PRESENTS, that each person whose signature appears below constitutes and appoints Douglas Drysdale and Greg Cavers or any of them, his or her true and lawful attorneys-in-fact and agents, each of whom may act alone, with full powers of substitution and resubstitution, for him or her and in his or her name, place and stead, in any and all capacities, to sign any or all amendments to this Registration Statement, including post-effective amendments, registration statements filed pursuant to Rule 429 under the Securities Acts of 1933, as amended, and any and all additional registration statements (including amendments and post-effective amendments thereto) in connection with any increase in the amount of securities registered with the Securities and Exchange Commission,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w:t>
      </w:r>
    </w:p>
    <w:p>
      <w:pPr>
        <w:spacing w:after="0" w:line="18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2"/>
          <w:szCs w:val="22"/>
          <w:color w:val="auto"/>
        </w:rPr>
        <w:t>This Power of Attorney may be executed in multiple counterparts, each of which shall be deemed an original, but which taken together shall constitute one instrument.</w:t>
      </w:r>
    </w:p>
    <w:p>
      <w:pPr>
        <w:spacing w:after="0" w:line="15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as amended, this Registration Statement has been signed below by the following persons in the capacities indicated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4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32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Douglas Drysdale</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Drysdale</w:t>
            </w:r>
          </w:p>
        </w:tc>
        <w:tc>
          <w:tcPr>
            <w:tcW w:w="4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Greg Cavers</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Greg Cavers</w:t>
            </w:r>
          </w:p>
        </w:tc>
        <w:tc>
          <w:tcPr>
            <w:tcW w:w="4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Eric So</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 and Executive Chairman and President</w:t>
            </w:r>
          </w:p>
        </w:tc>
        <w:tc>
          <w:tcPr>
            <w:tcW w:w="3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So</w:t>
            </w:r>
          </w:p>
        </w:tc>
        <w:tc>
          <w:tcPr>
            <w:tcW w:w="4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Eric Hoskins</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Hoskins</w:t>
            </w:r>
          </w:p>
        </w:tc>
        <w:tc>
          <w:tcPr>
            <w:tcW w:w="4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Grant Froese</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Grant Froese</w:t>
            </w:r>
          </w:p>
        </w:tc>
        <w:tc>
          <w:tcPr>
            <w:tcW w:w="4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Mark Lawson</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Lawson</w:t>
            </w:r>
          </w:p>
        </w:tc>
        <w:tc>
          <w:tcPr>
            <w:tcW w:w="4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Theresa Firestone</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Theresa Firestone</w:t>
            </w:r>
          </w:p>
        </w:tc>
        <w:tc>
          <w:tcPr>
            <w:tcW w:w="44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29"/>
        </w:trPr>
        <w:tc>
          <w:tcPr>
            <w:tcW w:w="36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74"/>
        </w:trPr>
        <w:tc>
          <w:tcPr>
            <w:tcW w:w="3620" w:type="dxa"/>
            <w:vAlign w:val="bottom"/>
            <w:shd w:val="clear" w:color="auto" w:fill="000000"/>
          </w:tcPr>
          <w:p>
            <w:pPr>
              <w:spacing w:after="0"/>
              <w:rPr>
                <w:sz w:val="6"/>
                <w:szCs w:val="6"/>
                <w:color w:val="auto"/>
              </w:rPr>
            </w:pPr>
          </w:p>
        </w:tc>
        <w:tc>
          <w:tcPr>
            <w:tcW w:w="4460" w:type="dxa"/>
            <w:vAlign w:val="bottom"/>
            <w:shd w:val="clear" w:color="auto" w:fill="000000"/>
          </w:tcPr>
          <w:p>
            <w:pPr>
              <w:spacing w:after="0"/>
              <w:rPr>
                <w:sz w:val="6"/>
                <w:szCs w:val="6"/>
                <w:color w:val="auto"/>
              </w:rPr>
            </w:pPr>
          </w:p>
        </w:tc>
        <w:tc>
          <w:tcPr>
            <w:tcW w:w="320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Paul Glavine</w:t>
            </w: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46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Glavine</w:t>
            </w:r>
          </w:p>
        </w:tc>
        <w:tc>
          <w:tcPr>
            <w:tcW w:w="30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George Tziras</w:t>
            </w: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46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January 7, 2025</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George Tziras</w:t>
            </w:r>
          </w:p>
        </w:tc>
        <w:tc>
          <w:tcPr>
            <w:tcW w:w="304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329"/>
        </w:trPr>
        <w:tc>
          <w:tcPr>
            <w:tcW w:w="3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4"/>
        </w:trPr>
        <w:tc>
          <w:tcPr>
            <w:tcW w:w="3620" w:type="dxa"/>
            <w:vAlign w:val="bottom"/>
            <w:shd w:val="clear" w:color="auto" w:fill="000000"/>
          </w:tcPr>
          <w:p>
            <w:pPr>
              <w:spacing w:after="0"/>
              <w:rPr>
                <w:sz w:val="6"/>
                <w:szCs w:val="6"/>
                <w:color w:val="auto"/>
              </w:rPr>
            </w:pPr>
          </w:p>
        </w:tc>
        <w:tc>
          <w:tcPr>
            <w:tcW w:w="3040" w:type="dxa"/>
            <w:vAlign w:val="bottom"/>
            <w:shd w:val="clear" w:color="auto" w:fill="000000"/>
          </w:tcPr>
          <w:p>
            <w:pPr>
              <w:spacing w:after="0"/>
              <w:rPr>
                <w:sz w:val="6"/>
                <w:szCs w:val="6"/>
                <w:color w:val="auto"/>
              </w:rPr>
            </w:pPr>
          </w:p>
        </w:tc>
        <w:tc>
          <w:tcPr>
            <w:tcW w:w="462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362" w:right="29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AUTHORIZED REPRESENTATIVE</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Pursuant to the requirements of Section 6(a) of the Securities Act of 1933, as amended, the undersigned has signed this Registration Statement, in the capacity of the duly authorized representative of the Registrant in the United States, on January 7, 2025.</w:t>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Douglas Drysdale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3" w:name="page74"/>
    <w:bookmarkEnd w:id="73"/>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1371600" cy="403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3225"/>
                    </a:xfrm>
                    <a:prstGeom prst="rect">
                      <a:avLst/>
                    </a:prstGeom>
                    <a:noFill/>
                  </pic:spPr>
                </pic:pic>
              </a:graphicData>
            </a:graphic>
          </wp:anchor>
        </w:drawing>
      </w: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We consent to the incorporation by reference into the Registration Statement on Form F-10 (the "Form F-10") of Cybin Inc. (the "Company") being filed with the United States Securities and Exchange Commission, and any amendments thereto, of our report, dated June 25, 2024, with respect to the consolidated statements of financial position of the Company as of March 31, 2024 and 2023, and the consolidated statements of loss and comprehensive loss, changes in shareholders' equity and cash flows for the years then ended, and notes to the consolidated financial statements, including material accounting policy information.</w:t>
      </w:r>
    </w:p>
    <w:p>
      <w:pPr>
        <w:spacing w:after="0" w:line="17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2"/>
          <w:szCs w:val="22"/>
          <w:color w:val="auto"/>
        </w:rPr>
        <w:t>We also consent to the reference to us under the caption "Auditor, Transfer Agent and Registrar" in the short-form base shelf prospectus contained in the Form F-10.</w:t>
      </w:r>
    </w:p>
    <w:p>
      <w:pPr>
        <w:spacing w:after="0" w:line="16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i w:val="1"/>
          <w:iCs w:val="1"/>
          <w:color w:val="auto"/>
        </w:rPr>
        <w:t>/s/ Zeifmans LLP</w:t>
      </w:r>
    </w:p>
    <w:p>
      <w:pPr>
        <w:sectPr>
          <w:pgSz w:w="11900" w:h="16838" w:orient="portrait"/>
          <w:cols w:equalWidth="0" w:num="1">
            <w:col w:w="11280"/>
          </w:cols>
          <w:pgMar w:left="320" w:top="1440" w:right="29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Canada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7, 2025</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Chartered Professional Accountants</w:t>
      </w:r>
    </w:p>
    <w:p>
      <w:pPr>
        <w:spacing w:after="0" w:line="3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725805</wp:posOffset>
            </wp:positionV>
            <wp:extent cx="668655"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668655"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3200"/>
          </w:cols>
          <w:pgMar w:left="320" w:top="144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8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8"/>
                <w:szCs w:val="18"/>
                <w:color w:val="A6A6A6"/>
              </w:rPr>
              <w:t>201 Bridgeland Avenue | Toronto</w:t>
            </w:r>
          </w:p>
        </w:tc>
        <w:tc>
          <w:tcPr>
            <w:tcW w:w="320" w:type="dxa"/>
            <w:vAlign w:val="bottom"/>
          </w:tcPr>
          <w:p>
            <w:pPr>
              <w:spacing w:after="0"/>
              <w:rPr>
                <w:sz w:val="22"/>
                <w:szCs w:val="22"/>
                <w:color w:val="auto"/>
              </w:rPr>
            </w:pPr>
          </w:p>
        </w:tc>
        <w:tc>
          <w:tcPr>
            <w:tcW w:w="2020" w:type="dxa"/>
            <w:vAlign w:val="bottom"/>
            <w:tcBorders>
              <w:right w:val="single" w:sz="8" w:color="BEBEBE"/>
            </w:tcBorders>
            <w:gridSpan w:val="2"/>
          </w:tcPr>
          <w:p>
            <w:pPr>
              <w:spacing w:after="0"/>
              <w:rPr>
                <w:sz w:val="20"/>
                <w:szCs w:val="20"/>
                <w:color w:val="auto"/>
              </w:rPr>
            </w:pPr>
            <w:r>
              <w:rPr>
                <w:rFonts w:ascii="Times New Roman" w:cs="Times New Roman" w:eastAsia="Times New Roman" w:hAnsi="Times New Roman"/>
                <w:sz w:val="18"/>
                <w:szCs w:val="18"/>
                <w:color w:val="0000FF"/>
              </w:rPr>
              <w:t>zeifmans.ca</w:t>
            </w:r>
          </w:p>
        </w:tc>
        <w:tc>
          <w:tcPr>
            <w:tcW w:w="5060" w:type="dxa"/>
            <w:vAlign w:val="bottom"/>
          </w:tcPr>
          <w:p>
            <w:pPr>
              <w:spacing w:after="0"/>
              <w:rPr>
                <w:sz w:val="22"/>
                <w:szCs w:val="22"/>
                <w:color w:val="auto"/>
              </w:rPr>
            </w:pPr>
          </w:p>
        </w:tc>
      </w:tr>
      <w:tr>
        <w:trPr>
          <w:trHeight w:val="20"/>
        </w:trPr>
        <w:tc>
          <w:tcPr>
            <w:tcW w:w="3880" w:type="dxa"/>
            <w:vAlign w:val="bottom"/>
            <w:tcBorders>
              <w:right w:val="single" w:sz="8" w:color="BEBEB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tcBorders>
              <w:right w:val="single" w:sz="8" w:color="BEBEBE"/>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7"/>
        </w:trPr>
        <w:tc>
          <w:tcPr>
            <w:tcW w:w="388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8"/>
                <w:szCs w:val="18"/>
                <w:color w:val="A6A6A6"/>
              </w:rPr>
              <w:t>Ontario | M6A 1Y7 | Canada</w:t>
            </w:r>
          </w:p>
        </w:tc>
        <w:tc>
          <w:tcPr>
            <w:tcW w:w="320" w:type="dxa"/>
            <w:vAlign w:val="bottom"/>
          </w:tcPr>
          <w:p>
            <w:pPr>
              <w:spacing w:after="0"/>
              <w:rPr>
                <w:sz w:val="20"/>
                <w:szCs w:val="20"/>
                <w:color w:val="auto"/>
              </w:rPr>
            </w:pPr>
          </w:p>
        </w:tc>
        <w:tc>
          <w:tcPr>
            <w:tcW w:w="2020" w:type="dxa"/>
            <w:vAlign w:val="bottom"/>
            <w:tcBorders>
              <w:right w:val="single" w:sz="8" w:color="BEBEBE"/>
            </w:tcBorders>
            <w:gridSpan w:val="2"/>
          </w:tcPr>
          <w:p>
            <w:pPr>
              <w:spacing w:after="0"/>
              <w:rPr>
                <w:sz w:val="20"/>
                <w:szCs w:val="20"/>
                <w:color w:val="auto"/>
              </w:rPr>
            </w:pPr>
            <w:r>
              <w:rPr>
                <w:rFonts w:ascii="Times New Roman" w:cs="Times New Roman" w:eastAsia="Times New Roman" w:hAnsi="Times New Roman"/>
                <w:sz w:val="18"/>
                <w:szCs w:val="18"/>
                <w:color w:val="A6A6A6"/>
              </w:rPr>
              <w:t>T: 416.256.4000</w:t>
            </w:r>
          </w:p>
        </w:tc>
        <w:tc>
          <w:tcPr>
            <w:tcW w:w="5060" w:type="dxa"/>
            <w:vAlign w:val="bottom"/>
          </w:tcPr>
          <w:p>
            <w:pPr>
              <w:spacing w:after="0"/>
              <w:rPr>
                <w:sz w:val="20"/>
                <w:szCs w:val="20"/>
                <w:color w:val="auto"/>
              </w:rPr>
            </w:pPr>
          </w:p>
        </w:tc>
      </w:tr>
      <w:tr>
        <w:trPr>
          <w:trHeight w:val="94"/>
        </w:trPr>
        <w:tc>
          <w:tcPr>
            <w:tcW w:w="3880" w:type="dxa"/>
            <w:vAlign w:val="bottom"/>
            <w:tcBorders>
              <w:right w:val="single" w:sz="8" w:color="BEBEBE"/>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Borders>
              <w:right w:val="single" w:sz="8" w:color="BEBEBE"/>
            </w:tcBorders>
          </w:tcPr>
          <w:p>
            <w:pPr>
              <w:spacing w:after="0"/>
              <w:rPr>
                <w:sz w:val="8"/>
                <w:szCs w:val="8"/>
                <w:color w:val="auto"/>
              </w:rPr>
            </w:pPr>
          </w:p>
        </w:tc>
        <w:tc>
          <w:tcPr>
            <w:tcW w:w="5060" w:type="dxa"/>
            <w:vAlign w:val="bottom"/>
          </w:tcPr>
          <w:p>
            <w:pPr>
              <w:spacing w:after="0"/>
              <w:rPr>
                <w:sz w:val="8"/>
                <w:szCs w:val="8"/>
                <w:color w:val="auto"/>
              </w:rPr>
            </w:pPr>
          </w:p>
        </w:tc>
      </w:tr>
      <w:tr>
        <w:trPr>
          <w:trHeight w:val="348"/>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74"/>
        </w:trPr>
        <w:tc>
          <w:tcPr>
            <w:tcW w:w="3880" w:type="dxa"/>
            <w:vAlign w:val="bottom"/>
            <w:tcBorders>
              <w:right w:val="single" w:sz="8" w:color="auto"/>
            </w:tcBorders>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840" w:type="dxa"/>
            <w:vAlign w:val="bottom"/>
            <w:shd w:val="clear" w:color="auto" w:fill="000000"/>
          </w:tcPr>
          <w:p>
            <w:pPr>
              <w:spacing w:after="0"/>
              <w:rPr>
                <w:sz w:val="6"/>
                <w:szCs w:val="6"/>
                <w:color w:val="auto"/>
              </w:rPr>
            </w:pPr>
          </w:p>
        </w:tc>
        <w:tc>
          <w:tcPr>
            <w:tcW w:w="1180" w:type="dxa"/>
            <w:vAlign w:val="bottom"/>
            <w:tcBorders>
              <w:right w:val="single" w:sz="8" w:color="auto"/>
            </w:tcBorders>
            <w:shd w:val="clear" w:color="auto" w:fill="000000"/>
          </w:tcPr>
          <w:p>
            <w:pPr>
              <w:spacing w:after="0"/>
              <w:rPr>
                <w:sz w:val="6"/>
                <w:szCs w:val="6"/>
                <w:color w:val="auto"/>
              </w:rPr>
            </w:pPr>
          </w:p>
        </w:tc>
        <w:tc>
          <w:tcPr>
            <w:tcW w:w="506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440" w:right="299" w:bottom="1440" w:gutter="0" w:footer="0" w:header="0"/>
          <w:type w:val="continuous"/>
        </w:sectPr>
      </w:pPr>
    </w:p>
    <w:bookmarkStart w:id="74" w:name="page75"/>
    <w:bookmarkEnd w:id="7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252095</wp:posOffset>
            </wp:positionV>
            <wp:extent cx="1354455" cy="6000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354455" cy="60007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on Form F-10 (the "Form F-10") of Cybin Inc., of our auditor's report dated June 28, 2023, with respect to the consolidated financial statements of Small Pharma Inc. as at February 28, 2023 and February 28, 2022, and for each of the years in the two-year period ended February 28, 2023.</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also consent to the reference to our firm under the heading "Auditor, Transfer Agent and Registrar" in the short-form base shelf prospectus contained in the Form F-10.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MNP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Chartered Professional Accountants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Licensed Public Accountants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Toronto, Canada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1039495</wp:posOffset>
            </wp:positionV>
            <wp:extent cx="7153275"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424180</wp:posOffset>
            </wp:positionV>
            <wp:extent cx="6395085" cy="4800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6395085" cy="4800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ind w:left="7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53275" cy="27940"/>
                    </a:xfrm>
                    <a:prstGeom prst="rect">
                      <a:avLst/>
                    </a:prstGeom>
                    <a:noFill/>
                  </pic:spPr>
                </pic:pic>
              </a:graphicData>
            </a:graphic>
          </wp:anchor>
        </w:drawing>
        <w:t>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Issuer</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ind w:left="4740" w:hanging="551"/>
        <w:spacing w:after="0"/>
        <w:tabs>
          <w:tab w:leader="none" w:pos="47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U.S.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ind w:left="4720" w:hanging="558"/>
        <w:spacing w:after="0"/>
        <w:tabs>
          <w:tab w:leader="none" w:pos="472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Canadian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Indenture</w:t>
      </w:r>
    </w:p>
    <w:p>
      <w:pPr>
        <w:sectPr>
          <w:pgSz w:w="11900" w:h="16838" w:orient="portrait"/>
          <w:cols w:equalWidth="0" w:num="1">
            <w:col w:w="9019"/>
          </w:cols>
          <w:pgMar w:left="1440" w:top="365" w:right="1440" w:bottom="1440" w:gutter="0" w:footer="0" w:header="0"/>
        </w:sectPr>
      </w:pPr>
    </w:p>
    <w:p>
      <w:pPr>
        <w:spacing w:after="0" w:line="23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1"/>
          <w:szCs w:val="21"/>
          <w:b w:val="1"/>
          <w:bCs w:val="1"/>
          <w:color w:val="auto"/>
        </w:rPr>
        <w:t>Dated as of [</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ectPr>
          <w:pgSz w:w="11900" w:h="16838" w:orient="portrait"/>
          <w:cols w:equalWidth="0" w:num="2">
            <w:col w:w="4800" w:space="480"/>
            <w:col w:w="3739"/>
          </w:cols>
          <w:pgMar w:left="1440" w:top="365" w:right="1440" w:bottom="1440" w:gutter="0" w:footer="0" w:header="0"/>
          <w:type w:val="continuous"/>
        </w:sectPr>
      </w:pP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156210</wp:posOffset>
            </wp:positionV>
            <wp:extent cx="7153275"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365" w:right="1440"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60" w:type="dxa"/>
            <w:vAlign w:val="bottom"/>
            <w:gridSpan w:val="43"/>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0000EE"/>
              </w:rPr>
              <w:t>ARTICLE ONE DEFINITIONS AND OTHER PROVISIONS OF GENERAL APPLICATION</w:t>
            </w:r>
          </w:p>
        </w:tc>
        <w:tc>
          <w:tcPr>
            <w:tcW w:w="8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1.01</w:t>
            </w:r>
          </w:p>
        </w:tc>
        <w:tc>
          <w:tcPr>
            <w:tcW w:w="840" w:type="dxa"/>
            <w:vAlign w:val="bottom"/>
          </w:tcPr>
          <w:p>
            <w:pPr>
              <w:spacing w:after="0"/>
              <w:rPr>
                <w:sz w:val="15"/>
                <w:szCs w:val="15"/>
                <w:color w:val="auto"/>
              </w:rPr>
            </w:pPr>
          </w:p>
        </w:tc>
        <w:tc>
          <w:tcPr>
            <w:tcW w:w="5000" w:type="dxa"/>
            <w:vAlign w:val="bottom"/>
            <w:gridSpan w:val="37"/>
          </w:tcPr>
          <w:p>
            <w:pPr>
              <w:ind w:left="20"/>
              <w:spacing w:after="0" w:line="176" w:lineRule="exact"/>
              <w:rPr>
                <w:sz w:val="20"/>
                <w:szCs w:val="20"/>
                <w:color w:val="auto"/>
              </w:rPr>
            </w:pPr>
            <w:r>
              <w:rPr>
                <w:rFonts w:ascii="Times New Roman" w:cs="Times New Roman" w:eastAsia="Times New Roman" w:hAnsi="Times New Roman"/>
                <w:sz w:val="18"/>
                <w:szCs w:val="18"/>
                <w:color w:val="0000EE"/>
              </w:rPr>
              <w:t>Definitions</w:t>
            </w:r>
          </w:p>
        </w:tc>
        <w:tc>
          <w:tcPr>
            <w:tcW w:w="3060" w:type="dxa"/>
            <w:vAlign w:val="bottom"/>
            <w:gridSpan w:val="3"/>
          </w:tcPr>
          <w:p>
            <w:pPr>
              <w:spacing w:after="0"/>
              <w:rPr>
                <w:sz w:val="15"/>
                <w:szCs w:val="15"/>
                <w:color w:val="auto"/>
              </w:rPr>
            </w:pP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1.02</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Rules of Construction</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1.03</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Compliance Certificates and Opinions</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1.04</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of Documents Delivered to Trustees</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1.05</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Acts of Holders</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1.06</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Notices, Etc. to Trustees and Company</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1.07</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Notice to Holders; Waiver</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1.08</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Effect of Headings and Table of Contents</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1.09</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Successors and Assigns</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1.10</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Severability Clause</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1.11</w:t>
            </w:r>
          </w:p>
        </w:tc>
        <w:tc>
          <w:tcPr>
            <w:tcW w:w="8900" w:type="dxa"/>
            <w:vAlign w:val="bottom"/>
            <w:gridSpan w:val="41"/>
          </w:tcPr>
          <w:p>
            <w:pPr>
              <w:ind w:left="840"/>
              <w:spacing w:after="0" w:line="176" w:lineRule="exact"/>
              <w:rPr>
                <w:sz w:val="20"/>
                <w:szCs w:val="20"/>
                <w:color w:val="auto"/>
              </w:rPr>
            </w:pPr>
            <w:r>
              <w:rPr>
                <w:rFonts w:ascii="Times New Roman" w:cs="Times New Roman" w:eastAsia="Times New Roman" w:hAnsi="Times New Roman"/>
                <w:sz w:val="18"/>
                <w:szCs w:val="18"/>
                <w:color w:val="0000EE"/>
              </w:rPr>
              <w:t>Benefits of Indenture</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1.12</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Governing Law</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1.13</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Legal Holidays</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1.14</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Agent for Service; Submission to Jurisdiction; Waiver of Immunities</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1.15</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Conversion of Judgment Currency</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1.16</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Currency Equivalent</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1.17</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Conflict with Trust Indenture Legislation</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1.18</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Incorporators, Shareholders, Officers and Directors of the Company Exempt from Individual Liability</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84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1.19</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Waiver of Jury Trial</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1.20</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Counterparts</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1.21</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Force Majeure</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EEEEEE"/>
          </w:tcPr>
          <w:p>
            <w:pPr>
              <w:spacing w:after="0"/>
              <w:rPr>
                <w:sz w:val="18"/>
                <w:szCs w:val="18"/>
                <w:color w:val="auto"/>
              </w:rPr>
            </w:pPr>
          </w:p>
        </w:tc>
        <w:tc>
          <w:tcPr>
            <w:tcW w:w="11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360" w:type="dxa"/>
            <w:vAlign w:val="bottom"/>
            <w:gridSpan w:val="4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ARTICLE TWO SECURITIES FORMS</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2.01</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Forms Generally</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2.02</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of Trustee's Certificate of Authentication</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EEEEEE"/>
          </w:tcPr>
          <w:p>
            <w:pPr>
              <w:spacing w:after="0"/>
              <w:rPr>
                <w:sz w:val="17"/>
                <w:szCs w:val="17"/>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2.03</w:t>
            </w:r>
          </w:p>
        </w:tc>
        <w:tc>
          <w:tcPr>
            <w:tcW w:w="840" w:type="dxa"/>
            <w:vAlign w:val="bottom"/>
            <w:shd w:val="clear" w:color="auto" w:fill="EEEEEE"/>
          </w:tcPr>
          <w:p>
            <w:pPr>
              <w:spacing w:after="0"/>
              <w:rPr>
                <w:sz w:val="17"/>
                <w:szCs w:val="17"/>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Securities Issuable in Global Form</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EEEE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84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700" w:type="dxa"/>
            <w:vAlign w:val="bottom"/>
            <w:tcBorders>
              <w:top w:val="single" w:sz="8" w:color="EEEEEE"/>
            </w:tcBorders>
          </w:tcPr>
          <w:p>
            <w:pPr>
              <w:spacing w:after="0"/>
              <w:rPr>
                <w:sz w:val="18"/>
                <w:szCs w:val="18"/>
                <w:color w:val="auto"/>
              </w:rPr>
            </w:pPr>
          </w:p>
        </w:tc>
        <w:tc>
          <w:tcPr>
            <w:tcW w:w="70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ARTICLE THREE THE SECURITIES</w:t>
            </w:r>
          </w:p>
        </w:tc>
        <w:tc>
          <w:tcPr>
            <w:tcW w:w="7300" w:type="dxa"/>
            <w:vAlign w:val="bottom"/>
            <w:tcBorders>
              <w:bottom w:val="single" w:sz="8" w:color="EEEEEE"/>
            </w:tcBorders>
            <w:gridSpan w:val="38"/>
            <w:shd w:val="clear" w:color="auto" w:fill="EEEEEE"/>
          </w:tcPr>
          <w:p>
            <w:pPr>
              <w:spacing w:after="0"/>
              <w:rPr>
                <w:sz w:val="17"/>
                <w:szCs w:val="17"/>
                <w:color w:val="auto"/>
              </w:rPr>
            </w:pPr>
          </w:p>
        </w:tc>
        <w:tc>
          <w:tcPr>
            <w:tcW w:w="70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3.01</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Issuable in Series</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3.02</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Denominations</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3.03</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Execution, Authentication, Delivery and Dating</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3.04</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Temporary Securities</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3.05</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Registration, Registration of Transfer and Exchange</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3.06</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Mutilated, Destroyed, Lost and Stolen Securities</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3.07</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Payment of Principal, Premium and Interest; Interest Rights Preserved; Optional Interest Reset</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3.08</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Optional Extension of Stated Maturity</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3.09</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Persons Deemed Owners</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3.10</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Cancellation</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3.11</w:t>
            </w:r>
          </w:p>
        </w:tc>
        <w:tc>
          <w:tcPr>
            <w:tcW w:w="8900" w:type="dxa"/>
            <w:vAlign w:val="bottom"/>
            <w:gridSpan w:val="41"/>
          </w:tcPr>
          <w:p>
            <w:pPr>
              <w:ind w:left="840"/>
              <w:spacing w:after="0" w:line="176" w:lineRule="exact"/>
              <w:rPr>
                <w:sz w:val="20"/>
                <w:szCs w:val="20"/>
                <w:color w:val="auto"/>
              </w:rPr>
            </w:pPr>
            <w:r>
              <w:rPr>
                <w:rFonts w:ascii="Times New Roman" w:cs="Times New Roman" w:eastAsia="Times New Roman" w:hAnsi="Times New Roman"/>
                <w:sz w:val="18"/>
                <w:szCs w:val="18"/>
                <w:color w:val="0000EE"/>
              </w:rPr>
              <w:t>Computation of Interest</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tcBorders>
              <w:right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3.12</w:t>
            </w:r>
          </w:p>
        </w:tc>
        <w:tc>
          <w:tcPr>
            <w:tcW w:w="840" w:type="dxa"/>
            <w:vAlign w:val="bottom"/>
            <w:shd w:val="clear" w:color="auto" w:fill="EEEEEE"/>
          </w:tcPr>
          <w:p>
            <w:pPr>
              <w:spacing w:after="0"/>
              <w:rPr>
                <w:sz w:val="15"/>
                <w:szCs w:val="15"/>
                <w:color w:val="auto"/>
              </w:rPr>
            </w:pPr>
          </w:p>
        </w:tc>
        <w:tc>
          <w:tcPr>
            <w:tcW w:w="8060" w:type="dxa"/>
            <w:vAlign w:val="bottom"/>
            <w:gridSpan w:val="40"/>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Currency and Manner of Payments in Respect of Securities</w:t>
            </w:r>
          </w:p>
        </w:tc>
        <w:tc>
          <w:tcPr>
            <w:tcW w:w="88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right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4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6"/>
              </w:rPr>
              <w:t>SECTION 3.13</w:t>
            </w:r>
          </w:p>
        </w:tc>
        <w:tc>
          <w:tcPr>
            <w:tcW w:w="840" w:type="dxa"/>
            <w:vAlign w:val="bottom"/>
          </w:tcPr>
          <w:p>
            <w:pPr>
              <w:spacing w:after="0"/>
              <w:rPr>
                <w:sz w:val="15"/>
                <w:szCs w:val="15"/>
                <w:color w:val="auto"/>
              </w:rPr>
            </w:pPr>
          </w:p>
        </w:tc>
        <w:tc>
          <w:tcPr>
            <w:tcW w:w="8060" w:type="dxa"/>
            <w:vAlign w:val="bottom"/>
            <w:gridSpan w:val="40"/>
          </w:tcPr>
          <w:p>
            <w:pPr>
              <w:ind w:left="20"/>
              <w:spacing w:after="0" w:line="176" w:lineRule="exact"/>
              <w:rPr>
                <w:sz w:val="20"/>
                <w:szCs w:val="20"/>
                <w:color w:val="auto"/>
              </w:rPr>
            </w:pPr>
            <w:r>
              <w:rPr>
                <w:rFonts w:ascii="Times New Roman" w:cs="Times New Roman" w:eastAsia="Times New Roman" w:hAnsi="Times New Roman"/>
                <w:sz w:val="18"/>
                <w:szCs w:val="18"/>
                <w:color w:val="0000EE"/>
              </w:rPr>
              <w:t>Appointment and Resignation of Successor Exchange Rate Agent</w:t>
            </w:r>
          </w:p>
        </w:tc>
        <w:tc>
          <w:tcPr>
            <w:tcW w:w="8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53275"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7"/>
        </w:trPr>
        <w:tc>
          <w:tcPr>
            <w:tcW w:w="4320" w:type="dxa"/>
            <w:vAlign w:val="bottom"/>
            <w:tcBorders>
              <w:bottom w:val="single" w:sz="8" w:color="0000EE"/>
            </w:tcBorders>
            <w:gridSpan w:val="17"/>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0000EE"/>
                <w:w w:val="99"/>
              </w:rPr>
              <w:t>ARTICLE FOUR SATISFACTION AND DISCHARGE</w:t>
            </w:r>
          </w:p>
        </w:tc>
        <w:tc>
          <w:tcPr>
            <w:tcW w:w="5080" w:type="dxa"/>
            <w:vAlign w:val="bottom"/>
            <w:tcBorders>
              <w:bottom w:val="single" w:sz="8" w:color="EEEEEE"/>
            </w:tcBorders>
            <w:gridSpan w:val="25"/>
            <w:shd w:val="clear" w:color="auto" w:fill="EEEEEE"/>
          </w:tcPr>
          <w:p>
            <w:pPr>
              <w:spacing w:after="0"/>
              <w:rPr>
                <w:sz w:val="19"/>
                <w:szCs w:val="19"/>
                <w:color w:val="auto"/>
              </w:rPr>
            </w:pPr>
          </w:p>
        </w:tc>
        <w:tc>
          <w:tcPr>
            <w:tcW w:w="16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0000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4.01</w:t>
            </w: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Satisfaction and Discharge of Indenture</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EEEEEE"/>
          </w:tcPr>
          <w:p>
            <w:pPr>
              <w:spacing w:after="0"/>
              <w:rPr>
                <w:sz w:val="17"/>
                <w:szCs w:val="17"/>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4.02</w:t>
            </w: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Application of Trust Money</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EEEE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84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166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ARTICLE FIVE REMEDIES</w:t>
            </w:r>
          </w:p>
        </w:tc>
        <w:tc>
          <w:tcPr>
            <w:tcW w:w="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74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40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40" w:type="dxa"/>
            <w:vAlign w:val="bottom"/>
            <w:tcBorders>
              <w:bottom w:val="single" w:sz="8" w:color="EEEEEE"/>
            </w:tcBorders>
            <w:shd w:val="clear" w:color="auto" w:fill="EEEEEE"/>
          </w:tcPr>
          <w:p>
            <w:pPr>
              <w:spacing w:after="0"/>
              <w:rPr>
                <w:sz w:val="17"/>
                <w:szCs w:val="17"/>
                <w:color w:val="auto"/>
              </w:rPr>
            </w:pPr>
          </w:p>
        </w:tc>
        <w:tc>
          <w:tcPr>
            <w:tcW w:w="1660" w:type="dxa"/>
            <w:vAlign w:val="bottom"/>
            <w:tcBorders>
              <w:bottom w:val="single" w:sz="8" w:color="EEEEEE"/>
            </w:tcBorders>
            <w:shd w:val="clear" w:color="auto" w:fill="EEEEEE"/>
          </w:tcPr>
          <w:p>
            <w:pPr>
              <w:spacing w:after="0"/>
              <w:rPr>
                <w:sz w:val="17"/>
                <w:szCs w:val="17"/>
                <w:color w:val="auto"/>
              </w:rPr>
            </w:pPr>
          </w:p>
        </w:tc>
        <w:tc>
          <w:tcPr>
            <w:tcW w:w="16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5.01</w:t>
            </w: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Events of Default</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5.02</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Acceleration of Maturity; Rescission and Annulment</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5.03</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Collection of Debt and Suits for Enforcement by Trustees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5.04</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Trustees May File Proofs of Claim</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5.05</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Trustees May Enforce Claims Without Possession of Securities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5.06</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Application of Money Collected</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5.07</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Limitation on Suits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5.08</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Unconditional Right of Holders to Receive Principal, Premium and Interest</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0000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5.09</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Restoration of Rights and Remedies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5.10</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Rights and Remedies Cumulative</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5.11</w:t>
            </w:r>
          </w:p>
        </w:tc>
        <w:tc>
          <w:tcPr>
            <w:tcW w:w="840" w:type="dxa"/>
            <w:vAlign w:val="bottom"/>
          </w:tcPr>
          <w:p>
            <w:pPr>
              <w:spacing w:after="0"/>
              <w:rPr>
                <w:sz w:val="15"/>
                <w:szCs w:val="15"/>
                <w:color w:val="auto"/>
              </w:rPr>
            </w:pPr>
          </w:p>
        </w:tc>
        <w:tc>
          <w:tcPr>
            <w:tcW w:w="71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Delay or Omission Not Waiver</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5.12</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 by Holders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5.13</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Waiver of Past Defaults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5.14</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Waiver of Stay or Extension Laws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5.15</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Undertaking for Costs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400" w:type="dxa"/>
            <w:vAlign w:val="bottom"/>
            <w:gridSpan w:val="4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ARTICLE SIX THE TRUSTEES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6.01</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Notice of Defaults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6.02</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Certain Duties and Responsibilities of Trustees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6.03</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Certain Rights of Trustees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6.04</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Trustees Not Responsible for Recitals or Issuance of Securities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6.05</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May Hold Securities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6.06</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Money Held in Trust</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6.07</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Compensation and Reimbursement</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6.08</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Corporate Trustees Required; Eligibility</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6.09</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Resignation and Removal; Appointment of Successor</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6.10</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Acceptance of Appointment by Successor</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6.11</w:t>
            </w:r>
          </w:p>
        </w:tc>
        <w:tc>
          <w:tcPr>
            <w:tcW w:w="7100" w:type="dxa"/>
            <w:vAlign w:val="bottom"/>
            <w:gridSpan w:val="3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Merger, Conversion, Consolidation or Succession to Business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6.12</w:t>
            </w: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Appointment of Authenticating Agent</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6.13</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Joint Trustees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6.14</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Rights of Trustees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400" w:type="dxa"/>
            <w:vAlign w:val="bottom"/>
            <w:gridSpan w:val="4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ARTICLE SEVEN HOLDERS' LISTS AND REPORTS BY TRUSTEE AND COMPANY</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7.01</w:t>
            </w:r>
          </w:p>
        </w:tc>
        <w:tc>
          <w:tcPr>
            <w:tcW w:w="840" w:type="dxa"/>
            <w:vAlign w:val="bottom"/>
            <w:shd w:val="clear" w:color="auto" w:fill="EEEEEE"/>
          </w:tcPr>
          <w:p>
            <w:pPr>
              <w:spacing w:after="0"/>
              <w:rPr>
                <w:sz w:val="15"/>
                <w:szCs w:val="15"/>
                <w:color w:val="auto"/>
              </w:rPr>
            </w:pP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Company to Furnish Trustees Names and Addresses of Holders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7.02</w:t>
            </w:r>
          </w:p>
        </w:tc>
        <w:tc>
          <w:tcPr>
            <w:tcW w:w="840" w:type="dxa"/>
            <w:vAlign w:val="bottom"/>
          </w:tcPr>
          <w:p>
            <w:pPr>
              <w:spacing w:after="0"/>
              <w:rPr>
                <w:sz w:val="15"/>
                <w:szCs w:val="15"/>
                <w:color w:val="auto"/>
              </w:rPr>
            </w:pPr>
          </w:p>
        </w:tc>
        <w:tc>
          <w:tcPr>
            <w:tcW w:w="71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Preservation of List of Names and Addresses of Holders</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7.03</w:t>
            </w:r>
          </w:p>
        </w:tc>
        <w:tc>
          <w:tcPr>
            <w:tcW w:w="7100" w:type="dxa"/>
            <w:vAlign w:val="bottom"/>
            <w:gridSpan w:val="38"/>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Disclosure of Names and Addresses of Holders</w:t>
            </w:r>
          </w:p>
        </w:tc>
        <w:tc>
          <w:tcPr>
            <w:tcW w:w="18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6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3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0000EE"/>
                <w:w w:val="98"/>
              </w:rPr>
              <w:t>SECTION 7.04</w:t>
            </w:r>
          </w:p>
        </w:tc>
        <w:tc>
          <w:tcPr>
            <w:tcW w:w="840" w:type="dxa"/>
            <w:vAlign w:val="bottom"/>
            <w:gridSpan w:val="2"/>
            <w:shd w:val="clear" w:color="auto" w:fill="EEEEEE"/>
          </w:tcPr>
          <w:p>
            <w:pPr>
              <w:spacing w:after="0"/>
              <w:rPr>
                <w:sz w:val="17"/>
                <w:szCs w:val="17"/>
                <w:color w:val="auto"/>
              </w:rPr>
            </w:pPr>
          </w:p>
        </w:tc>
        <w:tc>
          <w:tcPr>
            <w:tcW w:w="6880" w:type="dxa"/>
            <w:vAlign w:val="bottom"/>
            <w:gridSpan w:val="35"/>
            <w:shd w:val="clear" w:color="auto" w:fill="EEEEEE"/>
          </w:tcPr>
          <w:p>
            <w:pPr>
              <w:ind w:left="20"/>
              <w:spacing w:after="0"/>
              <w:rPr>
                <w:sz w:val="20"/>
                <w:szCs w:val="20"/>
                <w:color w:val="auto"/>
              </w:rPr>
            </w:pPr>
            <w:r>
              <w:rPr>
                <w:rFonts w:ascii="Times New Roman" w:cs="Times New Roman" w:eastAsia="Times New Roman" w:hAnsi="Times New Roman"/>
                <w:sz w:val="18"/>
                <w:szCs w:val="18"/>
                <w:color w:val="0000EE"/>
              </w:rPr>
              <w:t>Reports by Trustees</w:t>
            </w:r>
          </w:p>
        </w:tc>
        <w:tc>
          <w:tcPr>
            <w:tcW w:w="2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7.05</w:t>
            </w:r>
          </w:p>
        </w:tc>
        <w:tc>
          <w:tcPr>
            <w:tcW w:w="840" w:type="dxa"/>
            <w:vAlign w:val="bottom"/>
            <w:gridSpan w:val="2"/>
          </w:tcPr>
          <w:p>
            <w:pPr>
              <w:spacing w:after="0"/>
              <w:rPr>
                <w:sz w:val="15"/>
                <w:szCs w:val="15"/>
                <w:color w:val="auto"/>
              </w:rPr>
            </w:pPr>
          </w:p>
        </w:tc>
        <w:tc>
          <w:tcPr>
            <w:tcW w:w="688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Reports by the Company</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1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ARTICLE EIGHT CONSOLIDATION, MERGER, CONVEYANCE, TRANSFER OR LEASE</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8.01</w:t>
            </w:r>
          </w:p>
        </w:tc>
        <w:tc>
          <w:tcPr>
            <w:tcW w:w="840" w:type="dxa"/>
            <w:vAlign w:val="bottom"/>
            <w:gridSpan w:val="2"/>
            <w:shd w:val="clear" w:color="auto" w:fill="EEEEEE"/>
          </w:tcPr>
          <w:p>
            <w:pPr>
              <w:spacing w:after="0"/>
              <w:rPr>
                <w:sz w:val="15"/>
                <w:szCs w:val="15"/>
                <w:color w:val="auto"/>
              </w:rPr>
            </w:pPr>
          </w:p>
        </w:tc>
        <w:tc>
          <w:tcPr>
            <w:tcW w:w="6880" w:type="dxa"/>
            <w:vAlign w:val="bottom"/>
            <w:gridSpan w:val="35"/>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Company May Consolidate, etc., only on Certain Terms</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8.02</w:t>
            </w:r>
          </w:p>
        </w:tc>
        <w:tc>
          <w:tcPr>
            <w:tcW w:w="840" w:type="dxa"/>
            <w:vAlign w:val="bottom"/>
            <w:gridSpan w:val="2"/>
          </w:tcPr>
          <w:p>
            <w:pPr>
              <w:spacing w:after="0"/>
              <w:rPr>
                <w:sz w:val="15"/>
                <w:szCs w:val="15"/>
                <w:color w:val="auto"/>
              </w:rPr>
            </w:pPr>
          </w:p>
        </w:tc>
        <w:tc>
          <w:tcPr>
            <w:tcW w:w="688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Successor Person Substituted</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1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ARTICLE NINE SUPPLEMENTAL INDENTURES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9.01</w:t>
            </w:r>
          </w:p>
        </w:tc>
        <w:tc>
          <w:tcPr>
            <w:tcW w:w="840" w:type="dxa"/>
            <w:vAlign w:val="bottom"/>
            <w:gridSpan w:val="2"/>
            <w:shd w:val="clear" w:color="auto" w:fill="EEEEEE"/>
          </w:tcPr>
          <w:p>
            <w:pPr>
              <w:spacing w:after="0"/>
              <w:rPr>
                <w:sz w:val="15"/>
                <w:szCs w:val="15"/>
                <w:color w:val="auto"/>
              </w:rPr>
            </w:pPr>
          </w:p>
        </w:tc>
        <w:tc>
          <w:tcPr>
            <w:tcW w:w="6880" w:type="dxa"/>
            <w:vAlign w:val="bottom"/>
            <w:gridSpan w:val="35"/>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Supplemental Indentures Without Consent of Holders</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9.02</w:t>
            </w:r>
          </w:p>
        </w:tc>
        <w:tc>
          <w:tcPr>
            <w:tcW w:w="840" w:type="dxa"/>
            <w:vAlign w:val="bottom"/>
            <w:gridSpan w:val="2"/>
          </w:tcPr>
          <w:p>
            <w:pPr>
              <w:spacing w:after="0"/>
              <w:rPr>
                <w:sz w:val="15"/>
                <w:szCs w:val="15"/>
                <w:color w:val="auto"/>
              </w:rPr>
            </w:pPr>
          </w:p>
        </w:tc>
        <w:tc>
          <w:tcPr>
            <w:tcW w:w="688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Supplemental Indentures with Consent of Holders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9.03</w:t>
            </w:r>
          </w:p>
        </w:tc>
        <w:tc>
          <w:tcPr>
            <w:tcW w:w="840" w:type="dxa"/>
            <w:vAlign w:val="bottom"/>
            <w:gridSpan w:val="2"/>
            <w:shd w:val="clear" w:color="auto" w:fill="EEEEEE"/>
          </w:tcPr>
          <w:p>
            <w:pPr>
              <w:spacing w:after="0"/>
              <w:rPr>
                <w:sz w:val="15"/>
                <w:szCs w:val="15"/>
                <w:color w:val="auto"/>
              </w:rPr>
            </w:pPr>
          </w:p>
        </w:tc>
        <w:tc>
          <w:tcPr>
            <w:tcW w:w="6880" w:type="dxa"/>
            <w:vAlign w:val="bottom"/>
            <w:gridSpan w:val="35"/>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Execution of Supplemental Indentures</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9.04</w:t>
            </w:r>
          </w:p>
        </w:tc>
        <w:tc>
          <w:tcPr>
            <w:tcW w:w="840" w:type="dxa"/>
            <w:vAlign w:val="bottom"/>
            <w:gridSpan w:val="2"/>
          </w:tcPr>
          <w:p>
            <w:pPr>
              <w:spacing w:after="0"/>
              <w:rPr>
                <w:sz w:val="15"/>
                <w:szCs w:val="15"/>
                <w:color w:val="auto"/>
              </w:rPr>
            </w:pPr>
          </w:p>
        </w:tc>
        <w:tc>
          <w:tcPr>
            <w:tcW w:w="688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Effect of Supplemental Indentures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9.05</w:t>
            </w:r>
          </w:p>
        </w:tc>
        <w:tc>
          <w:tcPr>
            <w:tcW w:w="840" w:type="dxa"/>
            <w:vAlign w:val="bottom"/>
            <w:gridSpan w:val="2"/>
            <w:shd w:val="clear" w:color="auto" w:fill="EEEEEE"/>
          </w:tcPr>
          <w:p>
            <w:pPr>
              <w:spacing w:after="0"/>
              <w:rPr>
                <w:sz w:val="15"/>
                <w:szCs w:val="15"/>
                <w:color w:val="auto"/>
              </w:rPr>
            </w:pPr>
          </w:p>
        </w:tc>
        <w:tc>
          <w:tcPr>
            <w:tcW w:w="6880" w:type="dxa"/>
            <w:vAlign w:val="bottom"/>
            <w:gridSpan w:val="35"/>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Conformity with Trust Indenture Legislation</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w w:val="98"/>
              </w:rPr>
              <w:t>SECTION 9.06</w:t>
            </w:r>
          </w:p>
        </w:tc>
        <w:tc>
          <w:tcPr>
            <w:tcW w:w="840" w:type="dxa"/>
            <w:vAlign w:val="bottom"/>
            <w:gridSpan w:val="2"/>
          </w:tcPr>
          <w:p>
            <w:pPr>
              <w:spacing w:after="0"/>
              <w:rPr>
                <w:sz w:val="15"/>
                <w:szCs w:val="15"/>
                <w:color w:val="auto"/>
              </w:rPr>
            </w:pPr>
          </w:p>
        </w:tc>
        <w:tc>
          <w:tcPr>
            <w:tcW w:w="6880" w:type="dxa"/>
            <w:vAlign w:val="bottom"/>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Reference in Securities to Supplemental Indentures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EEEEEE"/>
          </w:tcPr>
          <w:p>
            <w:pPr>
              <w:spacing w:after="0"/>
              <w:rPr>
                <w:sz w:val="17"/>
                <w:szCs w:val="17"/>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9.07</w:t>
            </w:r>
          </w:p>
        </w:tc>
        <w:tc>
          <w:tcPr>
            <w:tcW w:w="6880" w:type="dxa"/>
            <w:vAlign w:val="bottom"/>
            <w:gridSpan w:val="35"/>
            <w:shd w:val="clear" w:color="auto" w:fill="EEEEEE"/>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Notice of Supplemental Indentures</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EEEE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860" w:type="dxa"/>
            <w:vAlign w:val="bottom"/>
            <w:tcBorders>
              <w:top w:val="single" w:sz="8" w:color="EEEEEE"/>
            </w:tcBorders>
          </w:tcPr>
          <w:p>
            <w:pPr>
              <w:spacing w:after="0"/>
              <w:rPr>
                <w:sz w:val="18"/>
                <w:szCs w:val="18"/>
                <w:color w:val="auto"/>
              </w:rPr>
            </w:pPr>
          </w:p>
        </w:tc>
        <w:tc>
          <w:tcPr>
            <w:tcW w:w="188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6"/>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ARTICLE TEN COVENANTS</w:t>
            </w:r>
          </w:p>
        </w:tc>
        <w:tc>
          <w:tcPr>
            <w:tcW w:w="6760" w:type="dxa"/>
            <w:vAlign w:val="bottom"/>
            <w:tcBorders>
              <w:bottom w:val="single" w:sz="8" w:color="EEEEEE"/>
            </w:tcBorders>
            <w:gridSpan w:val="33"/>
            <w:shd w:val="clear" w:color="auto" w:fill="EEEEEE"/>
          </w:tcPr>
          <w:p>
            <w:pPr>
              <w:spacing w:after="0"/>
              <w:rPr>
                <w:sz w:val="17"/>
                <w:szCs w:val="17"/>
                <w:color w:val="auto"/>
              </w:rPr>
            </w:pPr>
          </w:p>
        </w:tc>
        <w:tc>
          <w:tcPr>
            <w:tcW w:w="18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10.01</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Payment of Principal, Premium and Interest</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10.02</w:t>
            </w: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Maintenance of Office or Agency</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10.03</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Money for Securities Payments to Be Held in Trust</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10.04</w:t>
            </w: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Statement as to Compliance</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10.05</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Payment of Taxes and Other Claims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10.06</w:t>
            </w: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Corporate Existence</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10.07</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Waiver of Certain Covenants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1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ARTICLE ELEVEN REDEMPTION OF SECURITIES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11.01</w:t>
            </w:r>
          </w:p>
        </w:tc>
        <w:tc>
          <w:tcPr>
            <w:tcW w:w="760" w:type="dxa"/>
            <w:vAlign w:val="bottom"/>
            <w:tcBorders>
              <w:bottom w:val="single" w:sz="8" w:color="EEEEEE"/>
            </w:tcBorders>
            <w:shd w:val="clear" w:color="auto" w:fill="EEEEEE"/>
          </w:tcPr>
          <w:p>
            <w:pPr>
              <w:spacing w:after="0"/>
              <w:rPr>
                <w:sz w:val="17"/>
                <w:szCs w:val="17"/>
                <w:color w:val="auto"/>
              </w:rPr>
            </w:pPr>
          </w:p>
        </w:tc>
        <w:tc>
          <w:tcPr>
            <w:tcW w:w="1680" w:type="dxa"/>
            <w:vAlign w:val="bottom"/>
            <w:tcBorders>
              <w:bottom w:val="single" w:sz="8" w:color="0000EE"/>
            </w:tcBorders>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Applicability of Article</w:t>
            </w:r>
          </w:p>
        </w:tc>
        <w:tc>
          <w:tcPr>
            <w:tcW w:w="5200" w:type="dxa"/>
            <w:vAlign w:val="bottom"/>
            <w:tcBorders>
              <w:bottom w:val="single" w:sz="8" w:color="EEEEEE"/>
            </w:tcBorders>
            <w:gridSpan w:val="27"/>
            <w:shd w:val="clear" w:color="auto" w:fill="EEEEEE"/>
          </w:tcPr>
          <w:p>
            <w:pPr>
              <w:spacing w:after="0"/>
              <w:rPr>
                <w:sz w:val="17"/>
                <w:szCs w:val="17"/>
                <w:color w:val="auto"/>
              </w:rPr>
            </w:pPr>
          </w:p>
        </w:tc>
        <w:tc>
          <w:tcPr>
            <w:tcW w:w="18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11.02</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Election to Redeem; Notice to Trustees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11.03</w:t>
            </w:r>
          </w:p>
        </w:tc>
        <w:tc>
          <w:tcPr>
            <w:tcW w:w="760" w:type="dxa"/>
            <w:vAlign w:val="bottom"/>
            <w:tcBorders>
              <w:bottom w:val="single" w:sz="8" w:color="EEEEEE"/>
            </w:tcBorders>
            <w:shd w:val="clear" w:color="auto" w:fill="EEEEEE"/>
          </w:tcPr>
          <w:p>
            <w:pPr>
              <w:spacing w:after="0"/>
              <w:rPr>
                <w:sz w:val="17"/>
                <w:szCs w:val="17"/>
                <w:color w:val="auto"/>
              </w:rPr>
            </w:pPr>
          </w:p>
        </w:tc>
        <w:tc>
          <w:tcPr>
            <w:tcW w:w="3720" w:type="dxa"/>
            <w:vAlign w:val="bottom"/>
            <w:tcBorders>
              <w:bottom w:val="single" w:sz="8" w:color="0000EE"/>
            </w:tcBorders>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Selection by Trustees of Securities to Be Redeemed</w:t>
            </w:r>
          </w:p>
        </w:tc>
        <w:tc>
          <w:tcPr>
            <w:tcW w:w="3160" w:type="dxa"/>
            <w:vAlign w:val="bottom"/>
            <w:tcBorders>
              <w:bottom w:val="single" w:sz="8" w:color="EEEEEE"/>
            </w:tcBorders>
            <w:gridSpan w:val="6"/>
            <w:shd w:val="clear" w:color="auto" w:fill="EEEEEE"/>
          </w:tcPr>
          <w:p>
            <w:pPr>
              <w:spacing w:after="0"/>
              <w:rPr>
                <w:sz w:val="17"/>
                <w:szCs w:val="17"/>
                <w:color w:val="auto"/>
              </w:rPr>
            </w:pPr>
          </w:p>
        </w:tc>
        <w:tc>
          <w:tcPr>
            <w:tcW w:w="18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0000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11.04</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Notice of Redemption</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11.05</w:t>
            </w:r>
          </w:p>
        </w:tc>
        <w:tc>
          <w:tcPr>
            <w:tcW w:w="760" w:type="dxa"/>
            <w:vAlign w:val="bottom"/>
            <w:shd w:val="clear" w:color="auto" w:fill="EEEEEE"/>
          </w:tcPr>
          <w:p>
            <w:pPr>
              <w:spacing w:after="0"/>
              <w:rPr>
                <w:sz w:val="15"/>
                <w:szCs w:val="15"/>
                <w:color w:val="auto"/>
              </w:rPr>
            </w:pP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Deposit of Redemption Price</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11.06</w:t>
            </w:r>
          </w:p>
        </w:tc>
        <w:tc>
          <w:tcPr>
            <w:tcW w:w="760" w:type="dxa"/>
            <w:vAlign w:val="bottom"/>
          </w:tcPr>
          <w:p>
            <w:pPr>
              <w:spacing w:after="0"/>
              <w:rPr>
                <w:sz w:val="15"/>
                <w:szCs w:val="15"/>
                <w:color w:val="auto"/>
              </w:rPr>
            </w:pP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Securities Payable on Redemption Date</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EEEEEE"/>
          </w:tcPr>
          <w:p>
            <w:pPr>
              <w:spacing w:after="0"/>
              <w:rPr>
                <w:sz w:val="17"/>
                <w:szCs w:val="17"/>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11.07</w:t>
            </w: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Securities Redeemed in Part</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EEEE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860" w:type="dxa"/>
            <w:vAlign w:val="bottom"/>
            <w:tcBorders>
              <w:top w:val="single" w:sz="8" w:color="EEEEEE"/>
            </w:tcBorders>
          </w:tcPr>
          <w:p>
            <w:pPr>
              <w:spacing w:after="0"/>
              <w:rPr>
                <w:sz w:val="18"/>
                <w:szCs w:val="18"/>
                <w:color w:val="auto"/>
              </w:rPr>
            </w:pPr>
          </w:p>
        </w:tc>
        <w:tc>
          <w:tcPr>
            <w:tcW w:w="188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180" w:type="dxa"/>
            <w:vAlign w:val="bottom"/>
            <w:gridSpan w:val="39"/>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ARTICLE TWELVE SINKING FUNDS</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12.01</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Applicability of Article</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12.02</w:t>
            </w: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Satisfaction of Sinking Fund Payments with Securities</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12.03</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Redemption of Securities for Sinking Fund</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1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ARTICLE THIRTEEN REPAYMENT AT OPTION OF HOLDERS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13.01</w:t>
            </w: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Applicability of Article</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13.02</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Repayment of Securities</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13.03</w:t>
            </w: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Exercise of Option</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13.04</w:t>
            </w:r>
          </w:p>
        </w:tc>
        <w:tc>
          <w:tcPr>
            <w:tcW w:w="68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When Securities Presented for Repayment Become Due and Payable</w:t>
            </w:r>
          </w:p>
        </w:tc>
        <w:tc>
          <w:tcPr>
            <w:tcW w:w="20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13.05</w:t>
            </w:r>
          </w:p>
        </w:tc>
        <w:tc>
          <w:tcPr>
            <w:tcW w:w="6880" w:type="dxa"/>
            <w:vAlign w:val="bottom"/>
            <w:gridSpan w:val="3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Securities Repaid in Part</w:t>
            </w:r>
          </w:p>
        </w:tc>
        <w:tc>
          <w:tcPr>
            <w:tcW w:w="206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8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EEEEEE"/>
            </w:tcBorders>
            <w:shd w:val="clear" w:color="auto" w:fill="EEEEEE"/>
          </w:tcPr>
          <w:p>
            <w:pPr>
              <w:spacing w:after="0" w:line="20" w:lineRule="exact"/>
              <w:rPr>
                <w:sz w:val="1"/>
                <w:szCs w:val="1"/>
                <w:color w:val="auto"/>
              </w:rPr>
            </w:pPr>
          </w:p>
        </w:tc>
        <w:tc>
          <w:tcPr>
            <w:tcW w:w="18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EE"/>
              </w:rPr>
              <w:t>ARTICLE FOURTEEN DEFEASANCE AND COVENANT DEFEASANCE</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68</w:t>
            </w: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96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14.01</w:t>
            </w:r>
          </w:p>
        </w:tc>
        <w:tc>
          <w:tcPr>
            <w:tcW w:w="7240" w:type="dxa"/>
            <w:vAlign w:val="bottom"/>
            <w:gridSpan w:val="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Company's Option to Effect Defeasance or Covenant Defeasance</w:t>
            </w:r>
          </w:p>
        </w:tc>
        <w:tc>
          <w:tcPr>
            <w:tcW w:w="170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20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0000EE"/>
            </w:tcBorders>
            <w:shd w:val="clear" w:color="auto" w:fill="EEEEEE"/>
          </w:tcPr>
          <w:p>
            <w:pPr>
              <w:spacing w:after="0" w:line="20" w:lineRule="exact"/>
              <w:rPr>
                <w:sz w:val="1"/>
                <w:szCs w:val="1"/>
                <w:color w:val="auto"/>
              </w:rPr>
            </w:pPr>
          </w:p>
        </w:tc>
        <w:tc>
          <w:tcPr>
            <w:tcW w:w="5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17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040" w:type="dxa"/>
            <w:vAlign w:val="bottom"/>
            <w:tcBorders>
              <w:top w:val="single" w:sz="8" w:color="0000EE"/>
            </w:tcBorders>
            <w:shd w:val="clear" w:color="auto" w:fill="EEEEEE"/>
          </w:tcPr>
          <w:p>
            <w:pPr>
              <w:spacing w:after="0" w:line="20" w:lineRule="exact"/>
              <w:rPr>
                <w:sz w:val="1"/>
                <w:szCs w:val="1"/>
                <w:color w:val="auto"/>
              </w:rPr>
            </w:pPr>
          </w:p>
        </w:tc>
        <w:tc>
          <w:tcPr>
            <w:tcW w:w="2560" w:type="dxa"/>
            <w:vAlign w:val="bottom"/>
            <w:tcBorders>
              <w:top w:val="single" w:sz="8" w:color="EEEEEE"/>
            </w:tcBorders>
            <w:shd w:val="clear" w:color="auto" w:fill="EEEEEE"/>
          </w:tcPr>
          <w:p>
            <w:pPr>
              <w:spacing w:after="0" w:line="20" w:lineRule="exact"/>
              <w:rPr>
                <w:sz w:val="1"/>
                <w:szCs w:val="1"/>
                <w:color w:val="auto"/>
              </w:rPr>
            </w:pPr>
          </w:p>
        </w:tc>
        <w:tc>
          <w:tcPr>
            <w:tcW w:w="15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SECTION 14.02</w:t>
            </w:r>
          </w:p>
        </w:tc>
        <w:tc>
          <w:tcPr>
            <w:tcW w:w="7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Defeasance and Discharge</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shd w:val="clear" w:color="auto" w:fill="EEEEEE"/>
          </w:tcPr>
          <w:p>
            <w:pPr>
              <w:spacing w:after="0"/>
              <w:rPr>
                <w:sz w:val="15"/>
                <w:szCs w:val="15"/>
                <w:color w:val="auto"/>
              </w:rPr>
            </w:pPr>
          </w:p>
        </w:tc>
        <w:tc>
          <w:tcPr>
            <w:tcW w:w="196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14.03</w:t>
            </w:r>
          </w:p>
        </w:tc>
        <w:tc>
          <w:tcPr>
            <w:tcW w:w="7240" w:type="dxa"/>
            <w:vAlign w:val="bottom"/>
            <w:gridSpan w:val="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Covenant Defeasance</w:t>
            </w:r>
          </w:p>
        </w:tc>
        <w:tc>
          <w:tcPr>
            <w:tcW w:w="170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20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0000EE"/>
            </w:tcBorders>
            <w:shd w:val="clear" w:color="auto" w:fill="EEEEEE"/>
          </w:tcPr>
          <w:p>
            <w:pPr>
              <w:spacing w:after="0" w:line="20" w:lineRule="exact"/>
              <w:rPr>
                <w:sz w:val="1"/>
                <w:szCs w:val="1"/>
                <w:color w:val="auto"/>
              </w:rPr>
            </w:pPr>
          </w:p>
        </w:tc>
        <w:tc>
          <w:tcPr>
            <w:tcW w:w="5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7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2560" w:type="dxa"/>
            <w:vAlign w:val="bottom"/>
            <w:tcBorders>
              <w:top w:val="single" w:sz="8" w:color="EEEEEE"/>
            </w:tcBorders>
            <w:shd w:val="clear" w:color="auto" w:fill="EEEEEE"/>
          </w:tcPr>
          <w:p>
            <w:pPr>
              <w:spacing w:after="0" w:line="20" w:lineRule="exact"/>
              <w:rPr>
                <w:sz w:val="1"/>
                <w:szCs w:val="1"/>
                <w:color w:val="auto"/>
              </w:rPr>
            </w:pPr>
          </w:p>
        </w:tc>
        <w:tc>
          <w:tcPr>
            <w:tcW w:w="15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1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SECTION 14.04</w:t>
            </w:r>
          </w:p>
        </w:tc>
        <w:tc>
          <w:tcPr>
            <w:tcW w:w="7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Conditions to Defeasance or Covenant Defeasance</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EEEEEE"/>
          </w:tcPr>
          <w:p>
            <w:pPr>
              <w:spacing w:after="0"/>
              <w:rPr>
                <w:sz w:val="15"/>
                <w:szCs w:val="15"/>
                <w:color w:val="auto"/>
              </w:rPr>
            </w:pPr>
          </w:p>
        </w:tc>
        <w:tc>
          <w:tcPr>
            <w:tcW w:w="196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SECTION 14.05</w:t>
            </w:r>
          </w:p>
        </w:tc>
        <w:tc>
          <w:tcPr>
            <w:tcW w:w="7240" w:type="dxa"/>
            <w:vAlign w:val="bottom"/>
            <w:gridSpan w:val="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Deposited Money and Government Obligations to Be Held in Trust; Other Miscellaneous Provisions</w:t>
            </w:r>
          </w:p>
        </w:tc>
        <w:tc>
          <w:tcPr>
            <w:tcW w:w="170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1200" w:type="dxa"/>
            <w:vAlign w:val="bottom"/>
            <w:tcBorders>
              <w:top w:val="single" w:sz="8" w:color="0000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0000EE"/>
            </w:tcBorders>
            <w:shd w:val="clear" w:color="auto" w:fill="EEEEEE"/>
          </w:tcPr>
          <w:p>
            <w:pPr>
              <w:spacing w:after="0" w:line="20" w:lineRule="exact"/>
              <w:rPr>
                <w:sz w:val="1"/>
                <w:szCs w:val="1"/>
                <w:color w:val="auto"/>
              </w:rPr>
            </w:pPr>
          </w:p>
        </w:tc>
        <w:tc>
          <w:tcPr>
            <w:tcW w:w="5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17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040" w:type="dxa"/>
            <w:vAlign w:val="bottom"/>
            <w:tcBorders>
              <w:top w:val="single" w:sz="8" w:color="0000EE"/>
            </w:tcBorders>
            <w:shd w:val="clear" w:color="auto" w:fill="EEEEEE"/>
          </w:tcPr>
          <w:p>
            <w:pPr>
              <w:spacing w:after="0" w:line="20" w:lineRule="exact"/>
              <w:rPr>
                <w:sz w:val="1"/>
                <w:szCs w:val="1"/>
                <w:color w:val="auto"/>
              </w:rPr>
            </w:pPr>
          </w:p>
        </w:tc>
        <w:tc>
          <w:tcPr>
            <w:tcW w:w="2560" w:type="dxa"/>
            <w:vAlign w:val="bottom"/>
            <w:tcBorders>
              <w:top w:val="single" w:sz="8" w:color="0000EE"/>
            </w:tcBorders>
            <w:shd w:val="clear" w:color="auto" w:fill="EEEEEE"/>
          </w:tcPr>
          <w:p>
            <w:pPr>
              <w:spacing w:after="0" w:line="20" w:lineRule="exact"/>
              <w:rPr>
                <w:sz w:val="1"/>
                <w:szCs w:val="1"/>
                <w:color w:val="auto"/>
              </w:rPr>
            </w:pPr>
          </w:p>
        </w:tc>
        <w:tc>
          <w:tcPr>
            <w:tcW w:w="15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SECTION 14.06</w:t>
            </w:r>
          </w:p>
        </w:tc>
        <w:tc>
          <w:tcPr>
            <w:tcW w:w="7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Reinstatement</w:t>
            </w:r>
          </w:p>
        </w:tc>
        <w:tc>
          <w:tcPr>
            <w:tcW w:w="17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83"/>
        </w:trPr>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CROSS-REFERENCE TABLE</w:t>
            </w:r>
          </w:p>
        </w:tc>
      </w:tr>
      <w:tr>
        <w:trPr>
          <w:trHeight w:val="402"/>
        </w:trPr>
        <w:tc>
          <w:tcPr>
            <w:tcW w:w="2540" w:type="dxa"/>
            <w:vAlign w:val="bottom"/>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TIA</w:t>
            </w:r>
          </w:p>
        </w:tc>
        <w:tc>
          <w:tcPr>
            <w:tcW w:w="708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Indenture</w:t>
            </w:r>
          </w:p>
        </w:tc>
      </w:tr>
      <w:tr>
        <w:trPr>
          <w:trHeight w:val="194"/>
        </w:trPr>
        <w:tc>
          <w:tcPr>
            <w:tcW w:w="4160" w:type="dxa"/>
            <w:vAlign w:val="bottom"/>
            <w:gridSpan w:val="4"/>
          </w:tcPr>
          <w:p>
            <w:pPr>
              <w:ind w:left="2540"/>
              <w:spacing w:after="0" w:line="194" w:lineRule="exact"/>
              <w:rPr>
                <w:sz w:val="20"/>
                <w:szCs w:val="20"/>
                <w:color w:val="auto"/>
              </w:rPr>
            </w:pPr>
            <w:r>
              <w:rPr>
                <w:rFonts w:ascii="Times New Roman" w:cs="Times New Roman" w:eastAsia="Times New Roman" w:hAnsi="Times New Roman"/>
                <w:sz w:val="18"/>
                <w:szCs w:val="18"/>
                <w:color w:val="auto"/>
              </w:rPr>
              <w:t>Section</w:t>
            </w:r>
          </w:p>
        </w:tc>
        <w:tc>
          <w:tcPr>
            <w:tcW w:w="7080" w:type="dxa"/>
            <w:vAlign w:val="bottom"/>
            <w:gridSpan w:val="3"/>
          </w:tcPr>
          <w:p>
            <w:pPr>
              <w:ind w:left="4000"/>
              <w:spacing w:after="0" w:line="194" w:lineRule="exact"/>
              <w:rPr>
                <w:sz w:val="20"/>
                <w:szCs w:val="20"/>
                <w:color w:val="auto"/>
              </w:rPr>
            </w:pPr>
            <w:r>
              <w:rPr>
                <w:rFonts w:ascii="Times New Roman" w:cs="Times New Roman" w:eastAsia="Times New Roman" w:hAnsi="Times New Roman"/>
                <w:sz w:val="18"/>
                <w:szCs w:val="18"/>
                <w:color w:val="auto"/>
              </w:rPr>
              <w:t>Section</w:t>
            </w:r>
          </w:p>
        </w:tc>
      </w:tr>
      <w:tr>
        <w:trPr>
          <w:trHeight w:val="21"/>
        </w:trPr>
        <w:tc>
          <w:tcPr>
            <w:tcW w:w="25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6"/>
        </w:trPr>
        <w:tc>
          <w:tcPr>
            <w:tcW w:w="276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w w:val="98"/>
              </w:rPr>
              <w:t>6.08(1)</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6.09</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7080" w:type="dxa"/>
            <w:vAlign w:val="bottom"/>
            <w:gridSpan w:val="3"/>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6.05</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6.05</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76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7.05</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7.03</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7.03</w:t>
            </w:r>
          </w:p>
        </w:tc>
        <w:tc>
          <w:tcPr>
            <w:tcW w:w="2540" w:type="dxa"/>
            <w:vAlign w:val="bottom"/>
            <w:shd w:val="clear" w:color="auto" w:fill="E6EFFF"/>
          </w:tcPr>
          <w:p>
            <w:pPr>
              <w:spacing w:after="0"/>
              <w:rPr>
                <w:sz w:val="18"/>
                <w:szCs w:val="18"/>
                <w:color w:val="auto"/>
              </w:rPr>
            </w:pPr>
          </w:p>
        </w:tc>
      </w:tr>
      <w:tr>
        <w:trPr>
          <w:trHeight w:val="216"/>
        </w:trPr>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7.04</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7.04</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7.04</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7.05</w:t>
            </w:r>
          </w:p>
        </w:tc>
        <w:tc>
          <w:tcPr>
            <w:tcW w:w="2540" w:type="dxa"/>
            <w:vAlign w:val="bottom"/>
            <w:shd w:val="clear" w:color="auto" w:fill="E6EFFF"/>
          </w:tcPr>
          <w:p>
            <w:pPr>
              <w:spacing w:after="0"/>
              <w:rPr>
                <w:sz w:val="18"/>
                <w:szCs w:val="18"/>
                <w:color w:val="auto"/>
              </w:rPr>
            </w:pPr>
          </w:p>
        </w:tc>
      </w:tr>
      <w:tr>
        <w:trPr>
          <w:trHeight w:val="216"/>
        </w:trPr>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7.05</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(a)(4)</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10.04</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(c)(1)</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1.01</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(c)(2)</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1.01</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7080" w:type="dxa"/>
            <w:vAlign w:val="bottom"/>
            <w:gridSpan w:val="3"/>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1.01</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(f)</w:t>
            </w:r>
          </w:p>
        </w:tc>
        <w:tc>
          <w:tcPr>
            <w:tcW w:w="7080" w:type="dxa"/>
            <w:vAlign w:val="bottom"/>
            <w:gridSpan w:val="3"/>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6.02</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6.01</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6.02</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6.02</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5.15</w:t>
            </w:r>
          </w:p>
        </w:tc>
        <w:tc>
          <w:tcPr>
            <w:tcW w:w="2540" w:type="dxa"/>
            <w:vAlign w:val="bottom"/>
          </w:tcPr>
          <w:p>
            <w:pPr>
              <w:spacing w:after="0"/>
              <w:rPr>
                <w:sz w:val="18"/>
                <w:szCs w:val="18"/>
                <w:color w:val="auto"/>
              </w:rPr>
            </w:pPr>
          </w:p>
        </w:tc>
      </w:tr>
      <w:tr>
        <w:trPr>
          <w:trHeight w:val="216"/>
        </w:trPr>
        <w:tc>
          <w:tcPr>
            <w:tcW w:w="276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(a)(last sentence)</w:t>
            </w:r>
          </w:p>
        </w:tc>
        <w:tc>
          <w:tcPr>
            <w:tcW w:w="4000" w:type="dxa"/>
            <w:vAlign w:val="bottom"/>
            <w:shd w:val="clear" w:color="auto" w:fill="E6EFFF"/>
          </w:tcPr>
          <w:p>
            <w:pPr>
              <w:spacing w:after="0"/>
              <w:rPr>
                <w:sz w:val="18"/>
                <w:szCs w:val="18"/>
                <w:color w:val="auto"/>
              </w:rPr>
            </w:pPr>
          </w:p>
        </w:tc>
        <w:tc>
          <w:tcPr>
            <w:tcW w:w="308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1.02 ("Outstanding")</w:t>
            </w: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(a)(1)(A)</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5.12</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(a)(1)(B)</w:t>
            </w:r>
          </w:p>
        </w:tc>
        <w:tc>
          <w:tcPr>
            <w:tcW w:w="7080" w:type="dxa"/>
            <w:vAlign w:val="bottom"/>
            <w:gridSpan w:val="3"/>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5.02, 5.13</w:t>
            </w: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(a)(2)</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5.08</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1.04(e)</w:t>
            </w:r>
          </w:p>
        </w:tc>
      </w:tr>
      <w:tr>
        <w:trPr>
          <w:trHeight w:val="216"/>
        </w:trPr>
        <w:tc>
          <w:tcPr>
            <w:tcW w:w="276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(a)(1)</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5.03</w:t>
            </w:r>
          </w:p>
        </w:tc>
        <w:tc>
          <w:tcPr>
            <w:tcW w:w="2540" w:type="dxa"/>
            <w:vAlign w:val="bottom"/>
            <w:shd w:val="clear" w:color="auto" w:fill="E6EF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(a)(2)</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5.04</w:t>
            </w:r>
          </w:p>
        </w:tc>
        <w:tc>
          <w:tcPr>
            <w:tcW w:w="2540" w:type="dxa"/>
            <w:vAlign w:val="bottom"/>
          </w:tcPr>
          <w:p>
            <w:pPr>
              <w:spacing w:after="0"/>
              <w:rPr>
                <w:sz w:val="18"/>
                <w:szCs w:val="18"/>
                <w:color w:val="auto"/>
              </w:rPr>
            </w:pPr>
          </w:p>
        </w:tc>
      </w:tr>
      <w:tr>
        <w:trPr>
          <w:trHeight w:val="216"/>
        </w:trPr>
        <w:tc>
          <w:tcPr>
            <w:tcW w:w="25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0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4540" w:type="dxa"/>
            <w:vAlign w:val="bottom"/>
            <w:gridSpan w:val="2"/>
            <w:shd w:val="clear" w:color="auto" w:fill="E6EFFF"/>
          </w:tcPr>
          <w:p>
            <w:pPr>
              <w:ind w:left="4000"/>
              <w:spacing w:after="0"/>
              <w:rPr>
                <w:sz w:val="20"/>
                <w:szCs w:val="20"/>
                <w:color w:val="auto"/>
              </w:rPr>
            </w:pPr>
            <w:r>
              <w:rPr>
                <w:rFonts w:ascii="Times New Roman" w:cs="Times New Roman" w:eastAsia="Times New Roman" w:hAnsi="Times New Roman"/>
                <w:sz w:val="18"/>
                <w:szCs w:val="18"/>
                <w:color w:val="auto"/>
              </w:rPr>
              <w:t>10.03</w:t>
            </w:r>
          </w:p>
        </w:tc>
        <w:tc>
          <w:tcPr>
            <w:tcW w:w="2540" w:type="dxa"/>
            <w:vAlign w:val="bottom"/>
            <w:shd w:val="clear" w:color="auto" w:fill="E6EFFF"/>
          </w:tcPr>
          <w:p>
            <w:pPr>
              <w:spacing w:after="0"/>
              <w:rPr>
                <w:sz w:val="18"/>
                <w:szCs w:val="18"/>
                <w:color w:val="auto"/>
              </w:rPr>
            </w:pPr>
          </w:p>
        </w:tc>
      </w:tr>
      <w:tr>
        <w:trPr>
          <w:trHeight w:val="234"/>
        </w:trPr>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54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1.16</w:t>
            </w:r>
          </w:p>
        </w:tc>
        <w:tc>
          <w:tcPr>
            <w:tcW w:w="2540" w:type="dxa"/>
            <w:vAlign w:val="bottom"/>
          </w:tcPr>
          <w:p>
            <w:pPr>
              <w:spacing w:after="0"/>
              <w:rPr>
                <w:sz w:val="20"/>
                <w:szCs w:val="20"/>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This Cross-Reference Table shall not, for any purpose, be deemed to be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Cybin Inc., a corporation duly continued and existing under the laws of the Province of Ontario, Canada (herein called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having its principal office at 100 King Street West, Suite 5600, Toronto, Ontario, Canada, M5X 1C9, and</w:t>
      </w:r>
    </w:p>
    <w:p>
      <w:pPr>
        <w:spacing w:after="0" w:line="230" w:lineRule="auto"/>
        <w:rPr>
          <w:sz w:val="20"/>
          <w:szCs w:val="20"/>
          <w:color w:val="auto"/>
        </w:rPr>
      </w:pPr>
      <w:r>
        <w:rPr>
          <w:rFonts w:ascii="Times New Roman" w:cs="Times New Roman" w:eastAsia="Times New Roman" w:hAnsi="Times New Roman"/>
          <w:sz w:val="22"/>
          <w:szCs w:val="22"/>
          <w:color w:val="auto"/>
        </w:rPr>
        <w:t>______________________, a ______________________, organized under the laws of ______________________, as U.S.</w:t>
      </w:r>
    </w:p>
    <w:p>
      <w:pPr>
        <w:spacing w:after="0" w:line="231" w:lineRule="auto"/>
        <w:rPr>
          <w:sz w:val="20"/>
          <w:szCs w:val="20"/>
          <w:color w:val="auto"/>
        </w:rPr>
      </w:pPr>
      <w:r>
        <w:rPr>
          <w:rFonts w:ascii="Times New Roman" w:cs="Times New Roman" w:eastAsia="Times New Roman" w:hAnsi="Times New Roman"/>
          <w:sz w:val="22"/>
          <w:szCs w:val="22"/>
          <w:color w:val="auto"/>
        </w:rPr>
        <w:t>trustee (herein called the "</w:t>
      </w:r>
      <w:r>
        <w:rPr>
          <w:rFonts w:ascii="Times New Roman" w:cs="Times New Roman" w:eastAsia="Times New Roman" w:hAnsi="Times New Roman"/>
          <w:sz w:val="22"/>
          <w:szCs w:val="22"/>
          <w:b w:val="1"/>
          <w:bCs w:val="1"/>
          <w:color w:val="auto"/>
        </w:rPr>
        <w:t>U.S. Trustee</w:t>
      </w:r>
      <w:r>
        <w:rPr>
          <w:rFonts w:ascii="Times New Roman" w:cs="Times New Roman" w:eastAsia="Times New Roman" w:hAnsi="Times New Roman"/>
          <w:sz w:val="22"/>
          <w:szCs w:val="22"/>
          <w:color w:val="auto"/>
        </w:rPr>
        <w:t>"), and ______________________, a ______________________, organized under the</w:t>
      </w:r>
    </w:p>
    <w:p>
      <w:pPr>
        <w:spacing w:after="0" w:line="230" w:lineRule="auto"/>
        <w:rPr>
          <w:sz w:val="20"/>
          <w:szCs w:val="20"/>
          <w:color w:val="auto"/>
        </w:rPr>
      </w:pPr>
      <w:r>
        <w:rPr>
          <w:rFonts w:ascii="Times New Roman" w:cs="Times New Roman" w:eastAsia="Times New Roman" w:hAnsi="Times New Roman"/>
          <w:sz w:val="22"/>
          <w:szCs w:val="22"/>
          <w:color w:val="auto"/>
        </w:rPr>
        <w:t>laws of ______________________, as Canadian trustee (the "</w:t>
      </w:r>
      <w:r>
        <w:rPr>
          <w:rFonts w:ascii="Times New Roman" w:cs="Times New Roman" w:eastAsia="Times New Roman" w:hAnsi="Times New Roman"/>
          <w:sz w:val="22"/>
          <w:szCs w:val="22"/>
          <w:b w:val="1"/>
          <w:bCs w:val="1"/>
          <w:color w:val="auto"/>
        </w:rPr>
        <w:t>Canadian Trustee</w:t>
      </w:r>
      <w:r>
        <w:rPr>
          <w:rFonts w:ascii="Times New Roman" w:cs="Times New Roman" w:eastAsia="Times New Roman" w:hAnsi="Times New Roman"/>
          <w:sz w:val="22"/>
          <w:szCs w:val="22"/>
          <w:color w:val="auto"/>
        </w:rPr>
        <w:t>" and, together with the U.S. Trustee,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has duly authorized the execution and delivery of this Indenture to provide for the issuance from time to time of its debentures, notes, bonds or other evidences of indebtedness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which may be convertible into or exchangeable for any securities of any Person (including the Company), to be issued in one or more series as in this Indenture provided.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Indenture is subject to the provisions of Trust Indenture Legislation that are required to be part of this Indenture and shall, to the extent applicable, be governed by such provisions.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things necessary to make this Indenture a valid agreement of the Company, in accordance with its terms, have been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THIS INDENTURE WITNESSETH:</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OTHER PROVISIONS OF GENERAL APPLICATION</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when used with respect to any Holder, has the meaning specified in Section 1.04.</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Authenticating Agent</w:t>
      </w:r>
      <w:r>
        <w:rPr>
          <w:rFonts w:ascii="Times New Roman" w:cs="Times New Roman" w:eastAsia="Times New Roman" w:hAnsi="Times New Roman"/>
          <w:sz w:val="22"/>
          <w:szCs w:val="22"/>
          <w:color w:val="auto"/>
        </w:rPr>
        <w:t>" means any Person authorized by the applicable Trustee pursuant to Section 6.12 to act on behalf of such Trustee to authenticate Securities.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Currency</w:t>
      </w:r>
      <w:r>
        <w:rPr>
          <w:rFonts w:ascii="Times New Roman" w:cs="Times New Roman" w:eastAsia="Times New Roman" w:hAnsi="Times New Roman"/>
          <w:sz w:val="22"/>
          <w:szCs w:val="22"/>
          <w:color w:val="auto"/>
        </w:rPr>
        <w:t>" has the meaning specified in Section 1.14.</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 or any duly authorized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53275" cy="469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Resolution</w:t>
      </w:r>
      <w:r>
        <w:rPr>
          <w:rFonts w:ascii="Times New Roman" w:cs="Times New Roman" w:eastAsia="Times New Roman" w:hAnsi="Times New Roman"/>
          <w:sz w:val="22"/>
          <w:szCs w:val="22"/>
          <w:color w:val="auto"/>
        </w:rPr>
        <w:t>" means a copy of a resolution certified by the Corporate Secretary or an Assistant Secretary of the Company to have been duly adopted by the Board of Directors and to be in full force and effect on the date of such certification, and delivered to the Trustees.</w:t>
      </w:r>
    </w:p>
    <w:p>
      <w:pPr>
        <w:spacing w:after="0" w:line="16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when used with respect to any Place of Payment or any other particular location referred to in this Indenture or in the Securities, means, unless otherwise specified with respect to any Securities pursuant to Section 3.01, any day other than Saturday, Sunday or any other day on which commercial banking institutions in that Place of Payment or other location are permitted or required by any applicable law, regulation or executive order to close.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calculation period</w:t>
      </w:r>
      <w:r>
        <w:rPr>
          <w:rFonts w:ascii="Times New Roman" w:cs="Times New Roman" w:eastAsia="Times New Roman" w:hAnsi="Times New Roman"/>
          <w:sz w:val="22"/>
          <w:szCs w:val="22"/>
          <w:color w:val="auto"/>
        </w:rPr>
        <w:t>" has the meaning specified in Section 3.11.</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Trustee</w:t>
      </w:r>
      <w:r>
        <w:rPr>
          <w:rFonts w:ascii="Times New Roman" w:cs="Times New Roman" w:eastAsia="Times New Roman" w:hAnsi="Times New Roman"/>
          <w:sz w:val="22"/>
          <w:szCs w:val="22"/>
          <w:color w:val="auto"/>
        </w:rPr>
        <w:t xml:space="preserve">" means the Person named as the "Canadian Trustee" in the first paragraph of this Indenture until a successor Canadian Trustee shall have become such pursuant to the applicable provisions of this Indenture, and thereafter "Canadian Trustee" shall mean or include each Person who is then a Canadian Trustee hereunder;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at any time there is more than one such Person, "Canadian Trustee" as used with respect to the Securities of any series shall mean only the Canadian Trustee with respect to Securities of that series.</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Request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Company Order</w:t>
      </w:r>
      <w:r>
        <w:rPr>
          <w:rFonts w:ascii="Times New Roman" w:cs="Times New Roman" w:eastAsia="Times New Roman" w:hAnsi="Times New Roman"/>
          <w:sz w:val="22"/>
          <w:szCs w:val="22"/>
          <w:color w:val="auto"/>
        </w:rPr>
        <w:t>" means a written request or order signed in the name of the Company by an Officer and delivered to the Trustees.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Component Currency</w:t>
      </w:r>
      <w:r>
        <w:rPr>
          <w:rFonts w:ascii="Times New Roman" w:cs="Times New Roman" w:eastAsia="Times New Roman" w:hAnsi="Times New Roman"/>
          <w:sz w:val="22"/>
          <w:szCs w:val="22"/>
          <w:color w:val="auto"/>
        </w:rPr>
        <w:t>" has the meaning specified in Section 3.12(h).</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has the meaning specified in Section 3.12(d).</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Event</w:t>
      </w:r>
      <w:r>
        <w:rPr>
          <w:rFonts w:ascii="Times New Roman" w:cs="Times New Roman" w:eastAsia="Times New Roman" w:hAnsi="Times New Roman"/>
          <w:sz w:val="22"/>
          <w:szCs w:val="22"/>
          <w:color w:val="auto"/>
        </w:rPr>
        <w:t>" means the cessation of use of (i) a Foreign Currency (other than the Euro or other Currency unit) both by the government of the country which issued such Currency and by a central bank or other public institution of or within the international banking community for the settlement of transactions, (ii) the Euro or (iii) any currency unit (or composite currency) other than the Euro for the purposes for which it was established.</w:t>
      </w:r>
    </w:p>
    <w:p>
      <w:pPr>
        <w:spacing w:after="0" w:line="17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Corporate Trust Office</w:t>
      </w:r>
      <w:r>
        <w:rPr>
          <w:rFonts w:ascii="Times New Roman" w:cs="Times New Roman" w:eastAsia="Times New Roman" w:hAnsi="Times New Roman"/>
          <w:sz w:val="22"/>
          <w:szCs w:val="22"/>
          <w:color w:val="auto"/>
        </w:rPr>
        <w:t>" means the principal corporate trust office of the U.S. Trustee or the Canadian Trustee, as applicable, at which at any particular time its corporate trust business may be administered, such an office on the date of execution of this Indenture of the U.S. Trustee is located at _________________________, Attention:</w:t>
      </w:r>
    </w:p>
    <w:p>
      <w:pPr>
        <w:spacing w:after="0"/>
        <w:tabs>
          <w:tab w:leader="none" w:pos="2740" w:val="left"/>
          <w:tab w:leader="none" w:pos="3280" w:val="left"/>
          <w:tab w:leader="none" w:pos="3680" w:val="left"/>
          <w:tab w:leader="none" w:pos="4160" w:val="left"/>
          <w:tab w:leader="none" w:pos="5200" w:val="left"/>
          <w:tab w:leader="none" w:pos="6040" w:val="left"/>
          <w:tab w:leader="none" w:pos="6420" w:val="left"/>
          <w:tab w:leader="none" w:pos="7260" w:val="left"/>
          <w:tab w:leader="none" w:pos="7620" w:val="left"/>
          <w:tab w:leader="none" w:pos="10280" w:val="left"/>
        </w:tabs>
        <w:rPr>
          <w:sz w:val="20"/>
          <w:szCs w:val="20"/>
          <w:color w:val="auto"/>
        </w:rPr>
      </w:pPr>
      <w:r>
        <w:rPr>
          <w:rFonts w:ascii="Times New Roman" w:cs="Times New Roman" w:eastAsia="Times New Roman" w:hAnsi="Times New Roman"/>
          <w:sz w:val="22"/>
          <w:szCs w:val="22"/>
          <w:color w:val="auto"/>
        </w:rPr>
        <w:t>_______________________,</w:t>
        <w:tab/>
        <w:t>and</w:t>
        <w:tab/>
        <w:t>of</w:t>
        <w:tab/>
        <w:t>the</w:t>
        <w:tab/>
        <w:t>Canadian</w:t>
        <w:tab/>
        <w:t>Trustee</w:t>
        <w:tab/>
        <w:t>is</w:t>
        <w:tab/>
        <w:t>located</w:t>
        <w:tab/>
        <w:t>at</w:t>
        <w:tab/>
        <w:t>______________________,</w:t>
      </w:r>
      <w:r>
        <w:rPr>
          <w:sz w:val="20"/>
          <w:szCs w:val="20"/>
          <w:color w:val="auto"/>
        </w:rPr>
        <w:tab/>
      </w:r>
      <w:r>
        <w:rPr>
          <w:rFonts w:ascii="Times New Roman" w:cs="Times New Roman" w:eastAsia="Times New Roman" w:hAnsi="Times New Roman"/>
          <w:sz w:val="21"/>
          <w:szCs w:val="21"/>
          <w:color w:val="auto"/>
        </w:rPr>
        <w:t>Attention:</w:t>
      </w:r>
    </w:p>
    <w:p>
      <w:pPr>
        <w:spacing w:after="0" w:line="231" w:lineRule="auto"/>
        <w:rPr>
          <w:sz w:val="20"/>
          <w:szCs w:val="20"/>
          <w:color w:val="auto"/>
        </w:rPr>
      </w:pPr>
      <w:r>
        <w:rPr>
          <w:rFonts w:ascii="Times New Roman" w:cs="Times New Roman" w:eastAsia="Times New Roman" w:hAnsi="Times New Roman"/>
          <w:sz w:val="22"/>
          <w:szCs w:val="22"/>
          <w:color w:val="auto"/>
        </w:rPr>
        <w:t>____________________________, except that with respect to presentation of Securities for payment or for registration of</w:t>
      </w:r>
    </w:p>
    <w:p>
      <w:pPr>
        <w:jc w:val="both"/>
        <w:spacing w:after="0" w:line="237" w:lineRule="auto"/>
        <w:rPr>
          <w:sz w:val="20"/>
          <w:szCs w:val="20"/>
          <w:color w:val="auto"/>
        </w:rPr>
      </w:pPr>
      <w:r>
        <w:rPr>
          <w:rFonts w:ascii="Times New Roman" w:cs="Times New Roman" w:eastAsia="Times New Roman" w:hAnsi="Times New Roman"/>
          <w:sz w:val="22"/>
          <w:szCs w:val="22"/>
          <w:color w:val="auto"/>
        </w:rPr>
        <w:t>transfer or exchange, such term shall mean the office or agency of the U.S. Trustee or the Canadian Trustee, as applicable, designated in writing to the Company at which, at any particular time, its corporate agency business shall be conducted.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covenant defeasance</w:t>
      </w:r>
      <w:r>
        <w:rPr>
          <w:rFonts w:ascii="Times New Roman" w:cs="Times New Roman" w:eastAsia="Times New Roman" w:hAnsi="Times New Roman"/>
          <w:sz w:val="22"/>
          <w:szCs w:val="22"/>
          <w:color w:val="auto"/>
        </w:rPr>
        <w:t>" has the meaning specified in Section 14.03.</w:t>
      </w: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Currency</w:t>
      </w:r>
      <w:r>
        <w:rPr>
          <w:rFonts w:ascii="Times New Roman" w:cs="Times New Roman" w:eastAsia="Times New Roman" w:hAnsi="Times New Roman"/>
          <w:sz w:val="22"/>
          <w:szCs w:val="22"/>
          <w:color w:val="auto"/>
        </w:rPr>
        <w:t>" means any currency or currencies, composite currency or currency unit or currency units, including, without limitation, the Euro, issued by the government of one or more countries or by any recognized confederation or association of such governments.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event which is, or after notice or passage of time or both would be, an Event of Default.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Defaulted Interest</w:t>
      </w:r>
      <w:r>
        <w:rPr>
          <w:rFonts w:ascii="Times New Roman" w:cs="Times New Roman" w:eastAsia="Times New Roman" w:hAnsi="Times New Roman"/>
          <w:sz w:val="22"/>
          <w:szCs w:val="22"/>
          <w:color w:val="auto"/>
        </w:rPr>
        <w:t>" has the meaning specified in Section 3.07.</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defeasance</w:t>
      </w:r>
      <w:r>
        <w:rPr>
          <w:rFonts w:ascii="Times New Roman" w:cs="Times New Roman" w:eastAsia="Times New Roman" w:hAnsi="Times New Roman"/>
          <w:sz w:val="22"/>
          <w:szCs w:val="22"/>
          <w:color w:val="auto"/>
        </w:rPr>
        <w:t>" has the meaning specified in Section 14.02.</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means, with respect to the Securities of any series issuable or issued in global form, the Person designated as Depositary by the Company pursuant to Section 3.05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7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a dollar or other equivalent unit in such coin or currency of the United States of America as at the time shall be legal tender for the payment of public and private debts.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 Equivalent of the Currency Unit</w:t>
      </w:r>
      <w:r>
        <w:rPr>
          <w:rFonts w:ascii="Times New Roman" w:cs="Times New Roman" w:eastAsia="Times New Roman" w:hAnsi="Times New Roman"/>
          <w:sz w:val="22"/>
          <w:szCs w:val="22"/>
          <w:color w:val="auto"/>
        </w:rPr>
        <w:t>" has the meaning specified in Section 3.12(g).</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 Equivalent of the Foreign Currency</w:t>
      </w:r>
      <w:r>
        <w:rPr>
          <w:rFonts w:ascii="Times New Roman" w:cs="Times New Roman" w:eastAsia="Times New Roman" w:hAnsi="Times New Roman"/>
          <w:sz w:val="22"/>
          <w:szCs w:val="22"/>
          <w:color w:val="auto"/>
        </w:rPr>
        <w:t>" has the meaning specified in Section 3.12(f).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Election Date</w:t>
      </w:r>
      <w:r>
        <w:rPr>
          <w:rFonts w:ascii="Times New Roman" w:cs="Times New Roman" w:eastAsia="Times New Roman" w:hAnsi="Times New Roman"/>
          <w:sz w:val="22"/>
          <w:szCs w:val="22"/>
          <w:color w:val="auto"/>
        </w:rPr>
        <w:t>" has the meaning specified in Section 3.12(h).</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w:t>
      </w:r>
      <w:r>
        <w:rPr>
          <w:rFonts w:ascii="Times New Roman" w:cs="Times New Roman" w:eastAsia="Times New Roman" w:hAnsi="Times New Roman"/>
          <w:sz w:val="22"/>
          <w:szCs w:val="22"/>
          <w:color w:val="auto"/>
        </w:rPr>
        <w:t>" means the single currency of the participating member states from time to time of the European Union described in legislation of the European Counsel for the operation of a single unified European currency (whether known as the Euro or otherwise).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has the meaning specified in Section 5.01.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United States Securities Exchange Act of 1934, as amended.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Date</w:t>
      </w:r>
      <w:r>
        <w:rPr>
          <w:rFonts w:ascii="Times New Roman" w:cs="Times New Roman" w:eastAsia="Times New Roman" w:hAnsi="Times New Roman"/>
          <w:sz w:val="22"/>
          <w:szCs w:val="22"/>
          <w:color w:val="auto"/>
        </w:rPr>
        <w:t>" has the meaning specified in Section 3.04.</w:t>
      </w:r>
    </w:p>
    <w:p>
      <w:pPr>
        <w:spacing w:after="0" w:line="20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Rate Agent</w:t>
      </w:r>
      <w:r>
        <w:rPr>
          <w:rFonts w:ascii="Times New Roman" w:cs="Times New Roman" w:eastAsia="Times New Roman" w:hAnsi="Times New Roman"/>
          <w:sz w:val="21"/>
          <w:szCs w:val="21"/>
          <w:color w:val="auto"/>
        </w:rPr>
        <w:t>" means, with respect to Securities of or within any series, unless otherwise specified with respect to any Securities pursuant to Section 3.01, a New York clearing house bank, designated pursuant to Section 3.01 or Section 3.13.</w:t>
      </w:r>
    </w:p>
    <w:p>
      <w:pPr>
        <w:spacing w:after="0" w:line="12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Rate Officer's Certificate</w:t>
      </w:r>
      <w:r>
        <w:rPr>
          <w:rFonts w:ascii="Times New Roman" w:cs="Times New Roman" w:eastAsia="Times New Roman" w:hAnsi="Times New Roman"/>
          <w:sz w:val="22"/>
          <w:szCs w:val="22"/>
          <w:color w:val="auto"/>
        </w:rPr>
        <w:t>" means a tested telex or a certificate setting forth (i) the applicable Market Exchange Rate and (ii) the Dollar or Foreign Currency amounts of principal,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sent (in the case of a telex) or signed (in the case of a certificate) by the Chief Executive Officer, President or Chief Financial Officer of the Company.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Notice</w:t>
      </w:r>
      <w:r>
        <w:rPr>
          <w:rFonts w:ascii="Times New Roman" w:cs="Times New Roman" w:eastAsia="Times New Roman" w:hAnsi="Times New Roman"/>
          <w:sz w:val="22"/>
          <w:szCs w:val="22"/>
          <w:color w:val="auto"/>
        </w:rPr>
        <w:t>" has the meaning specified in Section 3.08.</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Extension Period</w:t>
      </w:r>
      <w:r>
        <w:rPr>
          <w:rFonts w:ascii="Times New Roman" w:cs="Times New Roman" w:eastAsia="Times New Roman" w:hAnsi="Times New Roman"/>
          <w:sz w:val="22"/>
          <w:szCs w:val="22"/>
          <w:color w:val="auto"/>
        </w:rPr>
        <w:t>" has the meaning specified in Section 3.08.</w:t>
      </w: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Maturity</w:t>
      </w:r>
      <w:r>
        <w:rPr>
          <w:rFonts w:ascii="Times New Roman" w:cs="Times New Roman" w:eastAsia="Times New Roman" w:hAnsi="Times New Roman"/>
          <w:sz w:val="22"/>
          <w:szCs w:val="22"/>
          <w:color w:val="auto"/>
        </w:rPr>
        <w:t>" has the meaning specified in Section 3.08.</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Currency</w:t>
      </w:r>
      <w:r>
        <w:rPr>
          <w:rFonts w:ascii="Times New Roman" w:cs="Times New Roman" w:eastAsia="Times New Roman" w:hAnsi="Times New Roman"/>
          <w:sz w:val="22"/>
          <w:szCs w:val="22"/>
          <w:color w:val="auto"/>
        </w:rPr>
        <w:t>" has the meaning specified in Section 1.15.</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Currency</w:t>
      </w:r>
      <w:r>
        <w:rPr>
          <w:rFonts w:ascii="Times New Roman" w:cs="Times New Roman" w:eastAsia="Times New Roman" w:hAnsi="Times New Roman"/>
          <w:sz w:val="22"/>
          <w:szCs w:val="22"/>
          <w:color w:val="auto"/>
        </w:rPr>
        <w:t>" means any Currency other than Currency of the United States.</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Canada in effect from time to time, unless the Person's most recent audited or quarterly financial statements are not prepared in accordance with generally accepted accounting principles in Canada, in which case "GAAP" shall mean generally accepted accounting principles in the United States in effect from time to time.</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 Obligations</w:t>
      </w:r>
      <w:r>
        <w:rPr>
          <w:rFonts w:ascii="Times New Roman" w:cs="Times New Roman" w:eastAsia="Times New Roman" w:hAnsi="Times New Roman"/>
          <w:sz w:val="21"/>
          <w:szCs w:val="21"/>
          <w:color w:val="auto"/>
        </w:rPr>
        <w:t xml:space="preserve">"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or principal of the Government Obligation evidenced by such depository receipt.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the Person in whose name a Security is registered in the Security Register.</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xml:space="preserv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Indexed Security</w:t>
      </w:r>
      <w:r>
        <w:rPr>
          <w:rFonts w:ascii="Times New Roman" w:cs="Times New Roman" w:eastAsia="Times New Roman" w:hAnsi="Times New Roman"/>
          <w:sz w:val="22"/>
          <w:szCs w:val="22"/>
          <w:color w:val="auto"/>
        </w:rPr>
        <w:t>" means a Security the terms of which provide that the principal amount thereof payable at Stated Maturity may be more or less than the principal face amount thereof at original issuance.</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when used with respect to an Original Issue Discount Security which by its terms bears interest only after Maturity, means interest payable after Maturity at the rate prescribed in such Original Issue Discount Security.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when used with respect to any Security, means the Stated Maturity of an installment of interest on such Security.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Judgment Currency</w:t>
      </w:r>
      <w:r>
        <w:rPr>
          <w:rFonts w:ascii="Times New Roman" w:cs="Times New Roman" w:eastAsia="Times New Roman" w:hAnsi="Times New Roman"/>
          <w:sz w:val="22"/>
          <w:szCs w:val="22"/>
          <w:color w:val="auto"/>
        </w:rPr>
        <w:t>" has the meaning specified in Section 1.14.</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any mortgage, pledge, hypothecation, charge, assignment, deposit arrangement, encumbrance, security interest, lien (statutory or other), or preference, priority or other security or similar agreement or preferential arrangement of any kind or nature whatsoever (including, without limitation, any agreement to give or grant a Lien or any lease, conditional sale or other title retention agreement having substantially the same economic effect as any of the foregoing).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sinking fund payment</w:t>
      </w:r>
      <w:r>
        <w:rPr>
          <w:rFonts w:ascii="Times New Roman" w:cs="Times New Roman" w:eastAsia="Times New Roman" w:hAnsi="Times New Roman"/>
          <w:sz w:val="22"/>
          <w:szCs w:val="22"/>
          <w:color w:val="auto"/>
        </w:rPr>
        <w:t>" has the meaning specified in Section 12.01.</w:t>
      </w:r>
    </w:p>
    <w:p>
      <w:pPr>
        <w:spacing w:after="0" w:line="20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Exchange Rate</w:t>
      </w:r>
      <w:r>
        <w:rPr>
          <w:rFonts w:ascii="Times New Roman" w:cs="Times New Roman" w:eastAsia="Times New Roman" w:hAnsi="Times New Roman"/>
          <w:sz w:val="22"/>
          <w:szCs w:val="22"/>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Toronto,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Toronto,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w:t>
      </w:r>
      <w:r>
        <w:rPr>
          <w:rFonts w:ascii="Times New Roman" w:cs="Times New Roman" w:eastAsia="Times New Roman" w:hAnsi="Times New Roman"/>
          <w:sz w:val="22"/>
          <w:szCs w:val="22"/>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Default</w:t>
      </w:r>
      <w:r>
        <w:rPr>
          <w:rFonts w:ascii="Times New Roman" w:cs="Times New Roman" w:eastAsia="Times New Roman" w:hAnsi="Times New Roman"/>
          <w:sz w:val="22"/>
          <w:szCs w:val="22"/>
          <w:color w:val="auto"/>
        </w:rPr>
        <w:t>" has the meaning specified in Section 6.01.</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the Chair of the Board of Directors, the Chief Executive Officer, the President, the Chief Financial Officer, the Chief Operating Officer, any Executive Vice President, any Vice President, the Treasurer or the Corporate Secretary of the Company or, in the event that the Company is a partnership or a limited liability company that has no such officers, a person duly authorized under applicable law by the general partner, managers, members or a similar body to act on behalf of the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means a certificate, which shall comply with this Indenture, signed by an Officer and delivered to the Trustees.</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Opinion of Counsel</w:t>
      </w:r>
      <w:r>
        <w:rPr>
          <w:rFonts w:ascii="Times New Roman" w:cs="Times New Roman" w:eastAsia="Times New Roman" w:hAnsi="Times New Roman"/>
          <w:sz w:val="22"/>
          <w:szCs w:val="22"/>
          <w:color w:val="auto"/>
        </w:rPr>
        <w:t>" means a written opinion of counsel, who may be counsel for the Company, including an employee of the Company, who shall be acceptable to the Trustees, which opinion may contain customary exceptions and qualifications as to the matters set forth therein.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Optional Reset Date</w:t>
      </w:r>
      <w:r>
        <w:rPr>
          <w:rFonts w:ascii="Times New Roman" w:cs="Times New Roman" w:eastAsia="Times New Roman" w:hAnsi="Times New Roman"/>
          <w:sz w:val="22"/>
          <w:szCs w:val="22"/>
          <w:color w:val="auto"/>
        </w:rPr>
        <w:t>" has the meaning specified in Section 3.07.</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optional sinking fund payment</w:t>
      </w:r>
      <w:r>
        <w:rPr>
          <w:rFonts w:ascii="Times New Roman" w:cs="Times New Roman" w:eastAsia="Times New Roman" w:hAnsi="Times New Roman"/>
          <w:sz w:val="22"/>
          <w:szCs w:val="22"/>
          <w:color w:val="auto"/>
        </w:rPr>
        <w:t>" has the meaning specified in Section 12.01.</w:t>
      </w:r>
    </w:p>
    <w:p>
      <w:pPr>
        <w:spacing w:after="0" w:line="20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Issue Discount Security</w:t>
      </w:r>
      <w:r>
        <w:rPr>
          <w:rFonts w:ascii="Times New Roman" w:cs="Times New Roman" w:eastAsia="Times New Roman" w:hAnsi="Times New Roman"/>
          <w:sz w:val="22"/>
          <w:szCs w:val="22"/>
          <w:color w:val="auto"/>
        </w:rPr>
        <w:t>" means any Security which provides for an amount less than the principal amount thereof to be due and payable upon a declaration of acceleration of the Maturity thereof pursuant to Section 5.02.</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Stated Maturity</w:t>
      </w:r>
      <w:r>
        <w:rPr>
          <w:rFonts w:ascii="Times New Roman" w:cs="Times New Roman" w:eastAsia="Times New Roman" w:hAnsi="Times New Roman"/>
          <w:sz w:val="22"/>
          <w:szCs w:val="22"/>
          <w:color w:val="auto"/>
        </w:rPr>
        <w:t>" has the meaning specified in Section 3.08.</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Outstanding</w:t>
      </w:r>
      <w:r>
        <w:rPr>
          <w:rFonts w:ascii="Times New Roman" w:cs="Times New Roman" w:eastAsia="Times New Roman" w:hAnsi="Times New Roman"/>
          <w:sz w:val="22"/>
          <w:szCs w:val="22"/>
          <w:color w:val="auto"/>
        </w:rPr>
        <w:t>," when used with respect to Securities, means, as of the date of determination, all Securities theretofore authenticated and delivered under this Indenture, except:</w:t>
      </w:r>
    </w:p>
    <w:p>
      <w:pPr>
        <w:spacing w:after="0" w:line="154" w:lineRule="exact"/>
        <w:rPr>
          <w:sz w:val="20"/>
          <w:szCs w:val="20"/>
          <w:color w:val="auto"/>
        </w:rPr>
      </w:pPr>
    </w:p>
    <w:p>
      <w:pPr>
        <w:ind w:left="1340" w:hanging="684"/>
        <w:spacing w:after="0"/>
        <w:tabs>
          <w:tab w:leader="none" w:pos="1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theretofore cancelled by either Trustee or delivered to either Trustee for cancellation;</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4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Securities, or portions thereof, for whose payment or redemption or repayment at the option of the Holder, money in the necessary amount has been theretofore deposited with either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Securities are to be redeemed, notice of such redemption has been duly given pursuant to this Indenture or provision therefor satisfactory to the Trustees has been made;</w:t>
      </w:r>
    </w:p>
    <w:p>
      <w:pPr>
        <w:spacing w:after="0" w:line="181" w:lineRule="exact"/>
        <w:rPr>
          <w:rFonts w:ascii="Times New Roman" w:cs="Times New Roman" w:eastAsia="Times New Roman" w:hAnsi="Times New Roman"/>
          <w:sz w:val="22"/>
          <w:szCs w:val="22"/>
          <w:color w:val="auto"/>
        </w:rPr>
      </w:pPr>
    </w:p>
    <w:p>
      <w:pPr>
        <w:ind w:left="1300" w:hanging="644"/>
        <w:spacing w:after="0" w:line="258" w:lineRule="auto"/>
        <w:tabs>
          <w:tab w:leader="none" w:pos="135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except to the extent provided in Section 14.02 and Section 14.03, with respect to which the Company has effected defeasance and/or covenant defeasance as provided in Article Fourteen; and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5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Trustees proof satisfactory to them that such Securities are held by a bona fide purchaser in whose hands such Securities are valid obligations of the Company;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determining whether the Holders of the requisite principal amount of the Outstanding Securities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given any request, demand, authorization, direction, notice, consent or waiver hereunder,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Trustees,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Trustees shall be protected in making such calculation or in relying upon any such request, demand, authorization, direction, notice, consent or waiver, only Securities which the Trustees know to be so owned shall be so disregarded. Securities so owned which have been pledged in good faith may be regarded as Outstanding if the pledgee establishes to the satisfaction of the Trustees the pledgee's right so to act with respect to such Securities and that the pledgee is not the Company or any other obligor upon the Securities or any Affiliate of the Company or such other obligor.</w:t>
      </w:r>
    </w:p>
    <w:p>
      <w:pPr>
        <w:sectPr>
          <w:pgSz w:w="11900" w:h="16838" w:orient="portrait"/>
          <w:cols w:equalWidth="0" w:num="1">
            <w:col w:w="11240"/>
          </w:cols>
          <w:pgMar w:left="320" w:top="108"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7" w:name="page88"/>
    <w:bookmarkEnd w:id="87"/>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means any Person (including the Company acting as Paying Agent) authorized by the Company to pay the principal of, premium (if any) or interest (if any) on any Securities on behalf of the Company. Such Person must be capable of making payment in the Currency of the issued Security.</w:t>
      </w:r>
    </w:p>
    <w:p>
      <w:pPr>
        <w:spacing w:after="0" w:line="1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body corporate, partnership, limited partnership, limited liability partnership, joint venture, limited liability company, unlimited liability company, association, joint-stock company, trust, unincorporated organization or government or any agency or political subdivision thereof.</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Place of Payment</w:t>
      </w:r>
      <w:r>
        <w:rPr>
          <w:rFonts w:ascii="Times New Roman" w:cs="Times New Roman" w:eastAsia="Times New Roman" w:hAnsi="Times New Roman"/>
          <w:sz w:val="22"/>
          <w:szCs w:val="22"/>
          <w:color w:val="auto"/>
        </w:rPr>
        <w:t>" means, when used with respect to the Securities of or within any series, each place where the principal of, premium (if any) and interest (if any) on such Securities are payable as specified as contemplated by Sections 3.01 and 10.02.</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Predecessor Security</w:t>
      </w:r>
      <w:r>
        <w:rPr>
          <w:rFonts w:ascii="Times New Roman" w:cs="Times New Roman" w:eastAsia="Times New Roman" w:hAnsi="Times New Roman"/>
          <w:sz w:val="22"/>
          <w:szCs w:val="22"/>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Privacy Laws</w:t>
      </w:r>
      <w:r>
        <w:rPr>
          <w:rFonts w:ascii="Times New Roman" w:cs="Times New Roman" w:eastAsia="Times New Roman" w:hAnsi="Times New Roman"/>
          <w:sz w:val="22"/>
          <w:szCs w:val="22"/>
          <w:color w:val="auto"/>
        </w:rPr>
        <w:t>" has the meaning specified in Section 6.14.</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rate(s) of exchange</w:t>
      </w:r>
      <w:r>
        <w:rPr>
          <w:rFonts w:ascii="Times New Roman" w:cs="Times New Roman" w:eastAsia="Times New Roman" w:hAnsi="Times New Roman"/>
          <w:sz w:val="22"/>
          <w:szCs w:val="22"/>
          <w:color w:val="auto"/>
        </w:rPr>
        <w:t>" has the meaning specified in Section 1.14.</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when used with respect to any Security to be redeemed, in whole or in part, means the date fixed for such redemption by or pursuant to this Indenture.</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when used with respect to any Security to be redeemed, in whole or in part, means the price at which it is to be redeemed pursuant to this Indenture, plus accrued and unpaid interest thereon to the Redemption Date.</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Record Date</w:t>
      </w:r>
      <w:r>
        <w:rPr>
          <w:rFonts w:ascii="Times New Roman" w:cs="Times New Roman" w:eastAsia="Times New Roman" w:hAnsi="Times New Roman"/>
          <w:sz w:val="22"/>
          <w:szCs w:val="22"/>
          <w:color w:val="auto"/>
        </w:rPr>
        <w:t>" for the interest payable on any Interest Payment Date on the Securities of or within any series means the date specified for that purpose as contemplated by Section 3.01.</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Repayment Date</w:t>
      </w:r>
      <w:r>
        <w:rPr>
          <w:rFonts w:ascii="Times New Roman" w:cs="Times New Roman" w:eastAsia="Times New Roman" w:hAnsi="Times New Roman"/>
          <w:sz w:val="22"/>
          <w:szCs w:val="22"/>
          <w:color w:val="auto"/>
        </w:rPr>
        <w:t>" means, when used with respect to any Security to be repaid at the option of the Holder, the date fixed for such repayment pursuant to this Indenture.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Reset Notice</w:t>
      </w:r>
      <w:r>
        <w:rPr>
          <w:rFonts w:ascii="Times New Roman" w:cs="Times New Roman" w:eastAsia="Times New Roman" w:hAnsi="Times New Roman"/>
          <w:sz w:val="22"/>
          <w:szCs w:val="22"/>
          <w:color w:val="auto"/>
        </w:rPr>
        <w:t>" has the meaning specified in Section 3.07.</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when used with respect to a Trustee, means any vice president, secretary, any assistant secretary, treasurer, any assistant treasurer, any senior trust officer, any trust officer, the controller within the corporate trust administration division of a Trustee or any other officer of a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has the meaning stated in the first recital of this Indenture and more particularly means any Securities authenticated and delivered under this Indenture;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Register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Security Registrar</w:t>
      </w:r>
      <w:r>
        <w:rPr>
          <w:rFonts w:ascii="Times New Roman" w:cs="Times New Roman" w:eastAsia="Times New Roman" w:hAnsi="Times New Roman"/>
          <w:sz w:val="22"/>
          <w:szCs w:val="22"/>
          <w:color w:val="auto"/>
        </w:rPr>
        <w:t>" have the respective meanings specified in Section 3.05.</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Special Record Date</w:t>
      </w:r>
      <w:r>
        <w:rPr>
          <w:rFonts w:ascii="Times New Roman" w:cs="Times New Roman" w:eastAsia="Times New Roman" w:hAnsi="Times New Roman"/>
          <w:sz w:val="22"/>
          <w:szCs w:val="22"/>
          <w:color w:val="auto"/>
        </w:rPr>
        <w:t>" for the payment of any Defaulted Interest on the Securities of or within any series means a date fixed by the Trustees pursuant to Section 3.07.</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Amount</w:t>
      </w:r>
      <w:r>
        <w:rPr>
          <w:rFonts w:ascii="Times New Roman" w:cs="Times New Roman" w:eastAsia="Times New Roman" w:hAnsi="Times New Roman"/>
          <w:sz w:val="22"/>
          <w:szCs w:val="22"/>
          <w:color w:val="auto"/>
        </w:rPr>
        <w:t>" has the meaning specified in Section 3.12(h).</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Stated Maturity</w:t>
      </w:r>
      <w:r>
        <w:rPr>
          <w:rFonts w:ascii="Times New Roman" w:cs="Times New Roman" w:eastAsia="Times New Roman" w:hAnsi="Times New Roman"/>
          <w:sz w:val="22"/>
          <w:szCs w:val="22"/>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 (if applicable).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Subsequent Interest Period</w:t>
      </w:r>
      <w:r>
        <w:rPr>
          <w:rFonts w:ascii="Times New Roman" w:cs="Times New Roman" w:eastAsia="Times New Roman" w:hAnsi="Times New Roman"/>
          <w:sz w:val="22"/>
          <w:szCs w:val="22"/>
          <w:color w:val="auto"/>
        </w:rPr>
        <w:t>" has the meaning specified in Section 3.07.</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 Indenture Act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TIA</w:t>
      </w:r>
      <w:r>
        <w:rPr>
          <w:rFonts w:ascii="Times New Roman" w:cs="Times New Roman" w:eastAsia="Times New Roman" w:hAnsi="Times New Roman"/>
          <w:sz w:val="22"/>
          <w:szCs w:val="22"/>
          <w:color w:val="auto"/>
        </w:rPr>
        <w:t>" means the United States Trust Indenture Act of 1939, as amended, as in force at the date as of which this Indenture was executed, except as provided in Section 9.05.</w:t>
      </w:r>
    </w:p>
    <w:p>
      <w:pPr>
        <w:spacing w:after="0" w:line="15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 Indenture Legislation</w:t>
      </w:r>
      <w:r>
        <w:rPr>
          <w:rFonts w:ascii="Times New Roman" w:cs="Times New Roman" w:eastAsia="Times New Roman" w:hAnsi="Times New Roman"/>
          <w:sz w:val="22"/>
          <w:szCs w:val="22"/>
          <w:color w:val="auto"/>
        </w:rPr>
        <w:t>" means, at any time, the provisions of (i) any applicable statute of Canada or any province or territory thereof and the regulations thereunder as amended or re-enacted from time to time, but only to the extent applicable, or (iii) the Trust Indenture Act and regulations thereunder, but only to the extent applicable, in each case relating to trust indentures and to the rights, duties and obligations of trustees under trust indentures and of corporations issuing debt obligations under trust indentures, to the extent that such provisions are at such time in force and applicable to this Indenture or the Company or the Trustees.</w:t>
      </w:r>
    </w:p>
    <w:p>
      <w:pPr>
        <w:spacing w:after="0" w:line="17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Trustees</w:t>
      </w:r>
      <w:r>
        <w:rPr>
          <w:rFonts w:ascii="Times New Roman" w:cs="Times New Roman" w:eastAsia="Times New Roman" w:hAnsi="Times New Roman"/>
          <w:sz w:val="22"/>
          <w:szCs w:val="22"/>
          <w:color w:val="auto"/>
        </w:rPr>
        <w:t>" means the U.S. Trustee and the Canadian Trustee. If a Canadian Trustee is not appointed under this Indenture, or resigns or is removed and, pursuant to Section 6.09, the Company is not required to appoint a successor Trustee to the Canadian Trustee, "Trustee," "Trustees" and any reference to "either Trustee," "both of the Trustees" or such similar references shall mean the Person named as the U.S. Trustee or any successor thereto appointed pursuant to the applicable provisions of this Indenture. Except to the extent otherwise indicated, "Trustees" shall refer to the Canadian Trustee (if appointed and still serving) and the U.S. Trustee, both jointly and individually.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Federal Bankruptcy Code</w:t>
      </w:r>
      <w:r>
        <w:rPr>
          <w:rFonts w:ascii="Times New Roman" w:cs="Times New Roman" w:eastAsia="Times New Roman" w:hAnsi="Times New Roman"/>
          <w:sz w:val="22"/>
          <w:szCs w:val="22"/>
          <w:color w:val="auto"/>
        </w:rPr>
        <w:t>" means the Bankruptcy Act of Title 11 of the United States Code, as amended from time to time.</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Trustee</w:t>
      </w:r>
      <w:r>
        <w:rPr>
          <w:rFonts w:ascii="Times New Roman" w:cs="Times New Roman" w:eastAsia="Times New Roman" w:hAnsi="Times New Roman"/>
          <w:sz w:val="22"/>
          <w:szCs w:val="22"/>
          <w:color w:val="auto"/>
        </w:rPr>
        <w:t xml:space="preserve">" means the Person named as the "U.S. Trustee" in the first paragraph of this Indenture until a successor U.S. Trustee shall have become such pursuant to the applicable provisions of this Indenture, and thereafter "U.S. Trustee" shall mean or include each Person who is then a U.S. Trustee hereunder;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at any time there is more than one such Person, "U.S. Trustee" as used with respect to the Securities of any series shall mean only the U.S. Trustee with respect to Securities of that series.</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 person</w:t>
      </w:r>
      <w:r>
        <w:rPr>
          <w:rFonts w:ascii="Times New Roman" w:cs="Times New Roman" w:eastAsia="Times New Roman" w:hAnsi="Times New Roman"/>
          <w:sz w:val="22"/>
          <w:szCs w:val="22"/>
          <w:color w:val="auto"/>
        </w:rPr>
        <w:t>" means, unless otherwise specified with respect to any Securities pursuant to Section 3.01, an individual who is a citizen or resident of the United States, a corporation, partnership (including any entity treated as a corporation or as a partnership for United States federal income tax purposes) or other entity created or organized in or under the laws of the United States, any state thereof or the District of Columbia, an estate the income of which is subject to United States federal income taxation regardless of its source, or a trust if (A) it is subject to the primary supervision of a court within the United States and one or more United States persons have the authority to control all substantial decisions of the trust or (B) it has a valid election in effect under applicable United States Treasury Regulations to be treated as a United States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Valuation Date</w:t>
      </w:r>
      <w:r>
        <w:rPr>
          <w:rFonts w:ascii="Times New Roman" w:cs="Times New Roman" w:eastAsia="Times New Roman" w:hAnsi="Times New Roman"/>
          <w:sz w:val="22"/>
          <w:szCs w:val="22"/>
          <w:color w:val="auto"/>
        </w:rPr>
        <w:t>" has the meaning specified in Section 3.12(c).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Writing</w:t>
      </w:r>
      <w:r>
        <w:rPr>
          <w:rFonts w:ascii="Times New Roman" w:cs="Times New Roman" w:eastAsia="Times New Roman" w:hAnsi="Times New Roman"/>
          <w:sz w:val="22"/>
          <w:szCs w:val="22"/>
          <w:color w:val="auto"/>
        </w:rPr>
        <w:t>" has the meaning specified in Section 6.13.</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Yield to Maturity</w:t>
      </w:r>
      <w:r>
        <w:rPr>
          <w:rFonts w:ascii="Times New Roman" w:cs="Times New Roman" w:eastAsia="Times New Roman" w:hAnsi="Times New Roman"/>
          <w:sz w:val="22"/>
          <w:szCs w:val="22"/>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6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Rules of Construction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For all purposes of this Indenture, except as otherwise expressly provided or unless the context otherwise requires:</w:t>
      </w:r>
    </w:p>
    <w:p>
      <w:pPr>
        <w:spacing w:after="0" w:line="206" w:lineRule="exact"/>
        <w:rPr>
          <w:sz w:val="20"/>
          <w:szCs w:val="20"/>
          <w:color w:val="auto"/>
        </w:rPr>
      </w:pPr>
    </w:p>
    <w:p>
      <w:pPr>
        <w:ind w:left="1300" w:right="20" w:hanging="644"/>
        <w:spacing w:after="0" w:line="258" w:lineRule="auto"/>
        <w:tabs>
          <w:tab w:leader="none" w:pos="13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defined in this Indenture have the meanings assigned to them herein and include the plural as well as the singular;</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used herein which are defined in the Trust Indenture Act, either directly or by reference therein, have the meanings assigned to them therein, and the terms "cash transaction" and "self-liquidating paper," as used in TIA Section 319, shall have the meanings assigned to them in the rules of the Commission adopted under the Trust Indenture Act;</w:t>
      </w:r>
    </w:p>
    <w:p>
      <w:pPr>
        <w:spacing w:after="0" w:line="180"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"hereunder" and other words of similar import refer to this Indenture as a whole and not to any particular Article, Section or other subdivision;</w:t>
      </w:r>
    </w:p>
    <w:p>
      <w:pPr>
        <w:spacing w:after="0" w:line="158"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implying any gender shall apply to all genders;</w:t>
      </w:r>
    </w:p>
    <w:p>
      <w:pPr>
        <w:spacing w:after="0" w:line="206"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Subsection, Section and Article refer to the Subsections, Sections and Articles, respectively, of this Indenture unless otherwise noted; and</w:t>
      </w:r>
    </w:p>
    <w:p>
      <w:pPr>
        <w:spacing w:after="0" w:line="158"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"includes" or "including" means include, includes or including, in each case, without limitation.</w:t>
      </w:r>
    </w:p>
    <w:p>
      <w:pPr>
        <w:spacing w:after="0" w:line="20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Compliance Certificates and Opinions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Upon any application or request by the Company to the Trustees to take any action under any provision of this Indenture, the Company shall furnish to the Trustees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Every certificate or opinion with respect to compliance with a covenant or condition provided for in this Indenture (other than pursuant to Section 10.04) shall include:</w:t>
      </w:r>
    </w:p>
    <w:p>
      <w:pPr>
        <w:spacing w:after="0" w:line="158" w:lineRule="exact"/>
        <w:rPr>
          <w:sz w:val="20"/>
          <w:szCs w:val="20"/>
          <w:color w:val="auto"/>
        </w:rPr>
      </w:pPr>
    </w:p>
    <w:p>
      <w:pPr>
        <w:ind w:left="1300" w:hanging="644"/>
        <w:spacing w:after="0" w:line="258" w:lineRule="auto"/>
        <w:tabs>
          <w:tab w:leader="none" w:pos="13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each individual signing such certificate or opinion has read such covenant or condition and the definitions herein relating thereto;</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3" w:lineRule="exact"/>
        <w:rPr>
          <w:rFonts w:ascii="Times New Roman" w:cs="Times New Roman" w:eastAsia="Times New Roman" w:hAnsi="Times New Roman"/>
          <w:sz w:val="22"/>
          <w:szCs w:val="22"/>
          <w:color w:val="auto"/>
        </w:rPr>
      </w:pPr>
    </w:p>
    <w:p>
      <w:pPr>
        <w:ind w:left="1300" w:hanging="644"/>
        <w:spacing w:after="0" w:line="258" w:lineRule="auto"/>
        <w:tabs>
          <w:tab w:leader="none" w:pos="13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in the opinion of each such individual, such covenant or condition has been complied with.</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1.04</w:t>
      </w:r>
      <w:r>
        <w:rPr>
          <w:sz w:val="20"/>
          <w:szCs w:val="20"/>
          <w:color w:val="auto"/>
        </w:rPr>
        <w:tab/>
      </w:r>
      <w:r>
        <w:rPr>
          <w:rFonts w:ascii="Times New Roman" w:cs="Times New Roman" w:eastAsia="Times New Roman" w:hAnsi="Times New Roman"/>
          <w:sz w:val="21"/>
          <w:szCs w:val="21"/>
          <w:b w:val="1"/>
          <w:bCs w:val="1"/>
          <w:color w:val="auto"/>
        </w:rPr>
        <w:t>Form of Documents Delivered to Trustees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with respect to other matters, and any such Person may certify or give an opinion as to such matters in one or several documents.</w:t>
      </w:r>
    </w:p>
    <w:p>
      <w:pPr>
        <w:spacing w:after="0" w:line="17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Any certificate or opinion of an officer of the Company may be based, insofar as it relates to legal matters, upon an Opinion of Counsel, a certificate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Any certificate or opinion of an officer of the Company or counsel may be based, insofar as it relates to accounting matters, upon a certificate or opinion of, or representations by, an accountant or firm of accountants in the employ of the Company, unless such officer or counsel, as the case may be, knows, or in the exercise of reasonable care should know, that the certificate or opinion or representations with respect to the accounting matters upon which such certificate or opinion may be based are erroneous. Any certificate or opinion of any independent firm of public accountants filed with the Trustees shall contain a statement that such firm is independent.</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3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1"/>
          <w:szCs w:val="21"/>
          <w:b w:val="1"/>
          <w:bCs w:val="1"/>
          <w:color w:val="auto"/>
        </w:rPr>
        <w:t>Acts of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46" w:lineRule="auto"/>
        <w:tabs>
          <w:tab w:leader="none" w:pos="131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or record or both are delivered to the Trustees and, where it is hereby expressly required, to the Company. Such instrument or instruments and any such record (and the action embodied therein and evidenced thereby) are herein sometimes referred to as the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Trustees and the Company, if made in the manner provided in this Section 1.05. The Trustees may make reasonable rules for action by or at a meeting of Holders.</w:t>
      </w:r>
    </w:p>
    <w:p>
      <w:pPr>
        <w:spacing w:after="0" w:line="170" w:lineRule="exact"/>
        <w:rPr>
          <w:rFonts w:ascii="Times New Roman" w:cs="Times New Roman" w:eastAsia="Times New Roman" w:hAnsi="Times New Roman"/>
          <w:sz w:val="21"/>
          <w:szCs w:val="21"/>
          <w:color w:val="auto"/>
        </w:rPr>
      </w:pPr>
    </w:p>
    <w:p>
      <w:pPr>
        <w:jc w:val="both"/>
        <w:ind w:firstLine="656"/>
        <w:spacing w:after="0" w:line="249" w:lineRule="auto"/>
        <w:tabs>
          <w:tab w:leader="none" w:pos="131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Trustees deem sufficient.</w:t>
      </w:r>
    </w:p>
    <w:p>
      <w:pPr>
        <w:spacing w:after="0" w:line="170" w:lineRule="exact"/>
        <w:rPr>
          <w:rFonts w:ascii="Times New Roman" w:cs="Times New Roman" w:eastAsia="Times New Roman" w:hAnsi="Times New Roman"/>
          <w:sz w:val="21"/>
          <w:szCs w:val="21"/>
          <w:color w:val="auto"/>
        </w:rPr>
      </w:pPr>
    </w:p>
    <w:p>
      <w:pPr>
        <w:ind w:firstLine="656"/>
        <w:spacing w:after="0" w:line="258" w:lineRule="auto"/>
        <w:tabs>
          <w:tab w:leader="none" w:pos="13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ownership of the Securities, including the principal amount and serial numbers, and the date of holding the same, shall be proved by the Security Register.</w:t>
      </w:r>
    </w:p>
    <w:p>
      <w:pPr>
        <w:spacing w:after="0" w:line="158" w:lineRule="exact"/>
        <w:rPr>
          <w:rFonts w:ascii="Times New Roman" w:cs="Times New Roman" w:eastAsia="Times New Roman" w:hAnsi="Times New Roman"/>
          <w:sz w:val="22"/>
          <w:szCs w:val="22"/>
          <w:color w:val="auto"/>
        </w:rPr>
      </w:pPr>
    </w:p>
    <w:p>
      <w:pPr>
        <w:jc w:val="both"/>
        <w:ind w:firstLine="656"/>
        <w:spacing w:after="0" w:line="233" w:lineRule="auto"/>
        <w:tabs>
          <w:tab w:leader="none" w:pos="131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shall solicit from the Holders of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Notwithstanding Trust Indenture Legislation, including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jc w:val="both"/>
        <w:ind w:firstLine="656"/>
        <w:spacing w:after="0"/>
        <w:tabs>
          <w:tab w:leader="none" w:pos="131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Trustees or the Company in reliance thereon, whether or not notation of such action is made upon such Security.</w:t>
      </w:r>
    </w:p>
    <w:p>
      <w:pPr>
        <w:spacing w:after="0" w:line="17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color w:val="auto"/>
        </w:rPr>
        <w:t>Notices, Etc. to Trustees and Company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Any request, demand, authorization, direction, notice, consent, waiver or Act of Holders or other documents provided or permitted by this Indenture to be made upon, given or furnished to, or filed with:</w:t>
      </w:r>
    </w:p>
    <w:p>
      <w:pPr>
        <w:spacing w:after="0" w:line="158" w:lineRule="exact"/>
        <w:rPr>
          <w:sz w:val="20"/>
          <w:szCs w:val="20"/>
          <w:color w:val="auto"/>
        </w:rPr>
      </w:pPr>
    </w:p>
    <w:p>
      <w:pPr>
        <w:jc w:val="both"/>
        <w:ind w:left="1300" w:hanging="644"/>
        <w:spacing w:after="0" w:line="244" w:lineRule="auto"/>
        <w:tabs>
          <w:tab w:leader="none" w:pos="13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Trustee, by the Canadian Trustee, any Holder or by the Company shall be sufficient for every purpose hereunder if made, given, furnished or filed in writing to or with the U.S. Trustee at its Corporate Trust Office, Attention: ________________, or</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Canadian Trustee, by the U.S. Trustee, any Holder or by the Company shall be sufficient for every purpose hereunder if made, given, furnished or filed in writing to or with the Canadian Trustee at its Corporate Trust Office, Attention: ________________, or</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by either Trustee or any Holder shall be sufficient for every purpose hereunder (unless otherwise herein expressly provided) if in writing and mailed, first-class postage prepaid, or sent by overnight courier, to the Company at 100 King Street West, Suite 5600, Toronto, Ontario, Canada, M5X 1C9, Attention: Corporate Secretary or such other address and/or officer as the Company may designate on written notice to the Trustees</w:t>
      </w:r>
    </w:p>
    <w:p>
      <w:pPr>
        <w:spacing w:after="0" w:line="17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color w:val="auto"/>
        </w:rPr>
        <w:t>Notice to Holders; Waiver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Where this Indenture provides for notice of any event to Holders of Securities by the Company or the Trustees, such notice shall be sufficiently given (unless otherwise herein expressly provided) if in writing and mailed, first-class postage prepaid, to each such Holder affected by such event, at his address as it appears in the Security Register. In any case where notice to Holders of Securities is given by mail, neither the failure to mail such notice, nor any defect in any notice so mailed, to any particular Holder shall affect the sufficiency of such notice with respect to other Holders of Securities. Any notice mailed to a Holder in the manner herein prescribed shall be conclusively deemed to have been received by such Holder, whether or not such Holder actually receives such notice.</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case, by reason of the suspension of or irregularities in regular mail service or by reason of any other cause, it shall be impractical to mail notice of any event to Holders of Securities when such notice is required to be given pursuant to any provision of this Indenture, then any manner of giving such notice as shall be satisfactory to the Trustees shall be deemed to be sufficient giving of such notice for every purpose 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5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Trustees, but such filing shall not be a condition precedent to the validity of any action taken in reliance upon such waiver.</w:t>
      </w:r>
    </w:p>
    <w:p>
      <w:pPr>
        <w:spacing w:after="0" w:line="17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1.08</w:t>
      </w:r>
      <w:r>
        <w:rPr>
          <w:sz w:val="20"/>
          <w:szCs w:val="20"/>
          <w:color w:val="auto"/>
        </w:rPr>
        <w:tab/>
      </w:r>
      <w:r>
        <w:rPr>
          <w:rFonts w:ascii="Times New Roman" w:cs="Times New Roman" w:eastAsia="Times New Roman" w:hAnsi="Times New Roman"/>
          <w:sz w:val="21"/>
          <w:szCs w:val="21"/>
          <w:b w:val="1"/>
          <w:bCs w:val="1"/>
          <w:color w:val="auto"/>
        </w:rPr>
        <w:t>Effect of Headings and Table of Contents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Article and Section headings herein and the Table of Contents are for convenience only and shall not affect the construction hereof.</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1.09</w:t>
      </w:r>
      <w:r>
        <w:rPr>
          <w:sz w:val="20"/>
          <w:szCs w:val="20"/>
          <w:color w:val="auto"/>
        </w:rPr>
        <w:tab/>
      </w: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All covenants and agreements in this Indenture by the Company and the Trustees shall bind their successors and assigns, whether so expressed or not.</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1.10</w:t>
      </w:r>
      <w:r>
        <w:rPr>
          <w:sz w:val="20"/>
          <w:szCs w:val="20"/>
          <w:color w:val="auto"/>
        </w:rPr>
        <w:tab/>
      </w:r>
      <w:r>
        <w:rPr>
          <w:rFonts w:ascii="Times New Roman" w:cs="Times New Roman" w:eastAsia="Times New Roman" w:hAnsi="Times New Roman"/>
          <w:sz w:val="21"/>
          <w:szCs w:val="21"/>
          <w:b w:val="1"/>
          <w:bCs w:val="1"/>
          <w:color w:val="auto"/>
        </w:rPr>
        <w:t>Severability Clause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1.11</w:t>
      </w:r>
      <w:r>
        <w:rPr>
          <w:sz w:val="20"/>
          <w:szCs w:val="20"/>
          <w:color w:val="auto"/>
        </w:rPr>
        <w:tab/>
      </w:r>
      <w:r>
        <w:rPr>
          <w:rFonts w:ascii="Times New Roman" w:cs="Times New Roman" w:eastAsia="Times New Roman" w:hAnsi="Times New Roman"/>
          <w:sz w:val="21"/>
          <w:szCs w:val="21"/>
          <w:b w:val="1"/>
          <w:bCs w:val="1"/>
          <w:color w:val="auto"/>
        </w:rPr>
        <w:t>Benefits of Indenture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Nothing in this Indenture or in the Securities, express or implied, shall give to any Person, other than the parties hereto, any Authenticating Agent, any Paying Agent, any Securities Registrar and their successors hereunder and the Holders of Securities, any benefit or any legal or equitable right, remedy or claim under this Indenture. Subject to Section 1.16, at all times in relation to this Indenture and any action to be taken hereunder, the Company and the Trustees each shall observe and comply with Trust Indenture Legislation and the Company, the Trustees and each Holder of a Security shall be entitled to the benefits of Trust Indenture Legislation.</w:t>
      </w:r>
    </w:p>
    <w:p>
      <w:pPr>
        <w:spacing w:after="0" w:line="17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1.12</w:t>
      </w:r>
      <w:r>
        <w:rPr>
          <w:sz w:val="20"/>
          <w:szCs w:val="20"/>
          <w:color w:val="auto"/>
        </w:rPr>
        <w:tab/>
      </w: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Indenture and the Securities shall be governed by and construed in accordance with the law of the State of New York, but without giving effect to applicable principles of conflicts of law to the extent that the application of the law of another jurisdiction would be required thereby. Notwithstanding the preceding sentence, the exercise, performance or discharge by the Canadian Trustee of any of its rights, powers, duties or responsibilities hereunder shall be construed in accordance with the laws of the Province of Ontario and the federal laws of Canada applicable thereto. This Indenture is subject to the provisions of Trust Indenture Legislation that are required to be part of this Indenture and shall, to the extent applicable, be governed by such provisions. Each Trustee and the Company agrees to comply with all provisions of Trust Indenture Legislation applicable to or binding upon it in connection with this Indenture and any action to be taken hereunder.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1.13</w:t>
      </w:r>
      <w:r>
        <w:rPr>
          <w:sz w:val="20"/>
          <w:szCs w:val="20"/>
          <w:color w:val="auto"/>
        </w:rPr>
        <w:tab/>
      </w:r>
      <w:r>
        <w:rPr>
          <w:rFonts w:ascii="Times New Roman" w:cs="Times New Roman" w:eastAsia="Times New Roman" w:hAnsi="Times New Roman"/>
          <w:sz w:val="21"/>
          <w:szCs w:val="21"/>
          <w:b w:val="1"/>
          <w:bCs w:val="1"/>
          <w:color w:val="auto"/>
        </w:rPr>
        <w:t>Legal Holidays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In any case where any Interest Payment Date, Redemption Date, sinking fund payment date or Stated Maturity or Maturity of any Security shall not be a Business Day at any Place of Payment or other location contemplated hereunder, then (notwithstanding any other provision of this Indenture or of any Security other than a provision in the Securities of any series which specifically states that such provision shall apply in lieu of this Section 1.13), payment of principal, premium (if any) or interest (if any), need not be made at such Place of Payment or other location contemplated hereunder on such date, but may be made on the next succeeding Business Day at such Place of Payment or other location contemplated hereunder with the same force and effect as if made on the Interest Payment Date or Redemption Date or sinking fund payment date, or at the Stated Maturity or Maturity;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interest shall accrue for the period from and after such Interest Payment Date, Redemption Date, sinking fund payment date, Stated Maturity or Maturity, as the case may be.</w:t>
      </w:r>
    </w:p>
    <w:p>
      <w:pPr>
        <w:spacing w:after="0" w:line="17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1.14</w:t>
      </w:r>
      <w:r>
        <w:rPr>
          <w:sz w:val="20"/>
          <w:szCs w:val="20"/>
          <w:color w:val="auto"/>
        </w:rPr>
        <w:tab/>
      </w:r>
      <w:r>
        <w:rPr>
          <w:rFonts w:ascii="Times New Roman" w:cs="Times New Roman" w:eastAsia="Times New Roman" w:hAnsi="Times New Roman"/>
          <w:sz w:val="21"/>
          <w:szCs w:val="21"/>
          <w:b w:val="1"/>
          <w:bCs w:val="1"/>
          <w:color w:val="auto"/>
        </w:rPr>
        <w:t>Agent for Service; Submission to Jurisdiction; Waiver of Immunities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By the execution and delivery of this Indenture, the Company (i) acknowledges that it has irrevocably designated and appointed _____________________ as its authorized agent upon which process may be served in any suit, action or proceeding</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arising out of or relating to the Securities or this Indenture that may be instituted in any United States federal or New York state court located in The Borough of Manhattan, The City of New York, or brought by the Trustees (whether in their individual capacity or in their capacity as Trustees hereunder), (ii) irrevocably submits to the non-exclusive jurisdiction of any such court in any such suit or proceeding, and (iii) agrees that service of process upon _____________________ and written notice of said</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service to the Company (mailed or delivered to the Company at 100 King Street West, Suite 5600, Toronto, Ontario, Canada, M5X 1C9, Attention: Corporate Secretary or such other address and/or officer as the Company may designate on written notice to the Trustees),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_____________________ in full force and effect so long as this Indenture shall be in full force and effect.</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Indenture and the Securities, to the extent permitted by law.</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irrevocably and unconditionally waives, to the fullest extent permitted by law, any objection that it may now or hereafter have to the laying of venue of any such action, suit or proceeding in any such court or any appellate court with respect thereto. The Company irrevocably waives, to the fullest extent permitted by law, the defense of an inconvenient forum to the maintenance of any such action, suit or proceeding in any such court.</w:t>
      </w:r>
    </w:p>
    <w:p>
      <w:pPr>
        <w:spacing w:after="0" w:line="17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1.15</w:t>
      </w:r>
      <w:r>
        <w:rPr>
          <w:sz w:val="20"/>
          <w:szCs w:val="20"/>
          <w:color w:val="auto"/>
        </w:rPr>
        <w:tab/>
      </w:r>
      <w:r>
        <w:rPr>
          <w:rFonts w:ascii="Times New Roman" w:cs="Times New Roman" w:eastAsia="Times New Roman" w:hAnsi="Times New Roman"/>
          <w:sz w:val="21"/>
          <w:szCs w:val="21"/>
          <w:b w:val="1"/>
          <w:bCs w:val="1"/>
          <w:color w:val="auto"/>
        </w:rPr>
        <w:t>Conversion of Judgment Currency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 w:firstLine="656"/>
        <w:spacing w:after="0" w:line="258" w:lineRule="auto"/>
        <w:tabs>
          <w:tab w:leader="none" w:pos="13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and agrees that the following provisions shall apply to conversion of Currency in the case of the Securities and this Indenture, to the fullest extent permitted by applicable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jc w:val="both"/>
        <w:ind w:left="660" w:firstLine="644"/>
        <w:spacing w:after="0" w:line="238" w:lineRule="auto"/>
        <w:tabs>
          <w:tab w:leader="none" w:pos="197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the purposes of obtaining judgment in, or enforcing the judgment of, any court in any country, it becomes necessary to convert into a Currency (the "</w:t>
      </w:r>
      <w:r>
        <w:rPr>
          <w:rFonts w:ascii="Times New Roman" w:cs="Times New Roman" w:eastAsia="Times New Roman" w:hAnsi="Times New Roman"/>
          <w:sz w:val="22"/>
          <w:szCs w:val="22"/>
          <w:b w:val="1"/>
          <w:bCs w:val="1"/>
          <w:color w:val="auto"/>
        </w:rPr>
        <w:t>Judgment Currency</w:t>
      </w:r>
      <w:r>
        <w:rPr>
          <w:rFonts w:ascii="Times New Roman" w:cs="Times New Roman" w:eastAsia="Times New Roman" w:hAnsi="Times New Roman"/>
          <w:sz w:val="22"/>
          <w:szCs w:val="22"/>
          <w:color w:val="auto"/>
        </w:rPr>
        <w:t>") an amount due or contingently due in any other Currency under the Securities of any series and this Indenture (the "</w:t>
      </w:r>
      <w:r>
        <w:rPr>
          <w:rFonts w:ascii="Times New Roman" w:cs="Times New Roman" w:eastAsia="Times New Roman" w:hAnsi="Times New Roman"/>
          <w:sz w:val="22"/>
          <w:szCs w:val="22"/>
          <w:b w:val="1"/>
          <w:bCs w:val="1"/>
          <w:color w:val="auto"/>
        </w:rPr>
        <w:t>Base Currency</w:t>
      </w:r>
      <w:r>
        <w:rPr>
          <w:rFonts w:ascii="Times New Roman" w:cs="Times New Roman" w:eastAsia="Times New Roman" w:hAnsi="Times New Roman"/>
          <w:sz w:val="22"/>
          <w:szCs w:val="22"/>
          <w:color w:val="auto"/>
        </w:rPr>
        <w:t>"), then the conversion shall be made at the rate of exchange prevailing on the Business Day before the day on which the final judgment is given or the order of enforcement is made, as the case may be (unless a court shall otherwise determine).</w:t>
      </w:r>
    </w:p>
    <w:p>
      <w:pPr>
        <w:spacing w:after="0" w:line="177"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7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change in the rate of exchange prevailing between the Business Day before the day on which the judgment referred to in (i) above is given or an order of enforcement is made, as the case may be (or such other date as a court shall determine), and the date of receipt of the amount due, the Company shall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81" w:lineRule="exact"/>
        <w:rPr>
          <w:rFonts w:ascii="Times New Roman" w:cs="Times New Roman" w:eastAsia="Times New Roman" w:hAnsi="Times New Roman"/>
          <w:sz w:val="22"/>
          <w:szCs w:val="22"/>
          <w:color w:val="auto"/>
        </w:rPr>
      </w:pPr>
    </w:p>
    <w:p>
      <w:pPr>
        <w:jc w:val="both"/>
        <w:ind w:firstLine="656"/>
        <w:spacing w:after="0" w:line="234" w:lineRule="auto"/>
        <w:tabs>
          <w:tab w:leader="none" w:pos="131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winding-up of the Company at any time while any amount or damages owing under the Securities and this Indenture, or any judgment or order rendered in respect thereof, shall remain outstanding, the Company shall indemnify and hold the Holders and the Trustees harmless against any deficiency arising or resulting from any variation in rates of exchange between (1) the date as of which the equivalent of the amount in the Base Currency due or contingently due under the Securities and this Indenture (other than under this Subsection (b)) is calculated for the purposes of such winding-up and (2) the final date for the filing of proofs of claim in such winding-up. For the purpose of this Subsection (b) the final date for the filing of proofs of claim in the winding-up of the Company shall be the date fixed by the liquidator or otherwise in accordance with the relevant provisions of applicable law as being the latest practicable date as at which liabilities of the Company may be ascertained for such winding-up prior to payment by the liquidator or otherwise in respect thereto.</w:t>
      </w:r>
    </w:p>
    <w:p>
      <w:pPr>
        <w:spacing w:after="0" w:line="183" w:lineRule="exact"/>
        <w:rPr>
          <w:rFonts w:ascii="Times New Roman" w:cs="Times New Roman" w:eastAsia="Times New Roman" w:hAnsi="Times New Roman"/>
          <w:sz w:val="22"/>
          <w:szCs w:val="22"/>
          <w:color w:val="auto"/>
        </w:rPr>
      </w:pPr>
    </w:p>
    <w:p>
      <w:pPr>
        <w:jc w:val="both"/>
        <w:ind w:firstLine="656"/>
        <w:spacing w:after="0" w:line="234" w:lineRule="auto"/>
        <w:tabs>
          <w:tab w:leader="none" w:pos="131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contained in Subsections (a)(ii) and (b) of this Section 1.15 shall constitute separate and independent obligations of the Company from its other obligations under the Securities and this Indenture, shall give rise to separate and independent causes of action against the Company, shall apply irrespective of any waiver or extension granted by any Holder or the Trustees from time to time and shall continue in full force and effect notwithstanding any judgment or order or the filing of any proof of claim in the winding up of the Company for a liquidated sum in respect of amounts due hereunder (other than under Subsection (b) above) or under any such judgment or order. Any such deficiency as aforesaid shall be deemed to constitute a loss suffered by the Holders or the Trustees, as the case may be, and no proof or evidence of any actual loss shall be required by the Company or its liquidator. In the case of Subsection (b) above, the amount of such deficiency shall not be deemed to be increased or reduced by any variation in rates of exchange occurring between the said final date and the date of any liquidating distribution.</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rate(s) of exchange</w:t>
      </w:r>
      <w:r>
        <w:rPr>
          <w:rFonts w:ascii="Times New Roman" w:cs="Times New Roman" w:eastAsia="Times New Roman" w:hAnsi="Times New Roman"/>
          <w:sz w:val="22"/>
          <w:szCs w:val="22"/>
          <w:color w:val="auto"/>
        </w:rPr>
        <w:t>" shall mean the rate of exchange quoted by a Canadian chartered bank as may be designated in writing by the Company to the Trustees from time to time, at its central foreign exchange desk in its main office in Toronto at 12:00 noon (Toronto time) on the relevant date for purchases of the Base Currency with the Judgment Currency and includes any premiums and costs of exchange payable. The Trustees shall have no duty or liability with respect to monitoring or enforcing this Section 1.15.</w:t>
      </w:r>
    </w:p>
    <w:p>
      <w:pPr>
        <w:spacing w:after="0" w:line="17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1.16</w:t>
      </w:r>
      <w:r>
        <w:rPr>
          <w:sz w:val="20"/>
          <w:szCs w:val="20"/>
          <w:color w:val="auto"/>
        </w:rPr>
        <w:tab/>
      </w:r>
      <w:r>
        <w:rPr>
          <w:rFonts w:ascii="Times New Roman" w:cs="Times New Roman" w:eastAsia="Times New Roman" w:hAnsi="Times New Roman"/>
          <w:sz w:val="21"/>
          <w:szCs w:val="21"/>
          <w:b w:val="1"/>
          <w:bCs w:val="1"/>
          <w:color w:val="auto"/>
        </w:rPr>
        <w:t>Currency Equivalent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Except as otherwise provided in this Indenture, for purposes of the construction of the terms of this Indenture or of the Securities, in the event that any amount is stated herein in the Currency of one nation (the "</w:t>
      </w:r>
      <w:r>
        <w:rPr>
          <w:rFonts w:ascii="Times New Roman" w:cs="Times New Roman" w:eastAsia="Times New Roman" w:hAnsi="Times New Roman"/>
          <w:sz w:val="22"/>
          <w:szCs w:val="22"/>
          <w:b w:val="1"/>
          <w:bCs w:val="1"/>
          <w:color w:val="auto"/>
        </w:rPr>
        <w:t>First Currency</w:t>
      </w:r>
      <w:r>
        <w:rPr>
          <w:rFonts w:ascii="Times New Roman" w:cs="Times New Roman" w:eastAsia="Times New Roman" w:hAnsi="Times New Roman"/>
          <w:sz w:val="22"/>
          <w:szCs w:val="22"/>
          <w:color w:val="auto"/>
        </w:rPr>
        <w:t>"), as of any date such amount shall also be deemed to represent the amount in the Currency of any other relevant nation which is required to purchase such amount in the First Currency at the Bank of Canada daily average exchange rate as reported by Telerate on screen 3194 (or such other means of reporting the Bank of Canada daily average exchange rate as may be agreed upon by each of the parties to this Indenture) on the date of determination.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1.17</w:t>
      </w:r>
      <w:r>
        <w:rPr>
          <w:sz w:val="20"/>
          <w:szCs w:val="20"/>
          <w:color w:val="auto"/>
        </w:rPr>
        <w:tab/>
      </w:r>
      <w:r>
        <w:rPr>
          <w:rFonts w:ascii="Times New Roman" w:cs="Times New Roman" w:eastAsia="Times New Roman" w:hAnsi="Times New Roman"/>
          <w:sz w:val="21"/>
          <w:szCs w:val="21"/>
          <w:b w:val="1"/>
          <w:bCs w:val="1"/>
          <w:color w:val="auto"/>
        </w:rPr>
        <w:t>Conflict with Trust Indenture Legislation</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If and to the extent that any provision of this Indenture limits, qualifies or conflicts with any mandatory requirement of Trust Indenture Legislation, such mandatory requirement shall control. If and to the extent that any provision hereof modifies or excludes any provision of Trust Indenture Legislation that may be so modified or excluded, the latter provision shall be deemed to apply hereof as so modified or to be excluded, as the case may be.</w:t>
      </w:r>
    </w:p>
    <w:p>
      <w:pPr>
        <w:spacing w:after="0" w:line="176" w:lineRule="exact"/>
        <w:rPr>
          <w:sz w:val="20"/>
          <w:szCs w:val="20"/>
          <w:color w:val="auto"/>
        </w:rPr>
      </w:pPr>
    </w:p>
    <w:p>
      <w:pPr>
        <w:jc w:val="both"/>
        <w:ind w:left="1960" w:right="20" w:hanging="1943"/>
        <w:spacing w:after="0" w:line="262" w:lineRule="auto"/>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1.18</w:t>
      </w:r>
      <w:r>
        <w:rPr>
          <w:sz w:val="20"/>
          <w:szCs w:val="20"/>
          <w:color w:val="auto"/>
        </w:rPr>
        <w:tab/>
      </w:r>
      <w:r>
        <w:rPr>
          <w:rFonts w:ascii="Times New Roman" w:cs="Times New Roman" w:eastAsia="Times New Roman" w:hAnsi="Times New Roman"/>
          <w:sz w:val="22"/>
          <w:szCs w:val="22"/>
          <w:b w:val="1"/>
          <w:bCs w:val="1"/>
          <w:color w:val="auto"/>
        </w:rPr>
        <w:t>Incorporators, Shareholders, Officers and Directors of the Company Exempt from Individual Liability</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this Indenture, or in any Security, or because of any indebtedness evidenced thereby, shall be had against any incorporator, as such, or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17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1.19</w:t>
      </w:r>
      <w:r>
        <w:rPr>
          <w:sz w:val="20"/>
          <w:szCs w:val="20"/>
          <w:color w:val="auto"/>
        </w:rPr>
        <w:tab/>
      </w:r>
      <w:r>
        <w:rPr>
          <w:rFonts w:ascii="Times New Roman" w:cs="Times New Roman" w:eastAsia="Times New Roman" w:hAnsi="Times New Roman"/>
          <w:sz w:val="21"/>
          <w:szCs w:val="21"/>
          <w:b w:val="1"/>
          <w:bCs w:val="1"/>
          <w:color w:val="auto"/>
        </w:rPr>
        <w:t>Waiver of Jury Trial</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Each of the Company and the Trustees hereby irrevocably waives, to the fullest extent permitted by applicable law, any and all right to trial by jury in any legal proceeding arising out of or relating to this Indenture, the Securities or the transactions contemplated hereby.</w:t>
      </w:r>
    </w:p>
    <w:p>
      <w:pPr>
        <w:spacing w:after="0" w:line="16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1.20</w:t>
      </w:r>
      <w:r>
        <w:rPr>
          <w:sz w:val="20"/>
          <w:szCs w:val="20"/>
          <w:color w:val="auto"/>
        </w:rPr>
        <w:tab/>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Indenture may be executed in any number of counterparts (either by facsimile or by original manual signature), each of which so executed shall be deemed to be an original, but all such counterparts shall together constitute but one and the same Indenture.</w:t>
      </w:r>
    </w:p>
    <w:p>
      <w:pPr>
        <w:spacing w:after="0" w:line="16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1.21</w:t>
      </w:r>
      <w:r>
        <w:rPr>
          <w:sz w:val="20"/>
          <w:szCs w:val="20"/>
          <w:color w:val="auto"/>
        </w:rPr>
        <w:tab/>
      </w:r>
      <w:r>
        <w:rPr>
          <w:rFonts w:ascii="Times New Roman" w:cs="Times New Roman" w:eastAsia="Times New Roman" w:hAnsi="Times New Roman"/>
          <w:sz w:val="21"/>
          <w:szCs w:val="21"/>
          <w:b w:val="1"/>
          <w:bCs w:val="1"/>
          <w:color w:val="auto"/>
        </w:rPr>
        <w:t>Force Majeure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Except for the payment obligations of the Company contained herein, neither the Company nor the Trustees shall be liable to each other, or held in breach of this Indenture, if prevented, hindered, or delayed in the performance or observance of any provision contained herein by reason of act of God, riots, terrorism, acts of war, epidemics, governmental action or judicial order, earthquakes, or any other similar causes (including, but not limited to, mechanical, electronic or communication interruptions, disruptions or failures). Performance times under this Indenture shall be extended for a period of time equivalent to the time lost because of any delay that is excusable under this Section 1.21.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FORMS</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2.01</w:t>
      </w:r>
      <w:r>
        <w:rPr>
          <w:sz w:val="20"/>
          <w:szCs w:val="20"/>
          <w:color w:val="auto"/>
        </w:rPr>
        <w:tab/>
      </w:r>
      <w:r>
        <w:rPr>
          <w:rFonts w:ascii="Times New Roman" w:cs="Times New Roman" w:eastAsia="Times New Roman" w:hAnsi="Times New Roman"/>
          <w:sz w:val="21"/>
          <w:szCs w:val="21"/>
          <w:b w:val="1"/>
          <w:bCs w:val="1"/>
          <w:color w:val="auto"/>
        </w:rPr>
        <w:t>Forms Generally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Securities of each series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 executing such Securities , as evidenced by the execution of such Securities by such Officer. If the forms of Securities of any series are established by action taken pursuant to a Board Resolution, a copy of an appropriate record of such action shall be certified by the Corporate Secretary or an Assistant Secretary of the Company and delivered to the Trustees at or prior to the delivery of the Company Order contemplated by Section 3.03 for the authentication and delivery of such Securities. Any portion of the text of any Security may be set forth on the reverse thereof, with an appropriate reference thereto on the face of the Security.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Either Trustee's certificate of authentication shall be in substantially the form set forth in this Article Two.</w:t>
      </w:r>
    </w:p>
    <w:p>
      <w:pPr>
        <w:spacing w:after="0" w:line="20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2.02</w:t>
      </w:r>
      <w:r>
        <w:rPr>
          <w:sz w:val="20"/>
          <w:szCs w:val="20"/>
          <w:color w:val="auto"/>
        </w:rPr>
        <w:tab/>
      </w:r>
      <w:r>
        <w:rPr>
          <w:rFonts w:ascii="Times New Roman" w:cs="Times New Roman" w:eastAsia="Times New Roman" w:hAnsi="Times New Roman"/>
          <w:sz w:val="21"/>
          <w:szCs w:val="21"/>
          <w:b w:val="1"/>
          <w:bCs w:val="1"/>
          <w:color w:val="auto"/>
        </w:rPr>
        <w:t>Form of Trustee's Certificate of Authentication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Subject to Section 6.12, either Trustee's certificate of authentication shall be in substantially the following form:</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(Certificate of Authentication may be executed by either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 as U.S. Trustee, certifies that this is one of the Securities of the series designated therein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referred to in the within-mentioned Indenture.</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as U.S. Trustee</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1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Authorized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 as Canadian Trustee, certifies that this is one of the Securities of the series designated therein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referred to in the within-mentioned Indenture.</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as Canadian Trustee</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1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Authorized Officer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2.03</w:t>
      </w:r>
      <w:r>
        <w:rPr>
          <w:sz w:val="20"/>
          <w:szCs w:val="20"/>
          <w:color w:val="auto"/>
        </w:rPr>
        <w:tab/>
      </w:r>
      <w:r>
        <w:rPr>
          <w:rFonts w:ascii="Times New Roman" w:cs="Times New Roman" w:eastAsia="Times New Roman" w:hAnsi="Times New Roman"/>
          <w:sz w:val="21"/>
          <w:szCs w:val="21"/>
          <w:b w:val="1"/>
          <w:bCs w:val="1"/>
          <w:color w:val="auto"/>
        </w:rPr>
        <w:t>Securities Issuable in Global Form</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If Securities of or within a series are issuable in global form, as specified and contemplated by Section 3.01, then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Trustees in such manner and upon instructions given by the Holder or its nominee as shall be specified therein or in the Company Order to be delivered to the Trustees pursuant to Section 3.03 or 3.04. Subject to the provisions of Sections 3.03 and 3.04 (if applicable), the Trustees shall deliver and redeliver any Security in global form in the manner and upon instructions given by the Holder or its nominee as shall be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provisions of Section 3.07, unless otherwise specified as contemplated by Section 3.01, payment of principal of, premium (if any) and interest (if any) on any Security in permanent global form shall be made to the Holder or its nominee specified therein.</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Notwithstanding Section 3.09 and except as provided in the preceding paragraph, the Company, the Trustees and any agent of the Company and the Trustees shall treat as the Holder of such principal amount of Outstanding Securities represented by a permanent global Security, the Holder of such permanent global Security.</w:t>
      </w:r>
    </w:p>
    <w:p>
      <w:pPr>
        <w:spacing w:after="0" w:line="16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THE SECURITIES</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3.01</w:t>
      </w:r>
      <w:r>
        <w:rPr>
          <w:sz w:val="20"/>
          <w:szCs w:val="20"/>
          <w:color w:val="auto"/>
        </w:rPr>
        <w:tab/>
      </w:r>
      <w:r>
        <w:rPr>
          <w:rFonts w:ascii="Times New Roman" w:cs="Times New Roman" w:eastAsia="Times New Roman" w:hAnsi="Times New Roman"/>
          <w:sz w:val="21"/>
          <w:szCs w:val="21"/>
          <w:b w:val="1"/>
          <w:bCs w:val="1"/>
          <w:color w:val="auto"/>
        </w:rPr>
        <w:t>Issuable in Series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aggregate principal amount of Securities which may be authenticated and delivered under this Indenture is unlimited.</w:t>
      </w:r>
    </w:p>
    <w:p>
      <w:pPr>
        <w:spacing w:after="0" w:line="21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Securities may be issued in one or more series and may be denominated and payable in Dollars or any Foreign Currency. There shall be established in one or more Board Resolutions or pursuant to authority granted by one or more Board Resolutions and set forth in, or determined in the manner provided in, an Officer's Certificate, or established in one or more indentures supplemental hereto, prior to the issuance of Securities of any series, any or all of the following, as applicable:</w:t>
      </w:r>
    </w:p>
    <w:p>
      <w:pPr>
        <w:spacing w:after="0" w:line="180" w:lineRule="exact"/>
        <w:rPr>
          <w:sz w:val="20"/>
          <w:szCs w:val="20"/>
          <w:color w:val="auto"/>
        </w:rPr>
      </w:pPr>
    </w:p>
    <w:p>
      <w:pPr>
        <w:ind w:left="1300" w:hanging="644"/>
        <w:spacing w:after="0" w:line="258" w:lineRule="auto"/>
        <w:tabs>
          <w:tab w:leader="none" w:pos="13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title of the Securities of the series (which shall distinguish the Securities of such series from the Securities of all other series);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jc w:val="both"/>
        <w:ind w:left="644" w:hanging="644"/>
        <w:spacing w:after="0" w:line="235" w:lineRule="auto"/>
        <w:tabs>
          <w:tab w:leader="none" w:pos="6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Securities of the series and any limit upon the aggregate principal amount of the Securities of the series that may be authenticated and delivered under this Indenture (except for Securities authenticated and delivered upon registration of transfer (including any restriction or condition on the transferability of the Securities of such series) of, or in exchange for, or in lieu of, other Securities of the series pursuant to Section 3.04, 3.05, 3.06, 9.06, 11.07 or 13.05) and, in the event that no limit upon the aggregate principal amount of the Securities of that series is specified, the Company shall have the right, subject to any terms, conditions or other provisions specified pursuant to this Section 3.01 with respect to the Securities of such series, to re-open such series for the issuance of additional Securities of such series from time to time;</w:t>
      </w:r>
    </w:p>
    <w:p>
      <w:pPr>
        <w:spacing w:after="0" w:line="178"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extent and manner, if any, to which payment on or in respect of the Securities of the series will be senior or will be subordinated to the prior payment of other liabilities and obligations of the Company, and whether the payment of principal, premium (if any) and interest (if any) will be guaranteed by any other Person;</w:t>
      </w:r>
    </w:p>
    <w:p>
      <w:pPr>
        <w:spacing w:after="0" w:line="173"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 or percentages of principal amount at which the Securities of the series will be issued;</w:t>
      </w:r>
    </w:p>
    <w:p>
      <w:pPr>
        <w:spacing w:after="0" w:line="206" w:lineRule="exact"/>
        <w:rPr>
          <w:rFonts w:ascii="Times New Roman" w:cs="Times New Roman" w:eastAsia="Times New Roman" w:hAnsi="Times New Roman"/>
          <w:sz w:val="22"/>
          <w:szCs w:val="22"/>
          <w:color w:val="auto"/>
        </w:rPr>
      </w:pPr>
    </w:p>
    <w:p>
      <w:pPr>
        <w:jc w:val="both"/>
        <w:ind w:left="644" w:hanging="644"/>
        <w:spacing w:after="0" w:line="261" w:lineRule="auto"/>
        <w:tabs>
          <w:tab w:leader="none" w:pos="69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or dates, or the method by which such date or dates will be determined or extended, on which the Securities of the series may be issued and the date or dates, or the method by which such date or dates will be determined or extended, on which the principal of and premium (if any) on the Securities of the series is payable;</w:t>
      </w:r>
    </w:p>
    <w:p>
      <w:pPr>
        <w:spacing w:after="0" w:line="157" w:lineRule="exact"/>
        <w:rPr>
          <w:rFonts w:ascii="Times New Roman" w:cs="Times New Roman" w:eastAsia="Times New Roman" w:hAnsi="Times New Roman"/>
          <w:sz w:val="21"/>
          <w:szCs w:val="21"/>
          <w:color w:val="auto"/>
        </w:rPr>
      </w:pPr>
    </w:p>
    <w:p>
      <w:pPr>
        <w:jc w:val="both"/>
        <w:ind w:left="644" w:hanging="644"/>
        <w:spacing w:after="0" w:line="235" w:lineRule="auto"/>
        <w:tabs>
          <w:tab w:leader="none" w:pos="6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 or rates at which the Securities of the series shall bear interest, whether fixed or variable (if any), or the method by which such rate or rates shall be determined, whether such interest shall be payable in cash or additional Securities of the same series or shall accrue and increase the aggregate principal amount outstanding of such series, the date or dates from which such interest shall accrue, or the method by which such date or dates shall be determined, the Interest Payment Dates on which such interest shall be payable and the Regular Record Date, if any, for the interest payable on any Security on any Interest Payment Date, or the method by which such date or dates shall be determined, and the basis upon which interest shall be calculated if other than on the basis of a 360-day year of twelve 30-day months;</w:t>
      </w:r>
    </w:p>
    <w:p>
      <w:pPr>
        <w:spacing w:after="0" w:line="178"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 or places, if any, other than or in addition to the Borough of Manhattan, The City of New York, where the principal of, premium (if any) and interest (if any) on Securities of the series shall be payable, where any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1.06, the place or places where notices or demands to or upon the Company in respect of the Securities of the series and this Indenture may be served;</w:t>
      </w:r>
    </w:p>
    <w:p>
      <w:pPr>
        <w:spacing w:after="0" w:line="183"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or periods within which, the date or dates on which, the price or prices at which, the Currency in which, and other terms and conditions upon which Securities of the series may be redeemed, in whole or in part, at the option of the Company, if the Company is to have that option;</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6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if any, of the Company to redeem, repay or purchase Securities of the series pursuant to any sinking fund, amortization or analogous provisions or at the option of a Holder thereof, and the period or periods within which, the price or prices at which, the Currency in which, and other terms and conditions upon which Securities of the series shall be redeemed, repaid or purchased, in whole or in part, pursuant to such obligation;</w:t>
      </w:r>
    </w:p>
    <w:p>
      <w:pPr>
        <w:spacing w:after="0" w:line="18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146050</wp:posOffset>
            </wp:positionV>
            <wp:extent cx="7153275" cy="469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100" w:name="page101"/>
    <w:bookmarkEnd w:id="100"/>
    <w:p>
      <w:pPr>
        <w:ind w:left="644" w:hanging="644"/>
        <w:spacing w:after="0" w:line="259" w:lineRule="auto"/>
        <w:tabs>
          <w:tab w:leader="none" w:pos="7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than denominations of $1,000 and any integral multiple thereof, the denomination or denominations in which any Securities of the series shall be issuable;</w:t>
      </w:r>
    </w:p>
    <w:p>
      <w:pPr>
        <w:spacing w:after="0" w:line="156"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Security Registrar and/or Paying Agent;</w:t>
      </w:r>
    </w:p>
    <w:p>
      <w:pPr>
        <w:spacing w:after="0" w:line="206"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7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7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than Dollars, the Foreign Currency in which payment of the principal of, premium (if any) or interest (if any) on the Securities of the series shall be payable or in which the Securities of the series shall be denominated and the particular provisions applicable thereto in accordance with, in addition to or in lieu of any of the provisions of Section 3.12;</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7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amount of payments of principal of,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7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principal of,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payable, in each case in accordance with, in addition to or in lieu of any of the provisions of Section 3.12;</w:t>
      </w:r>
    </w:p>
    <w:p>
      <w:pPr>
        <w:spacing w:after="0" w:line="183"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the initial Exchange Rate Agent, if any;</w:t>
      </w:r>
    </w:p>
    <w:p>
      <w:pPr>
        <w:spacing w:after="0" w:line="206"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7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applicability, if any, of Sections 14.02 and/or 14.03 to the Securities of the series and any provisions in modification of, in addition to or in lieu of any of the provisions of Article Fourteen that shall be applicable to the Securities of the series;</w:t>
      </w:r>
    </w:p>
    <w:p>
      <w:pPr>
        <w:spacing w:after="0" w:line="173" w:lineRule="exact"/>
        <w:rPr>
          <w:rFonts w:ascii="Times New Roman" w:cs="Times New Roman" w:eastAsia="Times New Roman" w:hAnsi="Times New Roman"/>
          <w:sz w:val="22"/>
          <w:szCs w:val="22"/>
          <w:color w:val="auto"/>
        </w:rPr>
      </w:pPr>
    </w:p>
    <w:p>
      <w:pPr>
        <w:ind w:left="644" w:right="20" w:hanging="644"/>
        <w:spacing w:after="0" w:line="258" w:lineRule="auto"/>
        <w:tabs>
          <w:tab w:leader="none" w:pos="7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if any, granting special rights to the Holders of Securities of the series upon the occurrence of such events as may be specified;</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7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deletions from, modifications of or additions to the Events of Default or covenants (including any deletions from, modifications of or additions to Section 10.09) of the Company with respect to Securities of the series, whether or not such Events of Default or covenants are consistent with the Events of Default or covenants set forth herein;</w:t>
      </w:r>
    </w:p>
    <w:p>
      <w:pPr>
        <w:spacing w:after="0" w:line="18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146050</wp:posOffset>
            </wp:positionV>
            <wp:extent cx="7153275" cy="469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101" w:name="page102"/>
    <w:bookmarkEnd w:id="101"/>
    <w:p>
      <w:pPr>
        <w:jc w:val="both"/>
        <w:ind w:left="1300" w:hanging="644"/>
        <w:spacing w:after="0" w:line="235" w:lineRule="auto"/>
        <w:tabs>
          <w:tab w:leader="none" w:pos="136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restrictions applicable to the offer, sale or delivery of Securities of the series,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circumstances under which and the place or places where any such exchanges may be made and, if Securities of the series are to be issuable in global form, the designation of any Depositary therefor;</w:t>
      </w:r>
    </w:p>
    <w:p>
      <w:pPr>
        <w:spacing w:after="0" w:line="178" w:lineRule="exact"/>
        <w:rPr>
          <w:rFonts w:ascii="Times New Roman" w:cs="Times New Roman" w:eastAsia="Times New Roman" w:hAnsi="Times New Roman"/>
          <w:sz w:val="22"/>
          <w:szCs w:val="22"/>
          <w:color w:val="auto"/>
        </w:rPr>
      </w:pPr>
    </w:p>
    <w:p>
      <w:pPr>
        <w:ind w:left="1300" w:hanging="644"/>
        <w:spacing w:after="0" w:line="258" w:lineRule="auto"/>
        <w:tabs>
          <w:tab w:leader="none" w:pos="136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as of which any temporary global Security of the series shall be dated if other than the date of original issuance of the first Security of the series to be issued;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6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to whom any interest on any Security of the series shall be payable, if other than the Person in whose name that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6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Securities of the series are to be issuable in definitive form (whether upon original issue or upon exchange of a temporary Security of such series) only upon receipt of certain certificates or other documents or satisfaction of other conditions, the form and/or terms of such certificates, documents or conditions;</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6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Securities of the series are to be issued upon the exercise of warrants or subscription receipts, the time, manner and place for such Securities to be authenticated and delivered;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6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to permit or facilitate such conversion or exchange;</w:t>
      </w:r>
    </w:p>
    <w:p>
      <w:pPr>
        <w:spacing w:after="0" w:line="173"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as to modification, amendment or variation of any rights or terms attaching to the Securities;</w:t>
      </w:r>
    </w:p>
    <w:p>
      <w:pPr>
        <w:spacing w:after="0" w:line="206"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Securities will be secured or unsecured and the nature and priority of any security; and</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6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terms, conditions, rights and preferences (or limitations on such rights and preferences) relating to the series (which terms shall not be inconsistent with the requirements of Trust Indenture Legislation or the provisions of this Indenture).</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All Securities of any one series shall be substantially identical except as to denomination and except as may otherwise be provided in or pursuant to such Board Resolution (subject to Section 3.03) and set forth in such Officer's Certificate or in any such indenture supplemental hereto. Not all Securities of any one series need be issued at the same time, and, unless otherwise provided, a series may be reopened for issuances of additional Securities of such series.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any of the terms of the series are established by action taken pursuant to one or more Board Resolutions, such Board Resolutions shall be delivered to the Trustees at or prior to the delivery of the Officer's Certificate setting forth the terms of the series.</w:t>
      </w:r>
    </w:p>
    <w:p>
      <w:pPr>
        <w:spacing w:after="0" w:line="17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3.02</w:t>
      </w:r>
      <w:r>
        <w:rPr>
          <w:sz w:val="20"/>
          <w:szCs w:val="20"/>
          <w:color w:val="auto"/>
        </w:rPr>
        <w:tab/>
      </w:r>
      <w:r>
        <w:rPr>
          <w:rFonts w:ascii="Times New Roman" w:cs="Times New Roman" w:eastAsia="Times New Roman" w:hAnsi="Times New Roman"/>
          <w:sz w:val="21"/>
          <w:szCs w:val="21"/>
          <w:b w:val="1"/>
          <w:bCs w:val="1"/>
          <w:color w:val="auto"/>
        </w:rPr>
        <w:t>Denominations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Securities of each series shall be issuable in such denominations as shall be specified as contemplated by Section 3.01. With respect to Securities of any series denominated in Dollars, in the absence of any such provisions, the Securities of such series, other than Securities issued in global form (which may be of any denomination), shall be issuable in denominations of $1,000 and any integral multiple thereof.</w:t>
      </w:r>
    </w:p>
    <w:p>
      <w:pPr>
        <w:spacing w:after="0" w:line="17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3.03</w:t>
      </w:r>
      <w:r>
        <w:rPr>
          <w:sz w:val="20"/>
          <w:szCs w:val="20"/>
          <w:color w:val="auto"/>
        </w:rPr>
        <w:tab/>
      </w:r>
      <w:r>
        <w:rPr>
          <w:rFonts w:ascii="Times New Roman" w:cs="Times New Roman" w:eastAsia="Times New Roman" w:hAnsi="Times New Roman"/>
          <w:sz w:val="21"/>
          <w:szCs w:val="21"/>
          <w:b w:val="1"/>
          <w:bCs w:val="1"/>
          <w:color w:val="auto"/>
        </w:rPr>
        <w:t>Execution, Authentication, Delivery and Dating</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Securities shall be executed on behalf of the Company by an Officer. The signature of an Officer on the Securities may be the manual or facsimile signatures of the present or any future such authorized officer and may be imprinted or otherwise reproduced on the Securities.</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At any time and from time to time after the execution and delivery of this Indenture, the Company may deliver Securities of any series, executed by the Company to the applicable Trustee for authentication, together with a Company Order for the authentication and delivery of such Securities, and the applicable Trustee in accordance with such Company Order shall authenticate and deliver such Securities. If not all the Securities of any series are to be issued at one time and if the Board Resolution or supplemental indenture establishing such series shall so permit, such Company Order may set forth procedures acceptable to the Trustees for the issuance of such Securities and determining terms of particular Securities of such series such as interest rate, Stated Maturity, date of issuance and date from which interest shall accrue.</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authenticating such Securities, and accepting the additional responsibilities under this Indenture in relation to such Securities, the Trustees shall be entitled to receive, and (subject to Trust Indenture Legislation, including TIA Sections 315(a) through 315(d)) shall be fully protected in relying upon, an Opinion of Counsel stating:</w:t>
      </w:r>
    </w:p>
    <w:p>
      <w:pPr>
        <w:spacing w:after="0" w:line="173" w:lineRule="exact"/>
        <w:rPr>
          <w:sz w:val="20"/>
          <w:szCs w:val="20"/>
          <w:color w:val="auto"/>
        </w:rPr>
      </w:pPr>
    </w:p>
    <w:p>
      <w:pPr>
        <w:ind w:left="1320" w:hanging="664"/>
        <w:spacing w:after="0"/>
        <w:tabs>
          <w:tab w:leader="none" w:pos="13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form or forms of such Securities have been established in conformity with the provisions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182"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terms of such Securities have been established in conformity with the provisions of this Indenture;</w:t>
      </w:r>
    </w:p>
    <w:p>
      <w:pPr>
        <w:spacing w:after="0" w:line="206" w:lineRule="exact"/>
        <w:rPr>
          <w:rFonts w:ascii="Times New Roman" w:cs="Times New Roman" w:eastAsia="Times New Roman" w:hAnsi="Times New Roman"/>
          <w:sz w:val="22"/>
          <w:szCs w:val="22"/>
          <w:color w:val="auto"/>
        </w:rPr>
      </w:pPr>
    </w:p>
    <w:p>
      <w:pPr>
        <w:jc w:val="both"/>
        <w:ind w:firstLine="656"/>
        <w:spacing w:after="0" w:line="255" w:lineRule="auto"/>
        <w:tabs>
          <w:tab w:leader="none" w:pos="131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such Securities, when completed by appropriate insertions and executed and delivered by the Company to the applicable Trustee for authentication in accordance with this Indenture, authenticated and delivered by the applicable Trustee in accordance with this Indenture and issued by the Company in the manner and subject to any conditions specified in such Opinion of Counsel, will constitute the legal, valid and binding obligations of the Company, enforceable in accordance with their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jc w:val="both"/>
        <w:ind w:firstLine="656"/>
        <w:spacing w:after="0" w:line="244" w:lineRule="auto"/>
        <w:tabs>
          <w:tab w:leader="none" w:pos="131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by the Company of such Securities and any supplemental indenture will not contravene the articles of incorporation or continuance, or such other constating documents then in effect, if any, or the by-laws of the Company, or violate applicable laws; and</w:t>
      </w:r>
    </w:p>
    <w:p>
      <w:pPr>
        <w:spacing w:after="0" w:line="173" w:lineRule="exact"/>
        <w:rPr>
          <w:rFonts w:ascii="Times New Roman" w:cs="Times New Roman" w:eastAsia="Times New Roman" w:hAnsi="Times New Roman"/>
          <w:sz w:val="22"/>
          <w:szCs w:val="22"/>
          <w:color w:val="auto"/>
        </w:rPr>
      </w:pPr>
    </w:p>
    <w:p>
      <w:pPr>
        <w:ind w:firstLine="656"/>
        <w:spacing w:after="0" w:line="258" w:lineRule="auto"/>
        <w:tabs>
          <w:tab w:leader="none" w:pos="130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Company has the corporate power to issue such Securities, and has duly taken all necessary corporate action with respect to such issuance.</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if such documents are delivered prior to or at the time of issuance of the first Security of such series and with respect to all Securities of such series.</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Trustees shall not be required to authenticate and deliver any such Securities if the issue of such Securities pursuant to this Indenture will affect the Trustees' own rights, duties or immunities under the Securities and this Indenture or otherwise in a manner which is not reasonably acceptable to the Trustees.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Security shall be dated the date of its authentication.</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No Security shall entitle a Holder to any benefit under this Indenture or be valid or obligatory for any purpose unless there appears on such Security a certificate of authentication substantially in the form provided for herein duly executed by the applicable Trustee by manual signature of an authorized officer thereof,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Trustees for cancellation as provided in Section 3.10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entitle a Holder to the benefits of this Indenture.</w:t>
      </w:r>
    </w:p>
    <w:p>
      <w:pPr>
        <w:spacing w:after="0" w:line="17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3.04</w:t>
      </w:r>
      <w:r>
        <w:rPr>
          <w:sz w:val="20"/>
          <w:szCs w:val="20"/>
          <w:color w:val="auto"/>
        </w:rPr>
        <w:tab/>
      </w:r>
      <w:r>
        <w:rPr>
          <w:rFonts w:ascii="Times New Roman" w:cs="Times New Roman" w:eastAsia="Times New Roman" w:hAnsi="Times New Roman"/>
          <w:sz w:val="21"/>
          <w:szCs w:val="21"/>
          <w:b w:val="1"/>
          <w:bCs w:val="1"/>
          <w:color w:val="auto"/>
        </w:rPr>
        <w:t>Temporary Securities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Pending the preparation of definitive Securities of any series, the Company may execute, and upon Company Order the applicable Trustee shall authenticate and deliver, temporary Securities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 executing such Securities may determine, as conclusively evidenced by their execution of such Securities. Such temporary Securities may be in global form.</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applicable Trustee shall authenticate and deliver in exchange therefor a like principal amount of definitive Securities of the same series of authorized denominations and of like tenor and evidencing the same indebtedness. Until so exchanged the temporary Securities of any series shall in all respects be entitled to the same benefits under this Indenture as definitive Securities of such series.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temporary Securities of any series are issued in global form, any such temporary global Security shall, unless otherwise provided therein, be delivered to the office of the Depositary for credit to the respective accounts of the beneficial owners of such Securities (or to such other accounts as they may direct).</w:t>
      </w:r>
    </w:p>
    <w:p>
      <w:pPr>
        <w:spacing w:after="0" w:line="17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Without unnecessary delay, but in any event not later than the date specified in, or determined pursuant to the terms of, any such temporary global Security (the "</w:t>
      </w:r>
      <w:r>
        <w:rPr>
          <w:rFonts w:ascii="Times New Roman" w:cs="Times New Roman" w:eastAsia="Times New Roman" w:hAnsi="Times New Roman"/>
          <w:sz w:val="22"/>
          <w:szCs w:val="22"/>
          <w:b w:val="1"/>
          <w:bCs w:val="1"/>
          <w:color w:val="auto"/>
        </w:rPr>
        <w:t>Exchange Date</w:t>
      </w:r>
      <w:r>
        <w:rPr>
          <w:rFonts w:ascii="Times New Roman" w:cs="Times New Roman" w:eastAsia="Times New Roman" w:hAnsi="Times New Roman"/>
          <w:sz w:val="22"/>
          <w:szCs w:val="22"/>
          <w:color w:val="auto"/>
        </w:rPr>
        <w:t xml:space="preserve">"), the Company shall deliver to the Trustees definitive Securities, in aggregate principal amount equal to the principal amount of such temporary global Security and of like tenor and evidencing the same indebtedness, executed by the Company. On or after the Exchange Date, such temporary global Security shall be surrendered by the Depositary to the Trustees, as the Company's agent for such purpose, to be exchanged, in whole or from time to time in part, for definitive Securities without charge and the applicable Trustee shall authenticate and deliver, in exchange for each portion of such temporary global Security, an equal aggregate principal amount of definitive Securities of the same series of authorized denominations and of like tenor and evidencing the same indebtedness as the portion of such temporary global Security to be exchanged. The definitive Securities to be delivered in exchange for any such temporary global Security shall be in registered form or permanent global registered form, or any combination thereof, as specified as contemplated by Section 3.01, and, if any combination thereof is so specified, as requested by the beneficial owner thereof;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unless otherwise specified in such temporary global Security, upon such presentation by the Depositary, such temporary global Security is accompanied by a certificate dated the Exchange Date or a subsequent date and signed by the Depositary as to the portion of such temporary global Security held for its account then to be exchanged and a certificate dated the Exchange Date or a subsequent date, each in the form set forth in Exhibit A-2 to this Indenture (or in such other form as may be established pursuant to Section 3.01).</w:t>
      </w:r>
    </w:p>
    <w:p>
      <w:pPr>
        <w:spacing w:after="0" w:line="19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Unless otherwise specified in such temporary global Security, the interest of a beneficial owner of Securities of a series in a temporary global Security shall be exchanged for definitive Securities of the same series and of like tenor and evidencing the same indebtedness following the Exchange Date when the account holder instructs the Depositary to request such exchange on his behalf and delivers to the Depositary a certificate in the form set forth in Exhibit A-1 to this Indenture (or in such other form as may be established pursuant to Section 3.01), dated no earlier than 15 days prior to the Exchange Date, copies of which certificate shall be available from the offices of the Depositary, the Trustees,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the Depositary.</w:t>
      </w:r>
    </w:p>
    <w:p>
      <w:pPr>
        <w:spacing w:after="0" w:line="17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Until exchanged in full as hereinabove provided, the temporary Securities of any series shall in all respects be entitled to the same benefits under this Indenture as definitive Securities of the same series and of like tenor and evidencing the same indebtedness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the Depositary on such Interest Payment Date upon delivery by the Depositary to the Trustees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the Depositary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3.04 and of the third paragraph of Section 3.03 and the interests of the Persons who are the beneficial owners of the temporary global Security with respect to which such certification was made will be exchanged for definitive Securities of the same series and of like tenor and evidencing the same indebtedness on the Exchange Date or the date of certification if such date occurs after the Exchange Date, without further act or deed by such beneficial owners. Except as otherwise provided in this paragraph, no payments of principal of,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the Depositary and not paid as herein provided shall be returned to the Trustees immediately prior to the expiration of two years after such Interest Payment Date in order to be repaid to the Company in accordance with Section 10.03.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5" w:name="page106"/>
    <w:bookmarkEnd w:id="105"/>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3.05</w:t>
      </w:r>
      <w:r>
        <w:rPr>
          <w:sz w:val="20"/>
          <w:szCs w:val="20"/>
          <w:color w:val="auto"/>
        </w:rPr>
        <w:tab/>
      </w:r>
      <w:r>
        <w:rPr>
          <w:rFonts w:ascii="Times New Roman" w:cs="Times New Roman" w:eastAsia="Times New Roman" w:hAnsi="Times New Roman"/>
          <w:sz w:val="21"/>
          <w:szCs w:val="21"/>
          <w:b w:val="1"/>
          <w:bCs w:val="1"/>
          <w:color w:val="auto"/>
        </w:rPr>
        <w:t>Registration, Registration of Transfer and Exchange</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So long as required by Trust Indenture Legislation, the Company shall cause to be kept at the Corporate Trust Offices of the applicable Trustee a register for each series of Securities (the registers maintained in the Corporate Trust Offices of the Trustees and in any other office or agency of the Company in a Place of Payment being herein sometimes collectively referred to as the "</w:t>
      </w:r>
      <w:r>
        <w:rPr>
          <w:rFonts w:ascii="Times New Roman" w:cs="Times New Roman" w:eastAsia="Times New Roman" w:hAnsi="Times New Roman"/>
          <w:sz w:val="21"/>
          <w:szCs w:val="21"/>
          <w:b w:val="1"/>
          <w:bCs w:val="1"/>
          <w:color w:val="auto"/>
        </w:rPr>
        <w:t>Security Register</w:t>
      </w:r>
      <w:r>
        <w:rPr>
          <w:rFonts w:ascii="Times New Roman" w:cs="Times New Roman" w:eastAsia="Times New Roman" w:hAnsi="Times New Roman"/>
          <w:sz w:val="21"/>
          <w:szCs w:val="21"/>
          <w:color w:val="auto"/>
        </w:rPr>
        <w:t>") in which, subject to such reasonable regulations as it may prescribe, the Company shall provide for the registration of the Holders of Securities and of transfers of Securities. The Security Register shall be in written form or any other form capable of being converted into written form within a reasonable time. At all reasonable times, the Security Register shall be open to inspection by the Trustees. The Trustees are hereby initially appointed as security registrar (the "Security Registrar") for the purpose of registering Securities and transfers of Securities as herein provided. The Company shall have the right to remove and replace from time to time the Security Registrar for any series of Securities; provided, however, that, no such removal or replacement shall be effective until a successor Security Registrar with respect to such series of Securities shall have been appointed by the Company and shall have accepted such appointment by the Company. In the event that the Trustees shall not be or shall cease to be the Securities Registrar with respect to a series of Securities, they shall have the right to examine the Security Register for such series at all reasonable times. There shall be only one Securities Register for such series of Securities.</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Upon surrender for registration of transfer of any Security of any series at the office or agency in a Place of Payment for that series, the Company shall execute, and the applicable Trustee shall authenticate and deliver, in the name of the designated transferee, one or more new Securities of the same series, of any authorized denominations and of a like aggregate principal amount and tenor and evidencing the same indebtedness.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For Canadian Securities, the Security must be duly endorsed for transfer or in a duly endorsed transferable form as applicable and must comply with the current industry practice in accordance with the Securities Transfer Association of Canada.</w:t>
      </w:r>
    </w:p>
    <w:p>
      <w:pPr>
        <w:spacing w:after="0" w:line="13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At the option of the Holder, Securities of any series may be exchanged for other Securities of the same series, of any authorized denomination and of a like aggregate principal amount and tenor and evidencing the same indebtedness, upon surrender of the Securities to be exchanged at such office or agency. Whenever any Securities are so surrendered for exchange, the Company shall execute, and the applicable Trustee shall authenticate and deliver, the Securities which the Holder making the exchange is entitled to receive.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Whenever any Securities are so surrendered for exchange, the Company shall execute, and the applicable Trustee shall authenticate and deliver, the Securities which the Holder making the exchange is entitled to receive.</w:t>
      </w:r>
    </w:p>
    <w:p>
      <w:pPr>
        <w:spacing w:after="0" w:line="15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Notwithstanding the foregoing, except as otherwise specified as contemplated by Section 3.01, any permanent global Security shall be exchangeable only as provided in this Section. If any beneficial owner of an interest in a permanent global Security is entitled to exchange such interest for Securities of such series and of like tenor and principal amount of another authorized form and denomination, as contemplated by Section 3.01 and provided that any applicable notice provided in the permanent global Security shall have been given to the Company, the Trustees and the Depositary, then without unnecessary delay but in any event not later than the earliest date on which such interest may be so exchanged, the Company shall deliver to the applicable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applicable Trustee, as the Company's agent for such purpose, to be exchanged in whole or from time to time in part, for definitive Securities without charge, and the applicable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If a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Transfers of global Securities shall be limited to transfers in whole, but not in part, to the Depositary, its successors or their respective nominees. If at any time the Depositary for Securities of a series notifies the Company that it is unwilling, unable or no longer qualifies to continue as Depositary for Securities of such series or if at any time the Depositary for such series shall no longer be registered or in good standing under the Exchange Act, or other applicable statute or regulation, the Company shall appoint a successor Depositary for the Securities of such series. If a successor to the Depositary for Securities of such series is not appointed by the Company within 90 days after the Company receives such notice or becomes aware of such condition, as the case may be, the Company's election pursuant to Section 3.01 shall no longer be effective with respect to the Securities for such series and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7" w:name="page108"/>
    <w:bookmarkEnd w:id="107"/>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Company may at any time and in its sole discretion determine that the Securities of any series issued in the form of one or more global Securities shall no longer be represented by such global Security or Securities. In such event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Upon the exchange of a global Security for Securities in definitive form, such global Security shall be cancelled by the applicable Trustee. Securities issued in exchange for a global Security pursuant to this Section 3.05 shall be registered in such names and in such authorized denominations as the Depositary for such global Security, pursuant to instructions from its direct or indirect participants or otherwise, shall instruct the applicable Trustee in writing. The applicable Trustee shall deliver such Securities to the Persons in whose names such Securities are so registered.</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Every Security presented or surrendered for registration of transfer or for exchange shall (if so required by the Company or the Security Registrar or applicable securities transfer industry practices) be duly endorsed, or be accompanied by a written instrument of transfer, in form satisfactory to the Company and the Security Registrar, duly executed by the Holder thereof or his attorney duly authorized in writing.</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Any registration of transfer or exchange of Securities may be subject to service charges by the Securities Registrar and the Company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8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Company shall not be required (i) to issue, register the transfer of or exchange Securities of any series in definitive form during a period beginning at the opening of business 15 days before the day of the selection for redemption of Securities of that series under Section 11.03 or 12.03 and ending at the close of business on the day of the mailing of the relevant notice of redemption or (ii) to register the transfer of or exchange any Security in definitive form so selected for redemption in whole or in part, except the unredeemed portion of any Security being redeemed in part, or (iii) to issue, register the transfer of or exchange any Security in definitive form which has been surrendered for repayment at the option of the Holder, except the portion, if any, of such Security not to be so repaid.</w:t>
      </w:r>
    </w:p>
    <w:p>
      <w:pPr>
        <w:spacing w:after="0" w:line="17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3.06</w:t>
      </w:r>
      <w:r>
        <w:rPr>
          <w:sz w:val="20"/>
          <w:szCs w:val="20"/>
          <w:color w:val="auto"/>
        </w:rPr>
        <w:tab/>
      </w:r>
      <w:r>
        <w:rPr>
          <w:rFonts w:ascii="Times New Roman" w:cs="Times New Roman" w:eastAsia="Times New Roman" w:hAnsi="Times New Roman"/>
          <w:sz w:val="21"/>
          <w:szCs w:val="21"/>
          <w:b w:val="1"/>
          <w:bCs w:val="1"/>
          <w:color w:val="auto"/>
        </w:rPr>
        <w:t>Mutilated, Destroyed, Lost and Stolen Securities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If any mutilated Security is surrendered to the applicable Trustee, the Company shall execute and the applicable Trustee shall authenticate and deliver in exchange therefor a new Security of the same series and of like tenor and principal amount and evidencing the same indebtedness and bearing a number not contemporaneously outstanding, or, in case any such mutilated Security has become or is about to become due and payable, the Company in its discretion may, instead of issuing a new Security, pay such Security. If there shall be delivered to the Company and to the Trustees (i) evidence to their satisfaction of the destruction, loss or theft of any Security and (ii) such security (or surety in the case of the Canadian Trustee) or indemnity as may be required by them to save each of them and any agent of either of them harmless, then, in the absence of notice to the Company or the Trustees that such Security has been acquired by a bona fide purchaser , the Company shall execute and upon Company Order the applicable Trustee shall authenticate and deliver, in lieu of any such destroyed, lost or stolen Security, a new Security of the same series and of like tenor and principal amount and evidencing the same indebtedness and bearing a number not contemporaneously outstanding.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provisions of the previous two paragraphs, in case any such mutilated, destroyed, lost or stolen Security has become or is about to become due and payable, the Company in its discretion may, instead of issuing a new Security appertaining to such mutilated, destroyed, lost or stolen Security, pay such Security.</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Trustees) connected therewith.</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Every new Security of any series issued pursuant to this Section 3.06 in lieu of any mutilated, destroyed, lost or stolen Security, shall constitute an original additional contractual obligation of the Company, whether or not the mutilated, destroyed, lost or stolen Security shall be at any time enforceable by anyone, and the Holders of such Security shall be entitled to all the benefits of this Indenture equally and proportionately with the Holders of any and all other Securities of that series duly issued hereunder.</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provisions of this Section 3.06 as amended or supplemented pursuant to this Indenture with respect to a particular series of Securities or generally are exclusive and shall preclude (to the extent lawful) all other rights and remedies with respect to the replacement or payment of mutilated, destroyed, lost or stolen Securities.</w:t>
      </w:r>
    </w:p>
    <w:p>
      <w:pPr>
        <w:spacing w:after="0" w:line="16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3.07</w:t>
      </w:r>
      <w:r>
        <w:rPr>
          <w:sz w:val="20"/>
          <w:szCs w:val="20"/>
          <w:color w:val="auto"/>
        </w:rPr>
        <w:tab/>
      </w:r>
      <w:r>
        <w:rPr>
          <w:rFonts w:ascii="Times New Roman" w:cs="Times New Roman" w:eastAsia="Times New Roman" w:hAnsi="Times New Roman"/>
          <w:sz w:val="21"/>
          <w:szCs w:val="21"/>
          <w:b w:val="1"/>
          <w:bCs w:val="1"/>
          <w:color w:val="auto"/>
        </w:rPr>
        <w:t>Payment of Principal, Premium and Interest; Interest Rights Preserved; Optional Interest Reset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33" w:lineRule="auto"/>
        <w:tabs>
          <w:tab w:leader="none" w:pos="137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provided as contemplated by Section 3.01 with respect to any series of Securities, interest (if any) on any Security which is payable, and is punctually paid or duly provided for, on any Interest Payment Date shall be paid by the Paying Agent to the Person in whose name such Security (or one or more Predecessor Securities) is registered at the close of business on the Regular Record Date for such interest at the office or agency of the Company maintained for such purpose pursuant to Section 10.02;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installment of interest (if any) on any Security may at the Company's option be paid by (i) mailing a check for such interest, payable to or upon the written order of the Person entitled thereto pursuant to Section 3.09, to the address of such Person as it appears on the Security Register, (ii) wire transfer to an account located in the United States maintained by the Person entitled to such payment as specified in the Security Register, or (iii) as otherwise specified pursuant to Section 3.01 for the Securities of such series. Unless otherwise provided as contemplated by Section 3.01 with respect to any series of Securities, principal and premium (if any) paid in relation to any Security shall be paid to the Holder of such Security only upon presentation and surrender of such Security at the office or agency of the Company maintained for such purpose pursuant to Section 10.02.</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Unless otherwise provided as contemplated by Section 3.01, every permanent global Security will provide that interest (if any) payable on any Interest Payment Date will be paid to the Depositary with respect to that portion of such permanent global Security held for its account by the Depositary, for the purpose of permitting the Depositary to credit the interest (if any) received by it in respect of such permanent global Security to the accounts of the beneficial owners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Any interest on any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specified in the Securities of such series (such defaulted interest and, if applicable, interest thereon herein collectively called "</w:t>
      </w:r>
      <w:r>
        <w:rPr>
          <w:rFonts w:ascii="Times New Roman" w:cs="Times New Roman" w:eastAsia="Times New Roman" w:hAnsi="Times New Roman"/>
          <w:sz w:val="21"/>
          <w:szCs w:val="21"/>
          <w:b w:val="1"/>
          <w:bCs w:val="1"/>
          <w:color w:val="auto"/>
        </w:rPr>
        <w:t>Defaulted Interest</w:t>
      </w:r>
      <w:r>
        <w:rPr>
          <w:rFonts w:ascii="Times New Roman" w:cs="Times New Roman" w:eastAsia="Times New Roman" w:hAnsi="Times New Roman"/>
          <w:sz w:val="21"/>
          <w:szCs w:val="21"/>
          <w:color w:val="auto"/>
        </w:rPr>
        <w:t>") must be paid by the Company as provided for in either clause (1) or (2), at the Company's election:</w:t>
      </w:r>
    </w:p>
    <w:p>
      <w:pPr>
        <w:spacing w:after="0" w:line="169" w:lineRule="exact"/>
        <w:rPr>
          <w:sz w:val="20"/>
          <w:szCs w:val="20"/>
          <w:color w:val="auto"/>
        </w:rPr>
      </w:pPr>
    </w:p>
    <w:p>
      <w:pPr>
        <w:jc w:val="both"/>
        <w:ind w:left="1300" w:hanging="644"/>
        <w:spacing w:after="0" w:line="243" w:lineRule="auto"/>
        <w:tabs>
          <w:tab w:leader="none" w:pos="133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Trustees in writing of the amount of Defaulted Interest proposed to be paid on each Security of such series and the date of the proposed payment, and at the same time the Company shall deposit with the applicable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Trustees for such deposit on or prior to the date of the proposed payment, such money when deposited to be held in trust for the benefit of the Persons entitled to such Defaulted Interest as in this clause provided. Thereupon the Trustees shall fix a Special Record Date for the payment of such Defaulted Interest which shall be not more than 15 days and not less than 10 days prior to the date of the proposed payment and not less than 10 days after the receipt by the Trustees of the notice of the proposed payment. The Trustees shall promptly notify the Company of such Special Record Date and, in the name and at the expense of the Company, shall cause notice of the proposed payment of such Defaulted Interest and the Special Record Date therefor to be given in the manner provided in Section 1.07, not less than 10 days prior to such Special Record Date. Notice of the proposed payment of such Defaulted Interest and the Special Record Date therefor having been so given, such Defaulted Interest shall be paid to the Persons in whose name the Securities of such series (or their respective Predecessor Securities) are registered at the close of business on such Special Record Date and shall no longer be payable pursuant to the following clause (2).</w:t>
      </w:r>
    </w:p>
    <w:p>
      <w:pPr>
        <w:spacing w:after="0" w:line="185" w:lineRule="exact"/>
        <w:rPr>
          <w:rFonts w:ascii="Times New Roman" w:cs="Times New Roman" w:eastAsia="Times New Roman" w:hAnsi="Times New Roman"/>
          <w:sz w:val="21"/>
          <w:szCs w:val="21"/>
          <w:color w:val="auto"/>
        </w:rPr>
      </w:pPr>
    </w:p>
    <w:p>
      <w:pPr>
        <w:jc w:val="both"/>
        <w:ind w:left="1300" w:hanging="644"/>
        <w:spacing w:after="0" w:line="238" w:lineRule="auto"/>
        <w:tabs>
          <w:tab w:leader="none" w:pos="13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Trustees of the proposed payment pursuant to this clause, such manner of payment shall be deemed practicable by the Trustees.</w:t>
      </w:r>
    </w:p>
    <w:p>
      <w:pPr>
        <w:spacing w:after="0" w:line="177" w:lineRule="exact"/>
        <w:rPr>
          <w:sz w:val="20"/>
          <w:szCs w:val="20"/>
          <w:color w:val="auto"/>
        </w:rPr>
      </w:pPr>
    </w:p>
    <w:p>
      <w:pPr>
        <w:jc w:val="both"/>
        <w:ind w:firstLine="656"/>
        <w:spacing w:after="0" w:line="233" w:lineRule="auto"/>
        <w:tabs>
          <w:tab w:leader="none" w:pos="13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Times New Roman" w:cs="Times New Roman" w:eastAsia="Times New Roman" w:hAnsi="Times New Roman"/>
          <w:sz w:val="22"/>
          <w:szCs w:val="22"/>
          <w:b w:val="1"/>
          <w:bCs w:val="1"/>
          <w:color w:val="auto"/>
        </w:rPr>
        <w:t>Optional Reset Date</w:t>
      </w:r>
      <w:r>
        <w:rPr>
          <w:rFonts w:ascii="Times New Roman" w:cs="Times New Roman" w:eastAsia="Times New Roman" w:hAnsi="Times New Roman"/>
          <w:sz w:val="22"/>
          <w:szCs w:val="22"/>
          <w:color w:val="auto"/>
        </w:rPr>
        <w:t>"). The Company may exercise such option with respect to such Security by notifying the Trustees of such exercise at least 50 but not more than 60 days prior to an Optional Reset Date for such Security. Not later than 40 days prior to each Optional Reset Date, the Trustees shall transmit, in the manner provided for in Section 1.07, to the Holder of any such Security a notice (the "</w:t>
      </w:r>
      <w:r>
        <w:rPr>
          <w:rFonts w:ascii="Times New Roman" w:cs="Times New Roman" w:eastAsia="Times New Roman" w:hAnsi="Times New Roman"/>
          <w:sz w:val="22"/>
          <w:szCs w:val="22"/>
          <w:b w:val="1"/>
          <w:bCs w:val="1"/>
          <w:color w:val="auto"/>
        </w:rPr>
        <w:t>Reset Notice</w:t>
      </w:r>
      <w:r>
        <w:rPr>
          <w:rFonts w:ascii="Times New Roman" w:cs="Times New Roman" w:eastAsia="Times New Roman" w:hAnsi="Times New Roman"/>
          <w:sz w:val="22"/>
          <w:szCs w:val="22"/>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 w:cs="Times New Roman" w:eastAsia="Times New Roman" w:hAnsi="Times New Roman"/>
          <w:sz w:val="22"/>
          <w:szCs w:val="22"/>
          <w:b w:val="1"/>
          <w:bCs w:val="1"/>
          <w:color w:val="auto"/>
        </w:rPr>
        <w:t>Subsequent Interest Period</w:t>
      </w:r>
      <w:r>
        <w:rPr>
          <w:rFonts w:ascii="Times New Roman" w:cs="Times New Roman" w:eastAsia="Times New Roman" w:hAnsi="Times New Roman"/>
          <w:sz w:val="22"/>
          <w:szCs w:val="22"/>
          <w:color w:val="auto"/>
        </w:rPr>
        <w:t>"), including the date or dates on which or the period or periods during which and the price or prices at which such redemption may occur during the Subsequent Interest Period.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the spread or spread multiplier, if applicable) that is higher than the interest rate (or the spread or spread multiplier, if applicable) provided for in the Reset Notice, for the Subsequent Interest Period by causing the Trustees to transmit, in the manner provided for in Section 1.07,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spacing w:after="0" w:line="18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Trustees shall be at least 25 but not more than 35 days prior to such Optional Reset Date and except that, if the Holder has tendered any Security for repayment pursuant to the Reset Notice, the Holder may, by written notice to the Trustees, revoke such tender or repayment until the close of business on the tenth day before such Optional Reset Date.</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3.08</w:t>
      </w:r>
      <w:r>
        <w:rPr>
          <w:sz w:val="20"/>
          <w:szCs w:val="20"/>
          <w:color w:val="auto"/>
        </w:rPr>
        <w:tab/>
      </w:r>
      <w:r>
        <w:rPr>
          <w:rFonts w:ascii="Times New Roman" w:cs="Times New Roman" w:eastAsia="Times New Roman" w:hAnsi="Times New Roman"/>
          <w:sz w:val="21"/>
          <w:szCs w:val="21"/>
          <w:b w:val="1"/>
          <w:bCs w:val="1"/>
          <w:color w:val="auto"/>
        </w:rPr>
        <w:t>Optional Extension of Stated Maturity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Times New Roman" w:cs="Times New Roman" w:eastAsia="Times New Roman" w:hAnsi="Times New Roman"/>
          <w:sz w:val="22"/>
          <w:szCs w:val="22"/>
          <w:b w:val="1"/>
          <w:bCs w:val="1"/>
          <w:color w:val="auto"/>
        </w:rPr>
        <w:t>Extension Period</w:t>
      </w:r>
      <w:r>
        <w:rPr>
          <w:rFonts w:ascii="Times New Roman" w:cs="Times New Roman" w:eastAsia="Times New Roman" w:hAnsi="Times New Roman"/>
          <w:sz w:val="22"/>
          <w:szCs w:val="22"/>
          <w:color w:val="auto"/>
        </w:rPr>
        <w:t>") up to but not beyond the date (the "</w:t>
      </w:r>
      <w:r>
        <w:rPr>
          <w:rFonts w:ascii="Times New Roman" w:cs="Times New Roman" w:eastAsia="Times New Roman" w:hAnsi="Times New Roman"/>
          <w:sz w:val="22"/>
          <w:szCs w:val="22"/>
          <w:b w:val="1"/>
          <w:bCs w:val="1"/>
          <w:color w:val="auto"/>
        </w:rPr>
        <w:t>Final Maturity</w:t>
      </w:r>
      <w:r>
        <w:rPr>
          <w:rFonts w:ascii="Times New Roman" w:cs="Times New Roman" w:eastAsia="Times New Roman" w:hAnsi="Times New Roman"/>
          <w:sz w:val="22"/>
          <w:szCs w:val="22"/>
          <w:color w:val="auto"/>
        </w:rPr>
        <w:t>") set forth on the face of such Security. The Company may exercise such option with respect to any Security by notifying the Trustees of such exercise at least 50 but not more than 60 days prior to the Stated Maturity of such Security in effect prior to the exercise of such option (the "</w:t>
      </w:r>
      <w:r>
        <w:rPr>
          <w:rFonts w:ascii="Times New Roman" w:cs="Times New Roman" w:eastAsia="Times New Roman" w:hAnsi="Times New Roman"/>
          <w:sz w:val="22"/>
          <w:szCs w:val="22"/>
          <w:b w:val="1"/>
          <w:bCs w:val="1"/>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Stated Maturity</w:t>
      </w:r>
      <w:r>
        <w:rPr>
          <w:rFonts w:ascii="Times New Roman" w:cs="Times New Roman" w:eastAsia="Times New Roman" w:hAnsi="Times New Roman"/>
          <w:sz w:val="22"/>
          <w:szCs w:val="22"/>
          <w:color w:val="auto"/>
        </w:rPr>
        <w:t>"). If the Company exercises such option, the Trustees shall transmit, in the manner provided for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1.07, to the Holder of such Security not later than 40 days prior to the Original Stated Maturity a notice (the "</w:t>
      </w:r>
      <w:r>
        <w:rPr>
          <w:rFonts w:ascii="Times New Roman" w:cs="Times New Roman" w:eastAsia="Times New Roman" w:hAnsi="Times New Roman"/>
          <w:sz w:val="22"/>
          <w:szCs w:val="22"/>
          <w:b w:val="1"/>
          <w:bCs w:val="1"/>
          <w:color w:val="auto"/>
        </w:rPr>
        <w:t>Extension Notice</w:t>
      </w:r>
      <w:r>
        <w:rPr>
          <w:rFonts w:ascii="Times New Roman" w:cs="Times New Roman" w:eastAsia="Times New Roman" w:hAnsi="Times New Roman"/>
          <w:sz w:val="22"/>
          <w:szCs w:val="22"/>
          <w:color w:val="auto"/>
        </w:rPr>
        <w:t>") indicating (i) the election of the Company to extend the Stated Maturity, (ii) the new Stated Maturity, (iii) the interest rate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Trustees to transmit, in the manner provided for in Section 1.07, notice of such higher interest rate to the Holder of such Security. Such notice shall be irrevocable. All Securities with respect to which the Stated Maturity is extended will bear such higher interest rate.</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Thirteen for repayment at the option of Holders, except that the period for delivery or notification to the Trustees shall be at least 25 but not more than 35 days prior to the Original Stated Maturity and except that, if the Holder has tendered any Security for repayment pursuant to an Extension Notice, the Holder may by written notice to the Trustees revoke such tender for repayment until the close of business on the tenth day before the Original Stated Maturity.</w:t>
      </w:r>
    </w:p>
    <w:p>
      <w:pPr>
        <w:spacing w:after="0" w:line="17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3.09</w:t>
      </w:r>
      <w:r>
        <w:rPr>
          <w:sz w:val="20"/>
          <w:szCs w:val="20"/>
          <w:color w:val="auto"/>
        </w:rPr>
        <w:tab/>
      </w:r>
      <w:r>
        <w:rPr>
          <w:rFonts w:ascii="Times New Roman" w:cs="Times New Roman" w:eastAsia="Times New Roman" w:hAnsi="Times New Roman"/>
          <w:sz w:val="21"/>
          <w:szCs w:val="21"/>
          <w:b w:val="1"/>
          <w:bCs w:val="1"/>
          <w:color w:val="auto"/>
        </w:rPr>
        <w:t>Persons Deemed Owners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Prior to due presentment of a Security for registration of transfer, the Company, the Trustees and any agent of the Company or the Trustees may treat the Person in whose name such Security is registered as the owner of such Security for the purpose of receiving payment of principal of, premium (if any) and (subject to Sections 3.05 and 3.07) interest (if any) on such Security and for all other purposes whatsoever, whether or not such Security be overdue, and none of the Company, the Trustees or any agent of the Company or the Trustees shall be affected by notice to the contrary.</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Depositary for Securities may be treated by the Company, the Trustees, and any agent of the Company or the Trustees as the owner of such global Security for all purposes whatsoever. None of the Company, the Trustees,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Notwithstanding the foregoing, with respect to any global Security, nothing herein shall prevent the Company, the Trustees, or any agent of the Company or the Trustees,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7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3.10</w:t>
      </w:r>
      <w:r>
        <w:rPr>
          <w:sz w:val="20"/>
          <w:szCs w:val="20"/>
          <w:color w:val="auto"/>
        </w:rPr>
        <w:tab/>
      </w:r>
      <w:r>
        <w:rPr>
          <w:rFonts w:ascii="Times New Roman" w:cs="Times New Roman" w:eastAsia="Times New Roman" w:hAnsi="Times New Roman"/>
          <w:sz w:val="21"/>
          <w:szCs w:val="21"/>
          <w:b w:val="1"/>
          <w:bCs w:val="1"/>
          <w:color w:val="auto"/>
        </w:rPr>
        <w:t>Cancellation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All Securities surrendered for payment, redemption, repayment at the option of the Holder, registration of transfer or exchange or for credit against any current or future sinking fund payment shall, if surrendered to any Person other than a Trustee, be delivered to either Trustee. All Securities so delivered to either Trustee shall be promptly cancelled by such Trustee. The Company may at any time deliver to a Trustee for cancellation any Securities previously authenticated and delivered hereunder which the Company may have acquired in any manner whatsoever, and may deliver to either Trustee (or to any other Person for delivery to such Trustee) for cancellation any Securities previously authenticated hereunder which the Company has not issued and sold, and all Securities so delivered shall be promptly cancelled by such Trustee. If the Company shall so acquire any of the Securities, however, such acquisition shall not operate as a redemption or satisfaction of the indebtedness represented by such Securities unless and until the same are surrendered to either Trustee for cancellation. No Securities shall be authenticated in lieu of or in exchange for any Securities cancelled as provided in this Section 3.10, except as expressly permitted by this Indenture. All cancelled Securities held by either Trustee shall be disposed of by such Trustee in accordance with its customary procedures and certification of their disposal delivered to the Company unless by Company Order the Company shall direct that cancelled Securities be returned to it.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2" w:name="page113"/>
    <w:bookmarkEnd w:id="112"/>
    <w:p>
      <w:pPr>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3.11</w:t>
      </w:r>
      <w:r>
        <w:rPr>
          <w:sz w:val="20"/>
          <w:szCs w:val="20"/>
          <w:color w:val="auto"/>
        </w:rPr>
        <w:tab/>
      </w:r>
      <w:r>
        <w:rPr>
          <w:rFonts w:ascii="Times New Roman" w:cs="Times New Roman" w:eastAsia="Times New Roman" w:hAnsi="Times New Roman"/>
          <w:sz w:val="21"/>
          <w:szCs w:val="21"/>
          <w:b w:val="1"/>
          <w:bCs w:val="1"/>
          <w:color w:val="auto"/>
        </w:rPr>
        <w:t>Computation of Interest</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Except as otherwise specified as contemplated by Section 3.01 with respect to any Securities, interest (if any) on the Securities of each series shall be computed on the basis of a 360-day year of twelve 30-day months. For the purposes of disclosure under the Interest Act (Canada), the yearly rate of interest to which interest calculated under a Security for any period in any calendar year (the "</w:t>
      </w:r>
      <w:r>
        <w:rPr>
          <w:rFonts w:ascii="Times New Roman" w:cs="Times New Roman" w:eastAsia="Times New Roman" w:hAnsi="Times New Roman"/>
          <w:sz w:val="22"/>
          <w:szCs w:val="22"/>
          <w:b w:val="1"/>
          <w:bCs w:val="1"/>
          <w:color w:val="auto"/>
        </w:rPr>
        <w:t>calculation period</w:t>
      </w:r>
      <w:r>
        <w:rPr>
          <w:rFonts w:ascii="Times New Roman" w:cs="Times New Roman" w:eastAsia="Times New Roman" w:hAnsi="Times New Roman"/>
          <w:sz w:val="22"/>
          <w:szCs w:val="22"/>
          <w:color w:val="auto"/>
        </w:rPr>
        <w:t>") is equivalent, is the rate payable under a Security in respect of the calculation period multiplied by a fraction the numerator of which is the actual number of days in such calendar year and the denominator of which is the actual number of days in the calculation period.</w:t>
      </w:r>
    </w:p>
    <w:p>
      <w:pPr>
        <w:spacing w:after="0" w:line="17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3.12</w:t>
      </w:r>
      <w:r>
        <w:rPr>
          <w:sz w:val="20"/>
          <w:szCs w:val="20"/>
          <w:color w:val="auto"/>
        </w:rPr>
        <w:tab/>
      </w:r>
      <w:r>
        <w:rPr>
          <w:rFonts w:ascii="Times New Roman" w:cs="Times New Roman" w:eastAsia="Times New Roman" w:hAnsi="Times New Roman"/>
          <w:sz w:val="21"/>
          <w:szCs w:val="21"/>
          <w:b w:val="1"/>
          <w:bCs w:val="1"/>
          <w:color w:val="auto"/>
        </w:rPr>
        <w:t>Currency and Manner of Payments in Respect of Securities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39" w:lineRule="auto"/>
        <w:tabs>
          <w:tab w:leader="none" w:pos="131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Securities of any series not permitting the election provided for in paragraph (b) below or the Holders of which have not made the election provided for in paragraph (b) below, payment of the principal of, premium (if any) and interest (if any) on such Security of such series will be made in the Currency in which such Security is payable. The provisions of this Section 3.12 may be modified or superseded with respect to any Securities pursuant to Section 3.01.</w:t>
      </w:r>
    </w:p>
    <w:p>
      <w:pPr>
        <w:spacing w:after="0" w:line="180" w:lineRule="exact"/>
        <w:rPr>
          <w:rFonts w:ascii="Times New Roman" w:cs="Times New Roman" w:eastAsia="Times New Roman" w:hAnsi="Times New Roman"/>
          <w:sz w:val="22"/>
          <w:szCs w:val="22"/>
          <w:color w:val="auto"/>
        </w:rPr>
      </w:pPr>
    </w:p>
    <w:p>
      <w:pPr>
        <w:jc w:val="both"/>
        <w:ind w:firstLine="656"/>
        <w:spacing w:after="0" w:line="232" w:lineRule="auto"/>
        <w:tabs>
          <w:tab w:leader="none" w:pos="131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may be provided pursuant to Section 3.01 with respect to Securities of any series that Holders shall have the option, subject to paragraphs (d) and (e) below, to receive payments of principal of, premium (if any) or interest (if any) on such Securities in any of the Currencies which may be designated for such election by delivering to the Trustees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Security who shall not have delivered any such election to the Trustees not later than the close of business on the applicable Election Date will be paid the amount due on the applicable payment date in the relevant Currency as provided in Section 3.12(a). The Trustees shall notify the Exchange Rate Agent as soon as practicable after the Election Date of the aggregate principal amount of Securities for which Holders have made such written election.</w:t>
      </w:r>
    </w:p>
    <w:p>
      <w:pPr>
        <w:spacing w:after="0" w:line="191" w:lineRule="exact"/>
        <w:rPr>
          <w:rFonts w:ascii="Times New Roman" w:cs="Times New Roman" w:eastAsia="Times New Roman" w:hAnsi="Times New Roman"/>
          <w:sz w:val="22"/>
          <w:szCs w:val="22"/>
          <w:color w:val="auto"/>
        </w:rPr>
      </w:pPr>
    </w:p>
    <w:p>
      <w:pPr>
        <w:jc w:val="both"/>
        <w:ind w:firstLine="656"/>
        <w:spacing w:after="0" w:line="233" w:lineRule="auto"/>
        <w:tabs>
          <w:tab w:leader="none" w:pos="131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Securities of any series, the Exchange Rate Agent will deliver to the Company a written notice specifying, in the Currency in which Securities of such series are payable, the respective aggregate amounts of principal of, premium (if any) and interest (if any) on the Securities to be paid on such payment date, specifying the amounts in such Currency so payable in respect of the Securities as to which the Holders of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Trustees for such series of Securities an Exchange Rate Officer's Certificate in respect of the Dollar or Foreign Currency payments to be made on such payment date. Unless otherwise specified pursuant to Section 3.01, the Dollar or Foreign Currency amount receivable by Holders of Securities who have elected payment in a Currency as provided in paragraph (b) above shall be determined by the Company on the basis of the applicable Market Exchange Rate in effect on the third Business Day (the "</w:t>
      </w:r>
      <w:r>
        <w:rPr>
          <w:rFonts w:ascii="Times New Roman" w:cs="Times New Roman" w:eastAsia="Times New Roman" w:hAnsi="Times New Roman"/>
          <w:sz w:val="22"/>
          <w:szCs w:val="22"/>
          <w:b w:val="1"/>
          <w:bCs w:val="1"/>
          <w:color w:val="auto"/>
        </w:rPr>
        <w:t>Valuation Date</w:t>
      </w:r>
      <w:r>
        <w:rPr>
          <w:rFonts w:ascii="Times New Roman" w:cs="Times New Roman" w:eastAsia="Times New Roman" w:hAnsi="Times New Roman"/>
          <w:sz w:val="22"/>
          <w:szCs w:val="22"/>
          <w:color w:val="auto"/>
        </w:rPr>
        <w:t>") immediately preceding each payment date, and such determination shall be conclusive and binding for all purposes, absent manifest error.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jc w:val="both"/>
        <w:ind w:firstLine="656"/>
        <w:spacing w:after="0" w:line="234" w:lineRule="auto"/>
        <w:tabs>
          <w:tab w:leader="none" w:pos="131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premium (if any) and interest (if any) on the applicable Securities denominated or payable in such Foreign Currency occurring after the last date on which such Foreign Currency was used (the "</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the Dollar shall be the Currency of payment for use on each such payment date. Unless otherwise specified pursuant to Section 3.01, the Dollar amount to be paid by the Company to the Trustees and by the Trustees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83" w:lineRule="exact"/>
        <w:rPr>
          <w:rFonts w:ascii="Times New Roman" w:cs="Times New Roman" w:eastAsia="Times New Roman" w:hAnsi="Times New Roman"/>
          <w:sz w:val="22"/>
          <w:szCs w:val="22"/>
          <w:color w:val="auto"/>
        </w:rPr>
      </w:pPr>
    </w:p>
    <w:p>
      <w:pPr>
        <w:jc w:val="both"/>
        <w:ind w:firstLine="656"/>
        <w:spacing w:after="0" w:line="238" w:lineRule="auto"/>
        <w:tabs>
          <w:tab w:leader="none" w:pos="13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pursuant to Section 3.01, if the Holder of a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w:t>
      </w:r>
    </w:p>
    <w:p>
      <w:pPr>
        <w:spacing w:after="0" w:line="172" w:lineRule="exact"/>
        <w:rPr>
          <w:rFonts w:ascii="Times New Roman" w:cs="Times New Roman" w:eastAsia="Times New Roman" w:hAnsi="Times New Roman"/>
          <w:sz w:val="22"/>
          <w:szCs w:val="22"/>
          <w:color w:val="auto"/>
        </w:rPr>
      </w:pPr>
    </w:p>
    <w:p>
      <w:pPr>
        <w:jc w:val="both"/>
        <w:ind w:firstLine="656"/>
        <w:spacing w:after="0" w:line="246" w:lineRule="auto"/>
        <w:tabs>
          <w:tab w:leader="none" w:pos="13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Dollar Equivalent of the Foreign Currency</w:t>
      </w:r>
      <w:r>
        <w:rPr>
          <w:rFonts w:ascii="Times New Roman" w:cs="Times New Roman" w:eastAsia="Times New Roman" w:hAnsi="Times New Roman"/>
          <w:sz w:val="22"/>
          <w:szCs w:val="22"/>
          <w:color w:val="auto"/>
        </w:rPr>
        <w:t>" shall be determined by the Exchange Rate Agent and shall be obtained for each subsequent payment date by converting the specified Foreign Currency into Dollars at the Market Exchange Rate on the Conversion Date.</w:t>
      </w:r>
    </w:p>
    <w:p>
      <w:pPr>
        <w:spacing w:after="0" w:line="167" w:lineRule="exact"/>
        <w:rPr>
          <w:rFonts w:ascii="Times New Roman" w:cs="Times New Roman" w:eastAsia="Times New Roman" w:hAnsi="Times New Roman"/>
          <w:sz w:val="22"/>
          <w:szCs w:val="22"/>
          <w:color w:val="auto"/>
        </w:rPr>
      </w:pPr>
    </w:p>
    <w:p>
      <w:pPr>
        <w:jc w:val="both"/>
        <w:ind w:firstLine="656"/>
        <w:spacing w:after="0" w:line="241" w:lineRule="auto"/>
        <w:tabs>
          <w:tab w:leader="none" w:pos="131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Dollar Equivalent of the Currency Unit</w:t>
      </w:r>
      <w:r>
        <w:rPr>
          <w:rFonts w:ascii="Times New Roman" w:cs="Times New Roman" w:eastAsia="Times New Roman" w:hAnsi="Times New Roman"/>
          <w:sz w:val="22"/>
          <w:szCs w:val="22"/>
          <w:color w:val="auto"/>
        </w:rPr>
        <w: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75"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3.12 the following terms shall have the following meanings:</w:t>
      </w:r>
    </w:p>
    <w:p>
      <w:pPr>
        <w:spacing w:after="0" w:line="20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Component Currency</w:t>
      </w:r>
      <w:r>
        <w:rPr>
          <w:rFonts w:ascii="Times New Roman" w:cs="Times New Roman" w:eastAsia="Times New Roman" w:hAnsi="Times New Roman"/>
          <w:sz w:val="22"/>
          <w:szCs w:val="22"/>
          <w:color w:val="auto"/>
        </w:rPr>
        <w:t>" shall mean any Currency which, on the Conversion Date, was a component currency of the relevant currency unit, including, but not limited to, the Euro.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color w:val="auto"/>
        </w:rPr>
        <w:t>Specified Amount</w:t>
      </w:r>
      <w:r>
        <w:rPr>
          <w:rFonts w:ascii="Times New Roman" w:cs="Times New Roman" w:eastAsia="Times New Roman" w:hAnsi="Times New Roman"/>
          <w:sz w:val="21"/>
          <w:szCs w:val="21"/>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w:t>
      </w:r>
      <w:r>
        <w:rPr>
          <w:rFonts w:ascii="Times New Roman" w:cs="Times New Roman" w:eastAsia="Times New Roman" w:hAnsi="Times New Roman"/>
          <w:sz w:val="21"/>
          <w:szCs w:val="21"/>
          <w:b w:val="1"/>
          <w:bCs w:val="1"/>
          <w:color w:val="auto"/>
        </w:rPr>
        <w:t>Specified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Amount</w:t>
      </w:r>
      <w:r>
        <w:rPr>
          <w:rFonts w:ascii="Times New Roman" w:cs="Times New Roman" w:eastAsia="Times New Roman" w:hAnsi="Times New Roman"/>
          <w:sz w:val="21"/>
          <w:szCs w:val="21"/>
          <w:color w:val="auto"/>
        </w:rPr>
        <w:t>") occurs with respect to any Component Currency of such currency unit and is continuing on the applicable Valuation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7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Election Date</w:t>
      </w:r>
      <w:r>
        <w:rPr>
          <w:rFonts w:ascii="Times New Roman" w:cs="Times New Roman" w:eastAsia="Times New Roman" w:hAnsi="Times New Roman"/>
          <w:sz w:val="22"/>
          <w:szCs w:val="22"/>
          <w:color w:val="auto"/>
        </w:rPr>
        <w:t>" shall mean the date for any series of Securities as specified pursuant to clause (15) of Section 3.01 by which the written election referred to in paragraph (b) above may be made.</w:t>
      </w:r>
    </w:p>
    <w:p>
      <w:pPr>
        <w:spacing w:after="0" w:line="15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Trustees and all Holders of such Securities denominated or payable in the relevant Currency. The Exchange Rate Agent shall promptly give written notice to the Company and the Trustees of any such decision or determination.</w:t>
      </w:r>
    </w:p>
    <w:p>
      <w:pPr>
        <w:spacing w:after="0" w:line="16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the event that the Company determines in good faith that a Conversion Event has occurred with respect to a Foreign Currency, the Company will immediately give written notice thereof to the Trustees and to the Exchange Rate Agent (and the Trustees will promptly thereafter give notice in the manner provided for in Section 1.07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Trustees and to the Exchange Rate Agent (and the Trustees will promptly thereafter give notice in the manner provided for in Section 1.07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Trustees and the Exchange Rate Agent.</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Trustees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3.13</w:t>
      </w:r>
      <w:r>
        <w:rPr>
          <w:sz w:val="20"/>
          <w:szCs w:val="20"/>
          <w:color w:val="auto"/>
        </w:rPr>
        <w:tab/>
      </w:r>
      <w:r>
        <w:rPr>
          <w:rFonts w:ascii="Times New Roman" w:cs="Times New Roman" w:eastAsia="Times New Roman" w:hAnsi="Times New Roman"/>
          <w:sz w:val="21"/>
          <w:szCs w:val="21"/>
          <w:b w:val="1"/>
          <w:bCs w:val="1"/>
          <w:color w:val="auto"/>
        </w:rPr>
        <w:t>Appointment and Resignation of Successor Exchange Rate Agent</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56"/>
        <w:spacing w:after="0" w:line="235" w:lineRule="auto"/>
        <w:tabs>
          <w:tab w:leader="none" w:pos="13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Currency into the applicable payment Currency for the payment of principal, premium (if any) and interest (if any) pursuant to Section 3.12.</w:t>
      </w:r>
    </w:p>
    <w:p>
      <w:pPr>
        <w:spacing w:after="0" w:line="183" w:lineRule="exact"/>
        <w:rPr>
          <w:rFonts w:ascii="Times New Roman" w:cs="Times New Roman" w:eastAsia="Times New Roman" w:hAnsi="Times New Roman"/>
          <w:sz w:val="22"/>
          <w:szCs w:val="22"/>
          <w:color w:val="auto"/>
        </w:rPr>
      </w:pPr>
    </w:p>
    <w:p>
      <w:pPr>
        <w:jc w:val="both"/>
        <w:ind w:firstLine="656"/>
        <w:spacing w:after="0" w:line="239" w:lineRule="auto"/>
        <w:tabs>
          <w:tab w:leader="none" w:pos="131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remove and replace from time to time the Exchange Rate Agent for any series of Securities. No resignation of the Exchange Rate Agent and no appointment of a successor Exchange Rate Agent pursuant to this Section 3.13 shall become effective until the acceptance of appointment by the successor Exchange Rate Agent as evidenced by a written instrument delivered to the Company and the Trustees.</w:t>
      </w:r>
    </w:p>
    <w:p>
      <w:pPr>
        <w:spacing w:after="0" w:line="180" w:lineRule="exact"/>
        <w:rPr>
          <w:rFonts w:ascii="Times New Roman" w:cs="Times New Roman" w:eastAsia="Times New Roman" w:hAnsi="Times New Roman"/>
          <w:sz w:val="22"/>
          <w:szCs w:val="22"/>
          <w:color w:val="auto"/>
        </w:rPr>
      </w:pPr>
    </w:p>
    <w:p>
      <w:pPr>
        <w:jc w:val="both"/>
        <w:ind w:firstLine="656"/>
        <w:spacing w:after="0" w:line="248" w:lineRule="auto"/>
        <w:tabs>
          <w:tab w:leader="none" w:pos="131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FOUR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SATISFACTION AND DISCHARGE</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4.01</w:t>
      </w:r>
      <w:r>
        <w:rPr>
          <w:sz w:val="20"/>
          <w:szCs w:val="20"/>
          <w:color w:val="auto"/>
        </w:rPr>
        <w:tab/>
      </w:r>
      <w:r>
        <w:rPr>
          <w:rFonts w:ascii="Times New Roman" w:cs="Times New Roman" w:eastAsia="Times New Roman" w:hAnsi="Times New Roman"/>
          <w:sz w:val="21"/>
          <w:szCs w:val="21"/>
          <w:b w:val="1"/>
          <w:bCs w:val="1"/>
          <w:color w:val="auto"/>
        </w:rPr>
        <w:t>Satisfaction and Discharge of Indenture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the rights of Holders of such series of Securities to receive, solely from the trust fund described in subclause (b) of clause (1) of this Section 4.01, payments in respect of the principal of, premium (if any) and interest (if any) on such Securities when such payments are due and except as provided in the last paragraph of this Section 4.01) and the Trustees, at the expense of the Company, shall execute proper instruments acknowledging satisfaction and discharge of this Indenture as to such series when</w:t>
      </w:r>
    </w:p>
    <w:p>
      <w:pPr>
        <w:spacing w:after="0" w:line="183" w:lineRule="exact"/>
        <w:rPr>
          <w:sz w:val="20"/>
          <w:szCs w:val="20"/>
          <w:color w:val="auto"/>
        </w:rPr>
      </w:pPr>
    </w:p>
    <w:p>
      <w:pPr>
        <w:ind w:left="1340" w:hanging="684"/>
        <w:spacing w:after="0"/>
        <w:tabs>
          <w:tab w:leader="none" w:pos="13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06" w:lineRule="exact"/>
        <w:rPr>
          <w:sz w:val="20"/>
          <w:szCs w:val="20"/>
          <w:color w:val="auto"/>
        </w:rPr>
      </w:pPr>
    </w:p>
    <w:p>
      <w:pPr>
        <w:jc w:val="both"/>
        <w:ind w:right="20" w:firstLine="656"/>
        <w:spacing w:after="0" w:line="239" w:lineRule="auto"/>
        <w:tabs>
          <w:tab w:leader="none" w:pos="131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Securities of such series theretofore authenticated and delivered (other than Securities of such series for whose payment money has theretofore been deposited in trust with either Trustee or any Paying Agent or segregated and held in trust by the Company and thereafter repaid to the Company, as provided in Section 10.03) have been delivered to either Trustee for cancellation; or</w:t>
      </w:r>
    </w:p>
    <w:p>
      <w:pPr>
        <w:spacing w:after="0" w:line="180"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Securities of such series not theretofore delivered to either Trustee for cancellation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ind w:left="2000" w:hanging="696"/>
        <w:spacing w:after="0"/>
        <w:tabs>
          <w:tab w:leader="none" w:pos="20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become due and payable, or</w:t>
      </w:r>
    </w:p>
    <w:p>
      <w:pPr>
        <w:spacing w:after="0" w:line="206"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 Maturity within one year, or</w:t>
      </w:r>
    </w:p>
    <w:p>
      <w:pPr>
        <w:spacing w:after="0" w:line="206" w:lineRule="exact"/>
        <w:rPr>
          <w:rFonts w:ascii="Times New Roman" w:cs="Times New Roman" w:eastAsia="Times New Roman" w:hAnsi="Times New Roman"/>
          <w:sz w:val="22"/>
          <w:szCs w:val="22"/>
          <w:color w:val="auto"/>
        </w:rPr>
      </w:pPr>
    </w:p>
    <w:p>
      <w:pPr>
        <w:jc w:val="both"/>
        <w:ind w:left="1960" w:hanging="656"/>
        <w:spacing w:after="0" w:line="244" w:lineRule="auto"/>
        <w:tabs>
          <w:tab w:leader="none" w:pos="203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redeemable at the option of the Company, are to be called for redemption within one year under arrangements satisfactory to the Trustees for the giving of notice of redemption by the Trustees in the name, and at the expense, of the Company,</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and the Company, in the case of (i), (ii) or (iii) above, has irrevocably deposited or caused to be deposited with either Trustee as trust funds in trust for such purpose an amount in the Currency in which the Securities of such series are payable, sufficient to pay and discharge the entire indebtedness on such Securities not theretofore delivered to such Trustee for cancellation, for principal, premium (if any) and interest (if any) to the date of such deposit (in the case of Securities which have become due and payable) or to the Stated Maturity or Redemption Date, as the case may be;</w:t>
      </w:r>
    </w:p>
    <w:p>
      <w:pPr>
        <w:spacing w:after="0" w:line="177" w:lineRule="exact"/>
        <w:rPr>
          <w:sz w:val="20"/>
          <w:szCs w:val="20"/>
          <w:color w:val="auto"/>
        </w:rPr>
      </w:pPr>
    </w:p>
    <w:p>
      <w:pPr>
        <w:ind w:left="1360" w:hanging="704"/>
        <w:spacing w:after="0"/>
        <w:tabs>
          <w:tab w:leader="none" w:pos="13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or caused to be paid all other sums payable hereunder by the Company; and</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to the Trustees an Officer's Certificate and an Opinion of Counsel, each stating that all conditions precedent herein provided for relating to the satisfaction and discharge of this Indenture as to such series have been complied with.</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Notwithstanding the satisfaction and discharge of this Indenture, the obligations of the Company to the Trustees under Section 6.07, the obligations of the Trustees to any Authenticating Agent under Section 6.12 and, if money shall have been deposited with the Trustees pursuant to subclause (b) of clause (1) of this Section 4.01, the obligations of the Trustees under Section 4.02, Section 6.07(3) and the last paragraph of Section 10.03 shall survive.</w:t>
      </w:r>
    </w:p>
    <w:p>
      <w:pPr>
        <w:spacing w:after="0" w:line="17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4.02</w:t>
      </w:r>
      <w:r>
        <w:rPr>
          <w:sz w:val="20"/>
          <w:szCs w:val="20"/>
          <w:color w:val="auto"/>
        </w:rPr>
        <w:tab/>
      </w:r>
      <w:r>
        <w:rPr>
          <w:rFonts w:ascii="Times New Roman" w:cs="Times New Roman" w:eastAsia="Times New Roman" w:hAnsi="Times New Roman"/>
          <w:sz w:val="21"/>
          <w:szCs w:val="21"/>
          <w:b w:val="1"/>
          <w:bCs w:val="1"/>
          <w:color w:val="auto"/>
        </w:rPr>
        <w:t>Application of Trust Money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Subject to the provisions of the last paragraph of Section 10.03, all money deposited with the Trustees pursuant to Section 4.01 shall be held in trust and applied by it, in accordance with the provisions of the Securities and this Indenture, to the payment, either directly or through any Paying Agent (including the Company acting as its own Paying Agent) as the Trustees may determine, to the Persons entitled thereto, of the principal, premium (if any) and interest (if any) for whose payment such money has been deposited with the Trustees; but such money need not be segregated from other funds except to the extent required by law.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FIVE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REMEDIES</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5.01</w:t>
      </w:r>
      <w:r>
        <w:rPr>
          <w:sz w:val="20"/>
          <w:szCs w:val="20"/>
          <w:color w:val="auto"/>
        </w:rPr>
        <w:tab/>
      </w:r>
      <w:r>
        <w:rPr>
          <w:rFonts w:ascii="Times New Roman" w:cs="Times New Roman" w:eastAsia="Times New Roman" w:hAnsi="Times New Roman"/>
          <w:sz w:val="21"/>
          <w:szCs w:val="21"/>
          <w:b w:val="1"/>
          <w:bCs w:val="1"/>
          <w:color w:val="auto"/>
        </w:rPr>
        <w:t>Events of Default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a supplemental indenture, Board Resolution or Officer's Certificate establishing the terms of such series pursuant to Section 3.01 of this Indenture: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ind w:left="1300" w:hanging="644"/>
        <w:spacing w:after="0" w:line="258" w:lineRule="auto"/>
        <w:tabs>
          <w:tab w:leader="none" w:pos="13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any interest due on any Security of that series, when such interest becomes due and payable, and continuance of such default for a period of 30 days; or</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the principal or premium (if any) in respect of any Security of that series at its Maturity; or</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deposit of any sinking fund, amortization or analogous payment when due by the terms of any Security of that series and Article Twelve; or</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4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or breach, of any covenant or agreement of the Company in this Indenture which affects or is applicable to the Securities of that series (other than a covenant or agreement, a default in whose performance or whose breach is elsewhere in this Section 5.01 specifically dealt with), and continuance of such default or breach for a period of 60 days after there has been given (and 120 days with respect to a default or breach under Section 7.05), by registered or certified mail, to the Company by the Trustees or to the Company and the Trustees by the Holders of at least 25% in principal amount of all Outstanding Securities of that series a written notice specifying such default or breach and requiring it to be remedied and stating that such notice is a "Notice of Default" hereunder; or</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4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of a decree or order by a court having jurisdiction in the premises adjudging the Company bankrupt or insolvent, or approving as properly filed a petition seeking reorganization, arrangement, adjustment or composition of or in respect of the Company under or subject to the Bankruptcy and Insolvency Act (Canada), the Companies' Creditors Arrangement Act (Canada), the U.S. Federal Bankruptcy Code or any other federal, provincial, state or foreign bankruptcy, insolvency or analogous laws, or the issuance of a sequestration order or the (appointment of a receiver, liquidator, assignee, trustee, sequestrator (or other similar official) of the Company or in receipt of any substantial part of the property of the Company, and any such decree, order or appointment continues unstayed and in effect for a period of 90 consecutive days; or</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34" w:lineRule="auto"/>
        <w:tabs>
          <w:tab w:leader="none" w:pos="134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institution by the Company of proceedings to be adjudicated bankrupt or insolvent, or the consent by it to the institution of bankruptcy or insolvency proceedings against it, or the filing by it of a petition or answer or consent seeking reorganization or relief under or subject to the Bankruptcy and Insolvency Act (Canada), the Companies' Creditors Arrangement Act (Canada), the U.S. Federal Bankruptcy Code or any other federal, provincial, state or foreign bankruptcy, insolvency or analogous laws or the consent by it to the filing of any such petition or to the appointment of a receiver, liquidator, assignee, trustee, sequestrator (or other similar official) of the Company or of any substantial part of its property, or the making by it of a general assignment for the benefit of creditors, or the admission by it in writing of its inability to pay its debts generally as they become due or the taking by it of corporate action in furtherance of any of the aforesaid purposes; or</w:t>
      </w:r>
    </w:p>
    <w:p>
      <w:pPr>
        <w:spacing w:after="0" w:line="183"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of Default provided with respect to Securities of that series.</w:t>
      </w:r>
    </w:p>
    <w:p>
      <w:pPr>
        <w:spacing w:after="0" w:line="20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5.02</w:t>
      </w:r>
      <w:r>
        <w:rPr>
          <w:sz w:val="20"/>
          <w:szCs w:val="20"/>
          <w:color w:val="auto"/>
        </w:rPr>
        <w:tab/>
      </w:r>
      <w:r>
        <w:rPr>
          <w:rFonts w:ascii="Times New Roman" w:cs="Times New Roman" w:eastAsia="Times New Roman" w:hAnsi="Times New Roman"/>
          <w:sz w:val="21"/>
          <w:szCs w:val="21"/>
          <w:b w:val="1"/>
          <w:bCs w:val="1"/>
          <w:color w:val="auto"/>
        </w:rPr>
        <w:t>Acceleration of Maturity; Rescission and Annulment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If an Event of Default described in clause (1), (2), (3), (4) or (7) of Section 5.01 with respect to Securities of any series at the time Outstanding occurs and is continuing, then in every such case, either Trustee or the Holders of not less than 25% in principal amount of the Outstanding Securities of that series, may declare the principal amount (or, if the Securities of that series are Original Issue Discount Securities or Indexed Securities, such portion of the principal amount as may be specified in the terms of that series) of all of the Securities of that series and all interest thereon to be due and payable immediately, by a notice in writing to the Company (and to the Trustees if given by Holders), and upon any such declaration such principal amount (or specified portion thereof) shall become immediately due and payable. If an Event of Default specified in clause (5) or (6) of Section 5.01 occurs and is continuing, then the principal amount of all the Securities shall ipso facto become and be immediately due and payable without any declaration or other act on the part of the Trustees or any Holder.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At any time after such a declaration of acceleration with respect to Securities of any series (or of all series, as the case may be) has been made and before a judgment or decree for payment of the money due has been obtained by either Trustee as hereinafter provided in this Article Five, the Holders of a majority in principal amount of the Outstanding Securities of that series (or of all series, as the case may be), by written notice to the Company and the Trustees, may rescind and annul such declaration and its consequences if:</w:t>
      </w:r>
    </w:p>
    <w:p>
      <w:pPr>
        <w:spacing w:after="0" w:line="177" w:lineRule="exact"/>
        <w:rPr>
          <w:sz w:val="20"/>
          <w:szCs w:val="20"/>
          <w:color w:val="auto"/>
        </w:rPr>
      </w:pPr>
    </w:p>
    <w:p>
      <w:pPr>
        <w:jc w:val="both"/>
        <w:ind w:left="1300" w:hanging="644"/>
        <w:spacing w:after="0" w:line="244" w:lineRule="auto"/>
        <w:tabs>
          <w:tab w:leader="none" w:pos="134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or deposited with either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173" w:lineRule="exact"/>
        <w:rPr>
          <w:rFonts w:ascii="Times New Roman" w:cs="Times New Roman" w:eastAsia="Times New Roman" w:hAnsi="Times New Roman"/>
          <w:sz w:val="22"/>
          <w:szCs w:val="22"/>
          <w:color w:val="auto"/>
        </w:rPr>
      </w:pPr>
    </w:p>
    <w:p>
      <w:pPr>
        <w:ind w:left="1960" w:hanging="656"/>
        <w:spacing w:after="0" w:line="258" w:lineRule="auto"/>
        <w:tabs>
          <w:tab w:leader="none" w:pos="199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overdue interest (if any) on all Outstanding Securities of that series (or of all series, as the case may be),</w:t>
      </w:r>
    </w:p>
    <w:p>
      <w:pPr>
        <w:spacing w:after="0" w:line="158" w:lineRule="exact"/>
        <w:rPr>
          <w:rFonts w:ascii="Times New Roman" w:cs="Times New Roman" w:eastAsia="Times New Roman" w:hAnsi="Times New Roman"/>
          <w:sz w:val="22"/>
          <w:szCs w:val="22"/>
          <w:color w:val="auto"/>
        </w:rPr>
      </w:pPr>
    </w:p>
    <w:p>
      <w:pPr>
        <w:jc w:val="both"/>
        <w:ind w:left="1960" w:hanging="656"/>
        <w:spacing w:after="0" w:line="261" w:lineRule="auto"/>
        <w:tabs>
          <w:tab w:leader="none" w:pos="2008"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unpaid principal of and premium (if any) on any Outstanding Securities of that series (or of all series, as the case may be) which has become due otherwise than by such declaration of acceleration, and interest on such unpaid principal and premium (if any) at the rate or rates prescribed therefor in such Securities,</w:t>
      </w:r>
    </w:p>
    <w:p>
      <w:pPr>
        <w:spacing w:after="0" w:line="157" w:lineRule="exact"/>
        <w:rPr>
          <w:rFonts w:ascii="Times New Roman" w:cs="Times New Roman" w:eastAsia="Times New Roman" w:hAnsi="Times New Roman"/>
          <w:sz w:val="21"/>
          <w:szCs w:val="21"/>
          <w:color w:val="auto"/>
        </w:rPr>
      </w:pPr>
    </w:p>
    <w:p>
      <w:pPr>
        <w:ind w:left="1960" w:hanging="656"/>
        <w:spacing w:after="0" w:line="258" w:lineRule="auto"/>
        <w:tabs>
          <w:tab w:leader="none" w:pos="199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payment of such interest is legally enforceable, interest on overdue interest at the rate or rates prescribed therefor in such Securities, and</w:t>
      </w:r>
    </w:p>
    <w:p>
      <w:pPr>
        <w:spacing w:after="0" w:line="158" w:lineRule="exact"/>
        <w:rPr>
          <w:rFonts w:ascii="Times New Roman" w:cs="Times New Roman" w:eastAsia="Times New Roman" w:hAnsi="Times New Roman"/>
          <w:sz w:val="22"/>
          <w:szCs w:val="22"/>
          <w:color w:val="auto"/>
        </w:rPr>
      </w:pPr>
    </w:p>
    <w:p>
      <w:pPr>
        <w:ind w:left="1960" w:hanging="656"/>
        <w:spacing w:after="0" w:line="258" w:lineRule="auto"/>
        <w:tabs>
          <w:tab w:leader="none" w:pos="200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sums paid or advanced by the Trustees hereunder and the reasonable compensation, expenses, disbursements and advances of the Trustees, their agents and counsel; and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Events of Default with respect to Securities of that series (or of all series, as the case may be), other than the non-payment of amounts of principal of, premium (if any) or interest (if any) on Securities of that series (or of all series, as the case may be) which have become due solely by such declaration of acceleration, have been cured or waived as provided in Section 5.13.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such rescission shall affect any subsequent default or impair any right consequent thereon.</w:t>
      </w:r>
    </w:p>
    <w:p>
      <w:pPr>
        <w:spacing w:after="0" w:line="20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5.03</w:t>
      </w:r>
      <w:r>
        <w:rPr>
          <w:sz w:val="20"/>
          <w:szCs w:val="20"/>
          <w:color w:val="auto"/>
        </w:rPr>
        <w:tab/>
      </w:r>
      <w:r>
        <w:rPr>
          <w:rFonts w:ascii="Times New Roman" w:cs="Times New Roman" w:eastAsia="Times New Roman" w:hAnsi="Times New Roman"/>
          <w:sz w:val="21"/>
          <w:szCs w:val="21"/>
          <w:b w:val="1"/>
          <w:bCs w:val="1"/>
          <w:color w:val="auto"/>
        </w:rPr>
        <w:t>Collection of Debt and Suits for Enforcement by Trustees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covenants that if</w:t>
      </w:r>
    </w:p>
    <w:p>
      <w:pPr>
        <w:spacing w:after="0" w:line="206" w:lineRule="exact"/>
        <w:rPr>
          <w:sz w:val="20"/>
          <w:szCs w:val="20"/>
          <w:color w:val="auto"/>
        </w:rPr>
      </w:pPr>
    </w:p>
    <w:p>
      <w:pPr>
        <w:ind w:left="1300" w:hanging="644"/>
        <w:spacing w:after="0" w:line="258" w:lineRule="auto"/>
        <w:tabs>
          <w:tab w:leader="none" w:pos="13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is made in the payment of any installment of interest on any Security when such interest becomes due and payable and such default continues for a period of 30 days,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9" w:name="page120"/>
    <w:bookmarkEnd w:id="119"/>
    <w:p>
      <w:pPr>
        <w:ind w:left="1320" w:hanging="664"/>
        <w:spacing w:after="0"/>
        <w:tabs>
          <w:tab w:leader="none" w:pos="13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is made in the payment of the principal of or premium (if any) any Security at the Maturity thereof,</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then the Company will, upon demand of the Trustees, pay to the applicable Trustee for the benefit of the Holders of such Securities, the whole amount then due and payable on such Securities for principal of, premium (if any) and interest (if any) and interest on any overdue principal, overdue premium (if any) and, to the extent lawful, overdue interest (if any), at the rate or rates prescribed therefor in such Securities, and, in addition thereto, such further amount as shall be sufficient to cover the costs and expenses of collection, including the reasonable compensation, expenses, disbursements and advances of the Trustees, their agents and counsel.</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the Company fails to pay such amounts forthwith upon such demand, the Trustees, in their own names as trustees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an Event of Default with respect to Securities of any series (or of all series, as the case may be) occurs and is continuing, either Trustee may in its discretion proceed to protect and enforce its rights and the rights of the Holders of Securities of such series (or of all series, as the case may be)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5.04</w:t>
      </w:r>
      <w:r>
        <w:rPr>
          <w:sz w:val="20"/>
          <w:szCs w:val="20"/>
          <w:color w:val="auto"/>
        </w:rPr>
        <w:tab/>
      </w:r>
      <w:r>
        <w:rPr>
          <w:rFonts w:ascii="Times New Roman" w:cs="Times New Roman" w:eastAsia="Times New Roman" w:hAnsi="Times New Roman"/>
          <w:sz w:val="21"/>
          <w:szCs w:val="21"/>
          <w:b w:val="1"/>
          <w:bCs w:val="1"/>
          <w:color w:val="auto"/>
        </w:rPr>
        <w:t>Trustees May File Proofs of Claim</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each Trustee (irrespective of whether the principal of the Securities shall then be due and payable as therein expressed or by declaration or otherwise and irrespective of whether either Trustee shall have made any demand on the Company for the payment of overdue principal, premium (if any) or interest) shall be entitled and empowered, by intervention in such proceeding or otherwise,</w:t>
      </w:r>
    </w:p>
    <w:p>
      <w:pPr>
        <w:spacing w:after="0" w:line="181" w:lineRule="exact"/>
        <w:rPr>
          <w:sz w:val="20"/>
          <w:szCs w:val="20"/>
          <w:color w:val="auto"/>
        </w:rPr>
      </w:pPr>
    </w:p>
    <w:p>
      <w:pPr>
        <w:jc w:val="both"/>
        <w:ind w:left="1960" w:hanging="656"/>
        <w:spacing w:after="0" w:line="249" w:lineRule="auto"/>
        <w:tabs>
          <w:tab w:leader="none" w:pos="199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file and prove a claim for the whole amount of principal and premium (if any), or such portion of the principal amount of any series of Original Issue Discount Securities or Indexed Securities as may be specified in the terms of such series, and interest (if any) owing and unpaid in respect of the Securities and to file such other papers or documents as may be necessary or advisable in order to have the claims of such Trustee (including any claim for the reasonable compensation, expenses, disbursements and advances of such Trustee, its agents and counsel) and of the Holders allowed in such judicial proceeding, and</w:t>
      </w:r>
    </w:p>
    <w:p>
      <w:pPr>
        <w:spacing w:after="0" w:line="170" w:lineRule="exact"/>
        <w:rPr>
          <w:rFonts w:ascii="Times New Roman" w:cs="Times New Roman" w:eastAsia="Times New Roman" w:hAnsi="Times New Roman"/>
          <w:sz w:val="21"/>
          <w:szCs w:val="21"/>
          <w:color w:val="auto"/>
        </w:rPr>
      </w:pPr>
    </w:p>
    <w:p>
      <w:pPr>
        <w:ind w:left="1960" w:hanging="656"/>
        <w:spacing w:after="0" w:line="258" w:lineRule="auto"/>
        <w:tabs>
          <w:tab w:leader="none" w:pos="20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moneys or other property payable or deliverable on any such claims and to distribute the same;</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judicial proceeding is hereby authorized by each Holder to make such payments to such Trustee and, in the event that such Trustee shall consent to the making of such payments directly to the Holders, to pay to such Trustee any amount due to it for the reasonable compensation, expenses, disbursements and advances of each Trustee, its agents and counsel, and any other amounts due to such Trustee under Section 6.07.</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0" w:name="page121"/>
    <w:bookmarkEnd w:id="120"/>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Nothing herein contained shall be deemed to authorize the Trustees to authorize or consent to or accept or adopt on behalf of any Holder any plan of reorganization, arrangement, adjustment or composition affecting the Securities or the rights of any Holder thereof or to authorize the Trustees to vote in respect of the claim of any Holder in any such proceeding.</w:t>
      </w:r>
    </w:p>
    <w:p>
      <w:pPr>
        <w:spacing w:after="0" w:line="17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5.05</w:t>
      </w:r>
      <w:r>
        <w:rPr>
          <w:sz w:val="20"/>
          <w:szCs w:val="20"/>
          <w:color w:val="auto"/>
        </w:rPr>
        <w:tab/>
      </w:r>
      <w:r>
        <w:rPr>
          <w:rFonts w:ascii="Times New Roman" w:cs="Times New Roman" w:eastAsia="Times New Roman" w:hAnsi="Times New Roman"/>
          <w:sz w:val="21"/>
          <w:szCs w:val="21"/>
          <w:b w:val="1"/>
          <w:bCs w:val="1"/>
          <w:color w:val="auto"/>
        </w:rPr>
        <w:t>Trustees May Enforce Claims Without Possession of Securities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All rights of action and claims under this Indenture, the Securities may be prosecuted and enforced by the Trustees without the possession of any of the Securities or the production thereof in any proceeding relating thereto, and any such proceeding instituted by either Trustee shall be brought in its own name as trustee of an express trust, and any recovery of judgment shall, after provision for the payment of the reasonable compensation, expenses, disbursements and advances of such Trustee, its agents and counsel, be for the ratable benefit of the Holders of the Securities in respect of which such judgment has been recovered.</w:t>
      </w:r>
    </w:p>
    <w:p>
      <w:pPr>
        <w:spacing w:after="0" w:line="17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5.06</w:t>
      </w:r>
      <w:r>
        <w:rPr>
          <w:sz w:val="20"/>
          <w:szCs w:val="20"/>
          <w:color w:val="auto"/>
        </w:rPr>
        <w:tab/>
      </w:r>
      <w:r>
        <w:rPr>
          <w:rFonts w:ascii="Times New Roman" w:cs="Times New Roman" w:eastAsia="Times New Roman" w:hAnsi="Times New Roman"/>
          <w:sz w:val="21"/>
          <w:szCs w:val="21"/>
          <w:b w:val="1"/>
          <w:bCs w:val="1"/>
          <w:color w:val="auto"/>
        </w:rPr>
        <w:t>Application of Money Collected</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Any money collected by either Trustee pursuant to this Article Five shall be applied in the following order, at the date or dates fixed by the Trustees and, in case of the distribution of such money on account of principal of, premium (if any) or interest (if any) upon presentation of the Securities, and the notation thereon of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First: to the payment of all amounts due the Trustees under Section 6.07;</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Second: to the payment of the amounts then due and unpaid for principal of, premium (if any) and interest (if any), on the Securities in respect of which or for the benefit of which such money has been collected, ratably, without preference or priority of any kind, according to the amounts due and payable on such Securities for principal, premium (if any) and interest (if any),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Third: the balance, if any, to the Person or Persons entitled thereto.</w:t>
      </w:r>
    </w:p>
    <w:p>
      <w:pPr>
        <w:spacing w:after="0" w:line="20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5.07</w:t>
      </w:r>
      <w:r>
        <w:rPr>
          <w:sz w:val="20"/>
          <w:szCs w:val="20"/>
          <w:color w:val="auto"/>
        </w:rPr>
        <w:tab/>
      </w:r>
      <w:r>
        <w:rPr>
          <w:rFonts w:ascii="Times New Roman" w:cs="Times New Roman" w:eastAsia="Times New Roman" w:hAnsi="Times New Roman"/>
          <w:sz w:val="21"/>
          <w:szCs w:val="21"/>
          <w:b w:val="1"/>
          <w:bCs w:val="1"/>
          <w:color w:val="auto"/>
        </w:rPr>
        <w:t>Limitation on Suits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No Holder of any Security of any series shall have any right to institute any proceeding, judicial or otherwise, with respect to this Indenture or the Securities, or for the appointment of a receiver or trustee, or for any other remedy hereunder, unless</w:t>
      </w:r>
    </w:p>
    <w:p>
      <w:pPr>
        <w:spacing w:after="0" w:line="135" w:lineRule="exact"/>
        <w:rPr>
          <w:sz w:val="20"/>
          <w:szCs w:val="20"/>
          <w:color w:val="auto"/>
        </w:rPr>
      </w:pPr>
    </w:p>
    <w:p>
      <w:pPr>
        <w:ind w:left="1300" w:hanging="644"/>
        <w:spacing w:after="0" w:line="258" w:lineRule="auto"/>
        <w:tabs>
          <w:tab w:leader="none" w:pos="13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has previously given written notice to the Trustees of a continuing Event of Default with respect to the Securities of that series;</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not less than 25% in principal amount of the Outstanding Securities of that series in the case of any Event of Default described in clause (1), (2), (3), (4) or (7) of Section 5.01, or, in the case of any Event of Default described in clause (5) or (6) of Section 5.01, the Holders of not less than 25% in principal amount of all Outstanding Securities, shall have made written request to the Trustees to institute proceedings in respect of such Event of Default in their own names as Trustees hereunder;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1" w:name="page122"/>
    <w:bookmarkEnd w:id="121"/>
    <w:p>
      <w:pPr>
        <w:ind w:left="1300" w:right="20" w:hanging="644"/>
        <w:spacing w:after="0" w:line="258" w:lineRule="auto"/>
        <w:tabs>
          <w:tab w:leader="none" w:pos="13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or Holders have offered to the Trustees reasonable indemnity against the costs, expenses and liabilities to be incurred in compliance with such request;</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for 60 days after their receipt of such notice, request and offer of indemnity have failed to institute any such proceeding; and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direction inconsistent with such written request has been given to the Trustees during such 60-day period by the Holders of a majority or more in principal amount of the Outstanding Securities of that series in the case of any Event of Default described in clause (1), (2), (3), (4) or (7) of Section 5.01, or in the case of any Event of Default described in clause (5) or (6) of Section 5.01, by the Holders of a majority or more in principal amount of all Outstanding Securities;</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it being understood and intended that no one or more of such Holders shall have any right in any manner whatever by virtue of, or by availing of, any provision of this Indenture to affect, disturb or prejudice the rights of any other Holders of Securities of the same series, in the case of any Event of Default described in clause (1), (2), (3), (4) or (7) of Section 5.01, or of Holders of all Securities in the case of any Event of Default described in clause (5) or (6) of Section 5.01, or to obtain or to seek to obtain priority or preference over any other of such Holders or to enforce any right under this Indenture, except in the manner herein provided and for the equal and ratable benefit of all Holders of Securities of the same series, in the case of any Event of Default described in clause (1), (2), (3), (4) or (7) of Section 5.01, or of Holders of all Securities in the case of any Event of Default described in clause (5) or (6) of Section 5.01.</w:t>
      </w:r>
    </w:p>
    <w:p>
      <w:pPr>
        <w:spacing w:after="0" w:line="17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5.08</w:t>
      </w:r>
      <w:r>
        <w:rPr>
          <w:sz w:val="20"/>
          <w:szCs w:val="20"/>
          <w:color w:val="auto"/>
        </w:rPr>
        <w:tab/>
      </w:r>
      <w:r>
        <w:rPr>
          <w:rFonts w:ascii="Times New Roman" w:cs="Times New Roman" w:eastAsia="Times New Roman" w:hAnsi="Times New Roman"/>
          <w:sz w:val="21"/>
          <w:szCs w:val="21"/>
          <w:b w:val="1"/>
          <w:bCs w:val="1"/>
          <w:color w:val="auto"/>
        </w:rPr>
        <w:t>Unconditional Right of Holders to Receive Principal, Premium and Interest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Notwithstanding any other provision in this Indenture, the Holder of any Security shall have the right, which is absolute and unconditional, to receive payment, as provided herein (including, if applicable, Article Fourteen) and in such Security, of the principal of and premium (if any) and (subject to Section 3.07) interest (if any) on, such Security on the respective Stated Maturities expressed in such Security (or, in the case of redemption, on the Redemption Date or, in the case of repayment at the option of the Holder as contemplated by Article Twelve, on the Repayment Date) and subject to the limitations on a Holder's ability to institute suit contained Section 5.07, to institute suit for the enforcement of any such payment, and such rights shall not be impaired without the consent of such Holder.</w:t>
      </w:r>
    </w:p>
    <w:p>
      <w:pPr>
        <w:spacing w:after="0" w:line="17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5.09</w:t>
      </w:r>
      <w:r>
        <w:rPr>
          <w:sz w:val="20"/>
          <w:szCs w:val="20"/>
          <w:color w:val="auto"/>
        </w:rPr>
        <w:tab/>
      </w:r>
      <w:r>
        <w:rPr>
          <w:rFonts w:ascii="Times New Roman" w:cs="Times New Roman" w:eastAsia="Times New Roman" w:hAnsi="Times New Roman"/>
          <w:sz w:val="21"/>
          <w:szCs w:val="21"/>
          <w:b w:val="1"/>
          <w:bCs w:val="1"/>
          <w:color w:val="auto"/>
        </w:rPr>
        <w:t>Restoration of Rights and Remedies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If either Trustee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Company, the Trustees and the Holders of Securities shall be restored severally and respectively to their former positions hereunder and thereafter all rights and remedies of the Trustees and the Holders shall continue as though no such proceeding had been instituted.</w:t>
      </w:r>
    </w:p>
    <w:p>
      <w:pPr>
        <w:spacing w:after="0" w:line="17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5.10</w:t>
      </w:r>
      <w:r>
        <w:rPr>
          <w:sz w:val="20"/>
          <w:szCs w:val="20"/>
          <w:color w:val="auto"/>
        </w:rPr>
        <w:tab/>
      </w:r>
      <w:r>
        <w:rPr>
          <w:rFonts w:ascii="Times New Roman" w:cs="Times New Roman" w:eastAsia="Times New Roman" w:hAnsi="Times New Roman"/>
          <w:sz w:val="21"/>
          <w:szCs w:val="21"/>
          <w:b w:val="1"/>
          <w:bCs w:val="1"/>
          <w:color w:val="auto"/>
        </w:rPr>
        <w:t>Rights and Remedies Cumulative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Except as otherwise provided with respect to the replacement or payment of mutilated, destroyed, lost or stolen Securities in the last paragraph of Section 3.06, no right or remedy herein conferred upon or reserved to the Trustees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2" w:name="page123"/>
    <w:bookmarkEnd w:id="122"/>
    <w:p>
      <w:pPr>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5.11</w:t>
      </w:r>
      <w:r>
        <w:rPr>
          <w:sz w:val="20"/>
          <w:szCs w:val="20"/>
          <w:color w:val="auto"/>
        </w:rPr>
        <w:tab/>
      </w:r>
      <w:r>
        <w:rPr>
          <w:rFonts w:ascii="Times New Roman" w:cs="Times New Roman" w:eastAsia="Times New Roman" w:hAnsi="Times New Roman"/>
          <w:sz w:val="21"/>
          <w:szCs w:val="21"/>
          <w:b w:val="1"/>
          <w:bCs w:val="1"/>
          <w:color w:val="auto"/>
        </w:rPr>
        <w:t>Delay or Omission Not Waiver</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No delay or omission of the Trustees or of any Holder of any Security to exercise any right or remedy accruing upon any Event of Default shall impair any such right or remedy or constitute a waiver of any such Event of Default or an acquiescence therein. Every right and remedy given by this Article Five or by law to the Trustees or to the Holders may be exercised from time to time, and as often as may be deemed expedient, by the Trustees or by the Holders, as the case may be.</w:t>
      </w:r>
    </w:p>
    <w:p>
      <w:pPr>
        <w:spacing w:after="0" w:line="17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5.12</w:t>
      </w:r>
      <w:r>
        <w:rPr>
          <w:sz w:val="20"/>
          <w:szCs w:val="20"/>
          <w:color w:val="auto"/>
        </w:rPr>
        <w:tab/>
      </w:r>
      <w:r>
        <w:rPr>
          <w:rFonts w:ascii="Times New Roman" w:cs="Times New Roman" w:eastAsia="Times New Roman" w:hAnsi="Times New Roman"/>
          <w:sz w:val="21"/>
          <w:szCs w:val="21"/>
          <w:b w:val="1"/>
          <w:bCs w:val="1"/>
          <w:color w:val="auto"/>
        </w:rPr>
        <w:t>Control by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With respect to the Securities of any series, the Holders of not less than a majority in principal amount of the Outstanding Securities of such series shall have the right to direct the time, method and place of conducting any proceeding for any remedy available to the Trustees, or exercising any trust or power conferred on the Trustees, relating to or arising under clause (1), (2),</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(3), (4) or (7) of Section 5.01, and, with respect to all Securities, the Holders of not less than a majority in principal amount of all Outstanding Securities shall have the right to direct the time, method and place of conducting any proceeding for any remedy available to the Trustees, or exercising any trust or power conferred on the Trustees, not relating to or arising under clause (1),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 (3), (4) or (7) of Section 5.01,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w:t>
      </w:r>
    </w:p>
    <w:p>
      <w:pPr>
        <w:spacing w:after="0" w:line="182" w:lineRule="exact"/>
        <w:rPr>
          <w:sz w:val="20"/>
          <w:szCs w:val="20"/>
          <w:color w:val="auto"/>
        </w:rPr>
      </w:pPr>
    </w:p>
    <w:p>
      <w:pPr>
        <w:ind w:left="1360" w:hanging="704"/>
        <w:spacing w:after="0"/>
        <w:tabs>
          <w:tab w:leader="none" w:pos="13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direction shall not be in conflict with any rule of law or with this Indenture,</w:t>
      </w:r>
    </w:p>
    <w:p>
      <w:pPr>
        <w:spacing w:after="0" w:line="206"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may take any other action deemed proper by the Trustees which is not inconsistent with such direction, and</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need not take any action which might involve them in personal liability or be unjustly prejudicial to the Holders of Securities of such series not consenting.</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5.13</w:t>
      </w:r>
      <w:r>
        <w:rPr>
          <w:sz w:val="20"/>
          <w:szCs w:val="20"/>
          <w:color w:val="auto"/>
        </w:rPr>
        <w:tab/>
      </w:r>
      <w:r>
        <w:rPr>
          <w:rFonts w:ascii="Times New Roman" w:cs="Times New Roman" w:eastAsia="Times New Roman" w:hAnsi="Times New Roman"/>
          <w:sz w:val="21"/>
          <w:szCs w:val="21"/>
          <w:b w:val="1"/>
          <w:bCs w:val="1"/>
          <w:color w:val="auto"/>
        </w:rPr>
        <w:t>Waiver of Past Defaults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Subject to Section 5.02, the Holders of not less than a majority in principal amount of the Outstanding Securities of any series may on behalf of the Holders of all the Securities of such series waive any past Default described in clause (1), (2), (3), (4) or (7) of Section 5.01 (or, in the case of a Default described in clause (5) or (6) of Section 5.01, the Holders of not less than a majority in principal amount of all Outstanding Securities may waive any such past Default), and its consequences, except a default</w:t>
      </w:r>
    </w:p>
    <w:p>
      <w:pPr>
        <w:spacing w:after="0" w:line="177" w:lineRule="exact"/>
        <w:rPr>
          <w:sz w:val="20"/>
          <w:szCs w:val="20"/>
          <w:color w:val="auto"/>
        </w:rPr>
      </w:pPr>
    </w:p>
    <w:p>
      <w:pPr>
        <w:ind w:left="1360" w:hanging="704"/>
        <w:spacing w:after="0"/>
        <w:tabs>
          <w:tab w:leader="none" w:pos="13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the payment of the principal of, premium (if any) or interest (if any) on any Security, or</w:t>
      </w:r>
    </w:p>
    <w:p>
      <w:pPr>
        <w:spacing w:after="0" w:line="206"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 covenant or provision herein which under Article Nine cannot be modified or amended without the consent of the Holder of each outstanding Security of such series affected.</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3" w:name="page124"/>
    <w:bookmarkEnd w:id="123"/>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5.14</w:t>
      </w:r>
      <w:r>
        <w:rPr>
          <w:sz w:val="20"/>
          <w:szCs w:val="20"/>
          <w:color w:val="auto"/>
        </w:rPr>
        <w:tab/>
      </w:r>
      <w:r>
        <w:rPr>
          <w:rFonts w:ascii="Times New Roman" w:cs="Times New Roman" w:eastAsia="Times New Roman" w:hAnsi="Times New Roman"/>
          <w:sz w:val="21"/>
          <w:szCs w:val="21"/>
          <w:b w:val="1"/>
          <w:bCs w:val="1"/>
          <w:color w:val="auto"/>
        </w:rPr>
        <w:t>Waiver of Stay or Extension Laws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Trustees, but will suffer and permit the execution of every such power as though no such law had been enacted.</w:t>
      </w:r>
    </w:p>
    <w:p>
      <w:pPr>
        <w:spacing w:after="0" w:line="17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5.15</w:t>
      </w:r>
      <w:r>
        <w:rPr>
          <w:sz w:val="20"/>
          <w:szCs w:val="20"/>
          <w:color w:val="auto"/>
        </w:rPr>
        <w:tab/>
      </w:r>
      <w:r>
        <w:rPr>
          <w:rFonts w:ascii="Times New Roman" w:cs="Times New Roman" w:eastAsia="Times New Roman" w:hAnsi="Times New Roman"/>
          <w:sz w:val="21"/>
          <w:szCs w:val="21"/>
          <w:b w:val="1"/>
          <w:bCs w:val="1"/>
          <w:color w:val="auto"/>
        </w:rPr>
        <w:t>Undertaking for Costs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In any suit for the enforcement of any right or remedy under this Indenture, or in any suit against either Trustee for any action taken, suffered or omitted by it as Trustee, a court may require any party litigant in such suit to file an undertaking to pay the costs of such suit, and may assess costs against any such party litigant, in the manner and to the extent provided in Trust Indenture Legislation;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neither this Section 5.15 nor the provisions of TIA Section 315(e) shall apply to any suit instituted by either Trustee or by any Holder or group of Holders holding more than 10% in principal amount of all Outstanding Securities or by any Holder of any Security on any suit for the enforcement of the right to receive the principal of and interest on any such Securities.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SIX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TRUSTEES</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6.01</w:t>
      </w:r>
      <w:r>
        <w:rPr>
          <w:sz w:val="20"/>
          <w:szCs w:val="20"/>
          <w:color w:val="auto"/>
        </w:rPr>
        <w:tab/>
      </w:r>
      <w:r>
        <w:rPr>
          <w:rFonts w:ascii="Times New Roman" w:cs="Times New Roman" w:eastAsia="Times New Roman" w:hAnsi="Times New Roman"/>
          <w:sz w:val="21"/>
          <w:szCs w:val="21"/>
          <w:b w:val="1"/>
          <w:bCs w:val="1"/>
          <w:color w:val="auto"/>
        </w:rPr>
        <w:t>Notice of Defaults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Each Trustee shall promptly give the other Trustee notice of any Default or Event of Default known to it. Within a reasonable time, but no more than 30 days after either Trustee has knowledge of any Default hereunder with respect to the Securities of any series, one or both of the Trustees shall transmit in the manner and to the extent provided in Trust Indenture Legislation, including TIA Section 313(c), notice to the Holders of such Default hereunder known to either Trustee, unless such Default shall have been cured or waived (and, in the case where such Default shall have been cured, the Trustees shall notify the Holders in writing of such cure in writing within a reasonable time, but not exceeding 30 days, after the Trustees have become aware that the Default has been cured);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except in the case of a Default in the payment of the principal of, premium (if any) or interest (if any) on any Security of such series or in the payment of any sinking fund installment with respect to Securities of such series, the Trustees shall be protected in withholding such notice if and so long as the board of directors, the executive committee or a trust committee of directors and/or Responsible Officers of each Trustee in good faith determine that the withholding of such notice is in the interest of the Holders of Securities of such series;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in the case of any Default of the character specified in clause (4) of Section 5.01 with respect to Securities of such series, no such notice to Holders shall be given until at least 30 days after the occurrence thereof.</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6.02</w:t>
      </w:r>
      <w:r>
        <w:rPr>
          <w:sz w:val="20"/>
          <w:szCs w:val="20"/>
          <w:color w:val="auto"/>
        </w:rPr>
        <w:tab/>
      </w:r>
      <w:r>
        <w:rPr>
          <w:rFonts w:ascii="Times New Roman" w:cs="Times New Roman" w:eastAsia="Times New Roman" w:hAnsi="Times New Roman"/>
          <w:sz w:val="21"/>
          <w:szCs w:val="21"/>
          <w:b w:val="1"/>
          <w:bCs w:val="1"/>
          <w:color w:val="auto"/>
        </w:rPr>
        <w:t>Certain Duties and Responsibilities of Trustees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44" w:lineRule="auto"/>
        <w:tabs>
          <w:tab w:leader="none" w:pos="131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prior to the occurrence of an Event of Default and after the curing of all Events of Default that may have occurred, shall undertake to perform with respect to the Securities of any series such duties and only such duties as are specifically set forth in this Indenture, and no implied covenants shall be read into this Indenture against the Trustees.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4" w:name="page125"/>
    <w:bookmarkEnd w:id="124"/>
    <w:p>
      <w:pPr>
        <w:jc w:val="both"/>
        <w:ind w:firstLine="656"/>
        <w:spacing w:after="0"/>
        <w:tabs>
          <w:tab w:leader="none" w:pos="131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instances, in the exercise of the powers, rights, duties and discharge of obligations prescribed or conferred by the terms of this Indenture, each Trustee shall act honestly and in good faith with a view to the best interests of the Holders and exercise that degree of care, diligence and skill that a reasonably prudent trustee in respect of indentures for the purpose of issuing corporate debt obligations would exercise in comparable circumstances.</w:t>
      </w:r>
    </w:p>
    <w:p>
      <w:pPr>
        <w:spacing w:after="0" w:line="176" w:lineRule="exact"/>
        <w:rPr>
          <w:rFonts w:ascii="Times New Roman" w:cs="Times New Roman" w:eastAsia="Times New Roman" w:hAnsi="Times New Roman"/>
          <w:sz w:val="22"/>
          <w:szCs w:val="22"/>
          <w:color w:val="auto"/>
        </w:rPr>
      </w:pPr>
    </w:p>
    <w:p>
      <w:pPr>
        <w:ind w:firstLine="656"/>
        <w:spacing w:after="0" w:line="258" w:lineRule="auto"/>
        <w:tabs>
          <w:tab w:leader="none" w:pos="130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shall be construed to relieve each Trustee from liability for its own actions or failure to act in accordance with Subsection 6.02(b), except that:</w:t>
      </w:r>
    </w:p>
    <w:p>
      <w:pPr>
        <w:spacing w:after="0" w:line="158" w:lineRule="exact"/>
        <w:rPr>
          <w:rFonts w:ascii="Times New Roman" w:cs="Times New Roman" w:eastAsia="Times New Roman" w:hAnsi="Times New Roman"/>
          <w:sz w:val="22"/>
          <w:szCs w:val="22"/>
          <w:color w:val="auto"/>
        </w:rPr>
      </w:pPr>
    </w:p>
    <w:p>
      <w:pPr>
        <w:ind w:left="1960" w:hanging="656"/>
        <w:spacing w:after="0" w:line="258" w:lineRule="auto"/>
        <w:tabs>
          <w:tab w:leader="none" w:pos="197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an Event of Default and after the curing or waiving of all such Events of Default that may have occurred:</w:t>
      </w:r>
    </w:p>
    <w:p>
      <w:pPr>
        <w:spacing w:after="0" w:line="158" w:lineRule="exact"/>
        <w:rPr>
          <w:rFonts w:ascii="Times New Roman" w:cs="Times New Roman" w:eastAsia="Times New Roman" w:hAnsi="Times New Roman"/>
          <w:sz w:val="22"/>
          <w:szCs w:val="22"/>
          <w:color w:val="auto"/>
        </w:rPr>
      </w:pPr>
    </w:p>
    <w:p>
      <w:pPr>
        <w:jc w:val="both"/>
        <w:ind w:left="2600" w:hanging="648"/>
        <w:spacing w:after="0" w:line="238" w:lineRule="auto"/>
        <w:tabs>
          <w:tab w:leader="none" w:pos="2654"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and obligations of each Trustee with respect to the Securities of any series shall be determined solely by the express provisions of this Indenture, and the Trustees shall not be liable except for the performance of such duties and obligations as are specifically set forth in this Indenture, and no implied covenants or obligations shall be read into this Indenture against the Trustees; and</w:t>
      </w:r>
    </w:p>
    <w:p>
      <w:pPr>
        <w:spacing w:after="0" w:line="176" w:lineRule="exact"/>
        <w:rPr>
          <w:rFonts w:ascii="Times New Roman" w:cs="Times New Roman" w:eastAsia="Times New Roman" w:hAnsi="Times New Roman"/>
          <w:sz w:val="22"/>
          <w:szCs w:val="22"/>
          <w:color w:val="auto"/>
        </w:rPr>
      </w:pPr>
    </w:p>
    <w:p>
      <w:pPr>
        <w:jc w:val="both"/>
        <w:ind w:left="2600" w:hanging="648"/>
        <w:spacing w:after="0" w:line="234" w:lineRule="auto"/>
        <w:tabs>
          <w:tab w:leader="none" w:pos="2654"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absence of bad faith on the part of either Trustee, such Trustee may conclusively rely, as to the truth of the statements and the correctness of the opinions expressed therein, upon any certificates or opinions furnished to the Trustees and conforming to the requirements of this Indenture and Trust Indenture Legislation; but in the case of any such certificates or opinions that by any provision hereof are specifically required to be furnished to the Trustees, the Trustees shall be under a duty to examine the same to determine whether or not they conform to the requirements of this Indenture;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Canadian Trustee shall not be required to determine whether the certificates or opinions presented to it conform to the Trust Indenture Act and the U.S. Trustee shall not be required to determine whether the certificates or opinions presented to it conform to Canadian Trust Indenture Legislation.</w:t>
      </w:r>
    </w:p>
    <w:p>
      <w:pPr>
        <w:spacing w:after="0" w:line="179" w:lineRule="exact"/>
        <w:rPr>
          <w:rFonts w:ascii="Times New Roman" w:cs="Times New Roman" w:eastAsia="Times New Roman" w:hAnsi="Times New Roman"/>
          <w:sz w:val="22"/>
          <w:szCs w:val="22"/>
          <w:color w:val="auto"/>
        </w:rPr>
      </w:pPr>
    </w:p>
    <w:p>
      <w:pPr>
        <w:jc w:val="both"/>
        <w:ind w:left="1960" w:hanging="656"/>
        <w:spacing w:after="0" w:line="238" w:lineRule="auto"/>
        <w:tabs>
          <w:tab w:leader="none" w:pos="200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shall not be liable with respect to any action taken or omitted to be taken by them in good faith in accordance with the direction of the Holders of not less than a majority in principal amount of the Securities of any series at the time Outstanding relating to the time, method and place of conducting any proceeding for any remedy available to the Trustees, or exercising any trust or power conferred upon the Trustees under this Indenture;</w:t>
      </w:r>
    </w:p>
    <w:p>
      <w:pPr>
        <w:spacing w:after="0" w:line="176" w:lineRule="exact"/>
        <w:rPr>
          <w:rFonts w:ascii="Times New Roman" w:cs="Times New Roman" w:eastAsia="Times New Roman" w:hAnsi="Times New Roman"/>
          <w:sz w:val="22"/>
          <w:szCs w:val="22"/>
          <w:color w:val="auto"/>
        </w:rPr>
      </w:pPr>
    </w:p>
    <w:p>
      <w:pPr>
        <w:jc w:val="both"/>
        <w:ind w:left="1960" w:hanging="656"/>
        <w:spacing w:after="0" w:line="244" w:lineRule="auto"/>
        <w:tabs>
          <w:tab w:leader="none" w:pos="201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provisions contained in this Indenture shall require either Trustee to expend or risk their own funds or otherwise incur personal or any financial liability in the performance of any of their duties or in the exercise of any of their rights or powers; and</w:t>
      </w:r>
    </w:p>
    <w:p>
      <w:pPr>
        <w:spacing w:after="0" w:line="173" w:lineRule="exact"/>
        <w:rPr>
          <w:rFonts w:ascii="Times New Roman" w:cs="Times New Roman" w:eastAsia="Times New Roman" w:hAnsi="Times New Roman"/>
          <w:sz w:val="22"/>
          <w:szCs w:val="22"/>
          <w:color w:val="auto"/>
        </w:rPr>
      </w:pPr>
    </w:p>
    <w:p>
      <w:pPr>
        <w:jc w:val="both"/>
        <w:ind w:left="1960" w:hanging="656"/>
        <w:spacing w:after="0" w:line="244" w:lineRule="auto"/>
        <w:tabs>
          <w:tab w:leader="none" w:pos="201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therein expressly so provided, except to the extent expressly provided herein to the contrary, every provision of this Indenture relating to the conduct or effecting the liability or affording protection to the Trustees shall be subject to the provisions of this Section 6.02.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5" w:name="page126"/>
    <w:bookmarkEnd w:id="125"/>
    <w:p>
      <w:pPr>
        <w:jc w:val="both"/>
        <w:ind w:firstLine="656"/>
        <w:spacing w:after="0"/>
        <w:tabs>
          <w:tab w:leader="none" w:pos="131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this Section 6.02 or any provision in this Indenture or in the Securities, the Trustees will not be charged with knowledge of the existence of any Event of Default or any other fact that would prohibit the making of any payment of monies to or by the Trustees, or the taking of any other action by the Trustees, unless and until the Trustees have received written notice thereof from the Company or any Holder.</w:t>
      </w:r>
    </w:p>
    <w:p>
      <w:pPr>
        <w:spacing w:after="0" w:line="17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6.03</w:t>
      </w:r>
      <w:r>
        <w:rPr>
          <w:sz w:val="20"/>
          <w:szCs w:val="20"/>
          <w:color w:val="auto"/>
        </w:rPr>
        <w:tab/>
      </w:r>
      <w:r>
        <w:rPr>
          <w:rFonts w:ascii="Times New Roman" w:cs="Times New Roman" w:eastAsia="Times New Roman" w:hAnsi="Times New Roman"/>
          <w:sz w:val="21"/>
          <w:szCs w:val="21"/>
          <w:b w:val="1"/>
          <w:bCs w:val="1"/>
          <w:color w:val="auto"/>
        </w:rPr>
        <w:t>Certain Rights of Trustees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Subject to the provisions of TIA Sections 315(a) through 315(d):</w:t>
      </w:r>
    </w:p>
    <w:p>
      <w:pPr>
        <w:spacing w:after="0" w:line="206" w:lineRule="exact"/>
        <w:rPr>
          <w:sz w:val="20"/>
          <w:szCs w:val="20"/>
          <w:color w:val="auto"/>
        </w:rPr>
      </w:pPr>
    </w:p>
    <w:p>
      <w:pPr>
        <w:jc w:val="both"/>
        <w:ind w:left="1300" w:hanging="644"/>
        <w:spacing w:after="0" w:line="239" w:lineRule="auto"/>
        <w:tabs>
          <w:tab w:leader="none" w:pos="13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may rely and shall be protected in acting or refraining from acting upon any resolution, certificate, statement, instrument, opinion, report, notice, request, direction, consent, order, bond, debenture, note, other evidence of indebtedness or other paper or document believed by them to be genuine and to have been signed or presented by the proper party or parties;</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the administration of this Indenture the Trustees shall deem it desirable that a matter be proved or established prior to taking, suffering or omitting any action hereunder, each Trustee (unless other evidence be herein specifically prescribed) may, in the absence of bad faith on its part, rely upon an Officer's Certificate;</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may consult with counsel and the written advice of such counsel or any opinion of Counsel shall be full and complete authorization and protection in respect of any action taken, suffered or omitted by them hereunder in good faith and in reliance thereon;</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shall be under no obligation to exercise any of the rights or powers vested in it by this Indenture at the request or direction of any of the Holders of Securities of any series pursuant to this Indenture, unless such Holders shall have offered to the Trustees reasonable security or indemnity against the costs, expenses and liabilities which might be incurred by them in compliance with such request or direction;</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shall not be bound to make any investigation into the facts or matters stated in any resolution, certificate, statement, instrument, opinion, report, notice, request, direction, consent, order, bond, debenture, note, other evidence of indebtedness or other paper or document, but the Trustees, in their discretion, may make such further inquiry or investigation into such facts or matters as they may see fit, and, if the Trustees shall determine to make such further inquiry or investigation, they shall be entitled to examine the books, records and premises of the Company, personally or by agent or attorney;</w:t>
      </w:r>
    </w:p>
    <w:p>
      <w:pPr>
        <w:spacing w:after="0" w:line="181"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 Event of Default, the Trustees' powers shall not be infringed upon so long as they act in accordance with Section 6.02(b);</w:t>
      </w:r>
    </w:p>
    <w:p>
      <w:pPr>
        <w:spacing w:after="0" w:line="158"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with due care by them hereunder;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6" w:name="page127"/>
    <w:bookmarkEnd w:id="126"/>
    <w:p>
      <w:pPr>
        <w:jc w:val="both"/>
        <w:ind w:left="1300" w:hanging="644"/>
        <w:spacing w:after="0" w:line="244" w:lineRule="auto"/>
        <w:tabs>
          <w:tab w:leader="none" w:pos="13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shall not be liable for any action taken, suffered or omitted by them in good faith and believed by them to be authorized or within the discretion or rights or powers conferred upon them by this Indenture, so long as they act in accordance with this Section 6.02(b).</w:t>
      </w:r>
    </w:p>
    <w:p>
      <w:pPr>
        <w:spacing w:after="0" w:line="17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6.04</w:t>
      </w:r>
      <w:r>
        <w:rPr>
          <w:sz w:val="20"/>
          <w:szCs w:val="20"/>
          <w:color w:val="auto"/>
        </w:rPr>
        <w:tab/>
      </w:r>
      <w:r>
        <w:rPr>
          <w:rFonts w:ascii="Times New Roman" w:cs="Times New Roman" w:eastAsia="Times New Roman" w:hAnsi="Times New Roman"/>
          <w:sz w:val="21"/>
          <w:szCs w:val="21"/>
          <w:b w:val="1"/>
          <w:bCs w:val="1"/>
          <w:color w:val="auto"/>
        </w:rPr>
        <w:t>Trustees Not Responsible for Recitals or Issuance of Securities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recitals contained herein and in the Securities, except for a Trustee's certificate of authentication, shall be taken as the statements of the Company, and neither Trustee nor any Authenticating Agent assumes any responsibility for their correctness. The Trustees make no representations as to the validity or sufficiency of this Indenture or of the Securities, except that the Trustees represent that they are duly authorized to execute and deliver this Indenture, authenticate the Securities and perform their obligations hereunder and that the statements made by the U.S. Trustee in a Statement of Eligibility on Form T-1 supplied to the Company are true and accurate, subject to the qualifications set forth therein. Neither Trustee nor any Authenticating Agent shall be accountable for the use or application by the Company of Securities or the proceeds thereof. Nothing herein contained will impose on either Trustee any obligation to see to, or to require evidence of, the registration or filing (or renewal thereof) of this Indenture or any supplemental indenture. The Trustees shall not be bound to give notice to any person of the execution hereof.</w:t>
      </w:r>
    </w:p>
    <w:p>
      <w:pPr>
        <w:spacing w:after="0" w:line="17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6.05</w:t>
      </w:r>
      <w:r>
        <w:rPr>
          <w:sz w:val="20"/>
          <w:szCs w:val="20"/>
          <w:color w:val="auto"/>
        </w:rPr>
        <w:tab/>
      </w:r>
      <w:r>
        <w:rPr>
          <w:rFonts w:ascii="Times New Roman" w:cs="Times New Roman" w:eastAsia="Times New Roman" w:hAnsi="Times New Roman"/>
          <w:sz w:val="21"/>
          <w:szCs w:val="21"/>
          <w:b w:val="1"/>
          <w:bCs w:val="1"/>
          <w:color w:val="auto"/>
        </w:rPr>
        <w:t>May Hold Securities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The Trustees, any Authenticating Agent, any Paying Agent, any Security Registrar or any other agent of the Company or of the Trustees, in their individual or any other capacity, may become the owner or pledgee of Securities and, subject to TIA Sections 310(b) and 311, may otherwise deal with the Company, including, without limitation, as a creditor of the Company, with the same rights they would have if they were not Trustees, Authenticating Agent, Paying Agent, Security Registrar or such other agent. A Trustee that has resigned or is removed shall remain subject to TIA Section 311(a) to the extent provided therein.</w:t>
      </w:r>
    </w:p>
    <w:p>
      <w:pPr>
        <w:spacing w:after="0" w:line="16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6.06</w:t>
      </w:r>
      <w:r>
        <w:rPr>
          <w:sz w:val="20"/>
          <w:szCs w:val="20"/>
          <w:color w:val="auto"/>
        </w:rPr>
        <w:tab/>
      </w:r>
      <w:r>
        <w:rPr>
          <w:rFonts w:ascii="Times New Roman" w:cs="Times New Roman" w:eastAsia="Times New Roman" w:hAnsi="Times New Roman"/>
          <w:sz w:val="21"/>
          <w:szCs w:val="21"/>
          <w:b w:val="1"/>
          <w:bCs w:val="1"/>
          <w:color w:val="auto"/>
        </w:rPr>
        <w:t>Money Held in Trust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Money held by the Trustees in trust hereunder need not be segregated from other funds except to the extent required by law. The Trustees shall be under no liability for interest on any money received by them hereunder except as otherwise agreed with the Company.</w:t>
      </w:r>
    </w:p>
    <w:p>
      <w:pPr>
        <w:spacing w:after="0" w:line="16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6.07</w:t>
      </w:r>
      <w:r>
        <w:rPr>
          <w:sz w:val="20"/>
          <w:szCs w:val="20"/>
          <w:color w:val="auto"/>
        </w:rPr>
        <w:tab/>
      </w:r>
      <w:r>
        <w:rPr>
          <w:rFonts w:ascii="Times New Roman" w:cs="Times New Roman" w:eastAsia="Times New Roman" w:hAnsi="Times New Roman"/>
          <w:sz w:val="21"/>
          <w:szCs w:val="21"/>
          <w:b w:val="1"/>
          <w:bCs w:val="1"/>
          <w:color w:val="auto"/>
        </w:rPr>
        <w:t>Compensation and Reimbursement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agrees:</w:t>
      </w:r>
    </w:p>
    <w:p>
      <w:pPr>
        <w:spacing w:after="0" w:line="206" w:lineRule="exact"/>
        <w:rPr>
          <w:sz w:val="20"/>
          <w:szCs w:val="20"/>
          <w:color w:val="auto"/>
        </w:rPr>
      </w:pPr>
    </w:p>
    <w:p>
      <w:pPr>
        <w:jc w:val="both"/>
        <w:ind w:left="1300" w:hanging="644"/>
        <w:spacing w:after="0" w:line="244" w:lineRule="auto"/>
        <w:tabs>
          <w:tab w:leader="none" w:pos="134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to the Trustees from time to time reasonable compensation for all services rendered by them hereunder (which compensation shall not be limited by any provision of law in regard to the compensation of a trustee of an express trust);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4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to reimburse the Trustees upon their request for all reasonable expenses, disbursements and advances incurred or made by the Trustees in accordance with any provision of this Indenture (including the reasonable compensation and the expenses and disbursements of their agents and counsel), except any such expense, disbursement or advance as may be attributable to the U.S. Trustee's gross negligence or bad faith or the Canadian Trustee's gross negligence or willful misconduct, respectively;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7" w:name="page128"/>
    <w:bookmarkEnd w:id="127"/>
    <w:p>
      <w:pPr>
        <w:jc w:val="both"/>
        <w:ind w:left="1300" w:hanging="644"/>
        <w:spacing w:after="0" w:line="249" w:lineRule="auto"/>
        <w:tabs>
          <w:tab w:leader="none" w:pos="134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indemnify the Trustees for, and to hold them and their directors, officers, agents, representatives, successors, assigns and employees harmless against, any loss, liability or expense incurred without gross negligence or bad faith on the part of the U.S. Trustee, or gross negligence or willful misconduct on the part of the Canadian Trustee, respectively, arising out of or in connection with the acceptance or administration of the trust or trusts hereunder, including reasonable attorneys' fees and other reasonable costs and expenses of defending themselves against any claim or liability in connection with the exercise or performance of any of their powers or duties hereunder.</w:t>
      </w:r>
    </w:p>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obligations of the Company under this Section 6.07 to compensate the Trustees, to pay or reimburse the Trustees for expenses, disbursements and advances and to indemnify and hold harmless the Trustees shall constitute additional indebtedness hereunder and shall survive the satisfaction and discharge of this Indenture and the resignation or removal of the Trustee. As security for the performance of such obligations of the Company, the Trustees shall have a claim prior to the Securities upon all property and funds held or collected by the Trustees as such, except funds held in trust for the payment of principal of, premium (if any) or interest (if any) on particular Securities.</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When the Trustees incur expenses or render services in connection with an Event of Default specified in clause (5) or (6) of Section 5.01, the expenses (including reasonable charges and expense of its counsel) of and the compensation for such services are intended to constitute expenses of administration under any applicable United States or Canadian federal, state or provincial bankruptcy, insolvency or other similar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provisions of this Section 6.07 shall survive the termination of this Indenture.</w:t>
      </w:r>
    </w:p>
    <w:p>
      <w:pPr>
        <w:spacing w:after="0" w:line="20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6.08</w:t>
      </w:r>
      <w:r>
        <w:rPr>
          <w:sz w:val="20"/>
          <w:szCs w:val="20"/>
          <w:color w:val="auto"/>
        </w:rPr>
        <w:tab/>
      </w:r>
      <w:r>
        <w:rPr>
          <w:rFonts w:ascii="Times New Roman" w:cs="Times New Roman" w:eastAsia="Times New Roman" w:hAnsi="Times New Roman"/>
          <w:sz w:val="21"/>
          <w:szCs w:val="21"/>
          <w:b w:val="1"/>
          <w:bCs w:val="1"/>
          <w:color w:val="auto"/>
        </w:rPr>
        <w:t>Corporate Trustees Required; Eligibility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300" w:hanging="644"/>
        <w:spacing w:after="0" w:line="235" w:lineRule="auto"/>
        <w:tabs>
          <w:tab w:leader="none" w:pos="134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at all times a U.S. Trustee hereunder which shall be eligible to act as Trustee under TIA Section 310(a)(1) and, together with its immediate parent, shall have a combined capital and surplus of at least $50,000,000. If the U.S. Trustee publishes reports of condition at least annually, pursuant to law or to the requirements of United States federal, state, territorial or District of Columbia supervising or examining authority, then for the purposes of this Section 6.08, the combined capital and surplus of U.S. Trustee shall be deemed to be its combined capital and surplus as set forth in its most recent report of condition so published. If at any time the U.S. Trustee shall cease to be eligible in accordance with the provisions of this Section 6.08, it shall resign immediately in the manner and with the effect hereinafter specified in this Article Six.</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4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required by Trust Indenture Legislation, there shall be a Canadian Trustee under this Indenture. The Canadian Trustee shall at all times be a resident or authorized to do business in the Province of Ontario and any other province in Canada where Holders may be resident from time to time. The Canadian Trustee represents and warrants that no material conflict of interest exists in the Canadian Trustee's role as a fiduciary hereunder and agrees that in the event of a material conflict of interest arising hereafter it will, within 30 days after ascertaining that it has such material conflict of interest, either eliminate the same or resign its trust hereunder. If any such material conflict of interests exists or hereafter shall exist, the validity and enforceability of this Indenture shall not be affected in any manner whatsoever by reason thereof.</w:t>
      </w:r>
    </w:p>
    <w:p>
      <w:pPr>
        <w:spacing w:after="0" w:line="178"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will not be required to give any bond or security in respect of the execution of the trusts and powers set out in this Indenture or otherwise in respect of the premises.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8" w:name="page129"/>
    <w:bookmarkEnd w:id="128"/>
    <w:p>
      <w:pPr>
        <w:ind w:left="1300" w:hanging="644"/>
        <w:spacing w:after="0" w:line="258" w:lineRule="auto"/>
        <w:tabs>
          <w:tab w:leader="none" w:pos="134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Trustee nor any Affiliate of either Trustee shall be appointed a receiver or receiver and manager or liquidator of all or any part of the assets or undertaking of the Company.</w:t>
      </w:r>
    </w:p>
    <w:p>
      <w:pPr>
        <w:spacing w:after="0" w:line="15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6.09</w:t>
      </w:r>
      <w:r>
        <w:rPr>
          <w:sz w:val="20"/>
          <w:szCs w:val="20"/>
          <w:color w:val="auto"/>
        </w:rPr>
        <w:tab/>
      </w:r>
      <w:r>
        <w:rPr>
          <w:rFonts w:ascii="Times New Roman" w:cs="Times New Roman" w:eastAsia="Times New Roman" w:hAnsi="Times New Roman"/>
          <w:sz w:val="21"/>
          <w:szCs w:val="21"/>
          <w:b w:val="1"/>
          <w:bCs w:val="1"/>
          <w:color w:val="auto"/>
        </w:rPr>
        <w:t>Resignation and Removal; Appointment of Successor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300" w:hanging="644"/>
        <w:spacing w:after="0" w:line="244" w:lineRule="auto"/>
        <w:tabs>
          <w:tab w:leader="none" w:pos="134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resignation or removal of either Trustee and no appointment of a successor Trustee pursuant to this Article Six shall become effective until the acceptance of appointment by the successor Trustee in accordance with the applicable requirements of Section 6.10.</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4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Trustee may resign at any time with respect to the Securities of one or more series by giving written notice thereof to the Company. If the instrument of acceptance by a successor Trustee required by Section 6.10 shall not have been delivered to such Trustee within 30 days after the giving of such notice of resignation, the resigning Trustee may petition any court of competent jurisdiction for the appointment of a successor Trustee with respect to the Securities of such series.</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Trustee may be removed following 30 days notice at any time with respect to the Securities of any series by Act of the Holders of not less than a majority in principal amount of the Outstanding Securities of such series, delivered to such Trustee and to the Company.</w:t>
      </w:r>
    </w:p>
    <w:p>
      <w:pPr>
        <w:spacing w:after="0" w:line="173"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w:t>
      </w:r>
    </w:p>
    <w:p>
      <w:pPr>
        <w:spacing w:after="0" w:line="206" w:lineRule="exact"/>
        <w:rPr>
          <w:rFonts w:ascii="Times New Roman" w:cs="Times New Roman" w:eastAsia="Times New Roman" w:hAnsi="Times New Roman"/>
          <w:sz w:val="22"/>
          <w:szCs w:val="22"/>
          <w:color w:val="auto"/>
        </w:rPr>
      </w:pPr>
    </w:p>
    <w:p>
      <w:pPr>
        <w:ind w:left="1960" w:right="20" w:hanging="656"/>
        <w:spacing w:after="0" w:line="258" w:lineRule="auto"/>
        <w:tabs>
          <w:tab w:leader="none" w:pos="1995"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Trustee shall acquire any conflicting interest as defined in TIA Section 310(b) and fail to comply with the provisions of TIA Section 310(b)(i), or</w:t>
      </w:r>
    </w:p>
    <w:p>
      <w:pPr>
        <w:spacing w:after="0" w:line="158" w:lineRule="exact"/>
        <w:rPr>
          <w:rFonts w:ascii="Times New Roman" w:cs="Times New Roman" w:eastAsia="Times New Roman" w:hAnsi="Times New Roman"/>
          <w:sz w:val="22"/>
          <w:szCs w:val="22"/>
          <w:color w:val="auto"/>
        </w:rPr>
      </w:pPr>
    </w:p>
    <w:p>
      <w:pPr>
        <w:jc w:val="both"/>
        <w:ind w:left="1960" w:right="20" w:hanging="656"/>
        <w:spacing w:after="0" w:line="282" w:lineRule="auto"/>
        <w:tabs>
          <w:tab w:leader="none" w:pos="2009"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Trustee shall fail to comply with the provisions of TIA Section 310(b) after written request therefor by the Company or by any Holder who has been a bona fide Holder of a Security for at least six months, or</w:t>
      </w:r>
    </w:p>
    <w:p>
      <w:pPr>
        <w:spacing w:after="0" w:line="134" w:lineRule="exact"/>
        <w:rPr>
          <w:rFonts w:ascii="Times New Roman" w:cs="Times New Roman" w:eastAsia="Times New Roman" w:hAnsi="Times New Roman"/>
          <w:sz w:val="21"/>
          <w:szCs w:val="21"/>
          <w:color w:val="auto"/>
        </w:rPr>
      </w:pPr>
    </w:p>
    <w:p>
      <w:pPr>
        <w:jc w:val="both"/>
        <w:ind w:left="1960" w:hanging="656"/>
        <w:spacing w:after="0" w:line="244" w:lineRule="auto"/>
        <w:tabs>
          <w:tab w:leader="none" w:pos="201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Trustee shall cease to be eligible under Section 6.08 and shall fail to resign after written request therefor by the Company or by any Holder who has been a bona fide Holder of a Security for at least six months, or</w:t>
      </w:r>
    </w:p>
    <w:p>
      <w:pPr>
        <w:spacing w:after="0" w:line="173" w:lineRule="exact"/>
        <w:rPr>
          <w:rFonts w:ascii="Times New Roman" w:cs="Times New Roman" w:eastAsia="Times New Roman" w:hAnsi="Times New Roman"/>
          <w:sz w:val="22"/>
          <w:szCs w:val="22"/>
          <w:color w:val="auto"/>
        </w:rPr>
      </w:pPr>
    </w:p>
    <w:p>
      <w:pPr>
        <w:jc w:val="both"/>
        <w:ind w:left="1960" w:hanging="656"/>
        <w:spacing w:after="0" w:line="261" w:lineRule="auto"/>
        <w:tabs>
          <w:tab w:leader="none" w:pos="201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157" w:lineRule="exact"/>
        <w:rPr>
          <w:sz w:val="20"/>
          <w:szCs w:val="20"/>
          <w:color w:val="auto"/>
        </w:rPr>
      </w:pPr>
    </w:p>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then, in any such case, (i) the Company, by a Board Resolution, may remove such Trustee with respect to all Securities, or (ii) subject to TIA Section 315(e), any Holder who has been a bona fide Holder of a Security of such series for at least six months may, on behalf of himself and all others similarly situated, petition any court of competent jurisdiction for the removal of such Trustee with respect to all Securities of such series and the appointment of a successor Trustee or Trustees.</w:t>
      </w:r>
    </w:p>
    <w:p>
      <w:pPr>
        <w:spacing w:after="0" w:line="177" w:lineRule="exact"/>
        <w:rPr>
          <w:sz w:val="20"/>
          <w:szCs w:val="20"/>
          <w:color w:val="auto"/>
        </w:rPr>
      </w:pPr>
    </w:p>
    <w:p>
      <w:pPr>
        <w:jc w:val="both"/>
        <w:ind w:left="1300" w:hanging="644"/>
        <w:spacing w:after="0" w:line="232" w:lineRule="auto"/>
        <w:tabs>
          <w:tab w:leader="none" w:pos="134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either Trustee shall resign, be removed or become incapable of acting, or if a vacancy shall occur in the office of the U.S. Trustee or the Canadian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shall not be required to appoint a successor Trustee to the Canadian Trustee if the Canadian Trustee resigns or is removed and a Canadian Trustee under this Indenture is no longer required under Trust Indenture Legislation.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ectPr>
          <w:pgSz w:w="11900" w:h="16838" w:orient="portrait"/>
          <w:cols w:equalWidth="0" w:num="1">
            <w:col w:w="11240"/>
          </w:cols>
          <w:pgMar w:left="320" w:top="111"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29" w:name="page130"/>
    <w:bookmarkEnd w:id="129"/>
    <w:p>
      <w:pPr>
        <w:jc w:val="both"/>
        <w:ind w:left="1300" w:hanging="644"/>
        <w:spacing w:after="0" w:line="255" w:lineRule="auto"/>
        <w:tabs>
          <w:tab w:leader="none" w:pos="134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give notice of each resignation and each removal of a Trustee with respect to the Securities of any series and each appointment of a successor Trustee with respect to the Securities of any series to the Holders of Securities of such series in the manner provided for in Section 1.07. Each notice shall include the name of the successor Trustee with respect to the Securities of such series and the address of its Corporate Trust Office.</w:t>
      </w:r>
    </w:p>
    <w:p>
      <w:pPr>
        <w:spacing w:after="0" w:line="162" w:lineRule="exact"/>
        <w:rPr>
          <w:rFonts w:ascii="Times New Roman" w:cs="Times New Roman" w:eastAsia="Times New Roman" w:hAnsi="Times New Roman"/>
          <w:sz w:val="21"/>
          <w:szCs w:val="21"/>
          <w:color w:val="auto"/>
        </w:rPr>
      </w:pPr>
    </w:p>
    <w:p>
      <w:pPr>
        <w:ind w:left="1300" w:hanging="644"/>
        <w:spacing w:after="0" w:line="258" w:lineRule="auto"/>
        <w:tabs>
          <w:tab w:leader="none" w:pos="134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Canadian Trustee under this Indenture is no longer required by Trust Indenture Legislation, then the Company by a Board Resolution may remove the Canadian Trustee.</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6.10</w:t>
      </w:r>
      <w:r>
        <w:rPr>
          <w:sz w:val="20"/>
          <w:szCs w:val="20"/>
          <w:color w:val="auto"/>
        </w:rPr>
        <w:tab/>
      </w:r>
      <w:r>
        <w:rPr>
          <w:rFonts w:ascii="Times New Roman" w:cs="Times New Roman" w:eastAsia="Times New Roman" w:hAnsi="Times New Roman"/>
          <w:sz w:val="21"/>
          <w:szCs w:val="21"/>
          <w:b w:val="1"/>
          <w:bCs w:val="1"/>
          <w:color w:val="auto"/>
        </w:rPr>
        <w:t>Acceptance of Appointment by Successor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300" w:hanging="644"/>
        <w:spacing w:after="0" w:line="247" w:lineRule="auto"/>
        <w:tabs>
          <w:tab w:leader="none" w:pos="134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1" w:lineRule="exact"/>
        <w:rPr>
          <w:rFonts w:ascii="Times New Roman" w:cs="Times New Roman" w:eastAsia="Times New Roman" w:hAnsi="Times New Roman"/>
          <w:sz w:val="21"/>
          <w:szCs w:val="21"/>
          <w:color w:val="auto"/>
        </w:rPr>
      </w:pPr>
    </w:p>
    <w:p>
      <w:pPr>
        <w:jc w:val="both"/>
        <w:ind w:left="1300" w:hanging="644"/>
        <w:spacing w:after="0" w:line="232" w:lineRule="auto"/>
        <w:tabs>
          <w:tab w:leader="none" w:pos="134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0" w:name="page131"/>
    <w:bookmarkEnd w:id="130"/>
    <w:p>
      <w:pPr>
        <w:jc w:val="both"/>
        <w:ind w:left="1300" w:hanging="644"/>
        <w:spacing w:after="0" w:line="244" w:lineRule="auto"/>
        <w:tabs>
          <w:tab w:leader="none" w:pos="134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request of any such successor Trustee, the Company shall execute any and all instruments for more fully and certainly vesting in and confirming to such successor Trustee all rights, powers and trusts referred to in paragraph (1) or (2) of this Section 6.10, as the case may be.</w:t>
      </w:r>
    </w:p>
    <w:p>
      <w:pPr>
        <w:spacing w:after="0" w:line="173"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successor Trustee shall accept its appointment unless at the time of such acceptance such successor Trustee shall be qualified and eligible under this Article Six.</w:t>
      </w:r>
    </w:p>
    <w:p>
      <w:pPr>
        <w:spacing w:after="0" w:line="154"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6.11</w:t>
      </w:r>
      <w:r>
        <w:rPr>
          <w:sz w:val="20"/>
          <w:szCs w:val="20"/>
          <w:color w:val="auto"/>
        </w:rPr>
        <w:tab/>
      </w:r>
      <w:r>
        <w:rPr>
          <w:rFonts w:ascii="Times New Roman" w:cs="Times New Roman" w:eastAsia="Times New Roman" w:hAnsi="Times New Roman"/>
          <w:sz w:val="21"/>
          <w:szCs w:val="21"/>
          <w:b w:val="1"/>
          <w:bCs w:val="1"/>
          <w:color w:val="auto"/>
        </w:rPr>
        <w:t>Merger, Conversion, Consolidation or Succession to Business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Any corporation into which either Trustee or its corporate trust business may be merged or converted or with which it may be consolidated, or any corporation resulting from any merger, conversion or consolidation to which either Trustee shall be a party, or any corporation succeeding to all or substantially all the corporate trust business of either Trustee, shall be the successor of such Trustee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corporation shall be otherwise qualified and eligible under this Article Six, without the execution or filing of any paper or any further act on the part of any of the parties hereto. In case any Securities shall have been authenticated, but not delivered, by a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of the Securities shall not have been authenticated by such predecessor Trustee, any successor Trustee may authenticate such Securities either in the name of any predecessor hereunder or in the name of the successor Trustee. In all such cases such certificates shall have the full force and effect which this Indenture provides for the certificate of authentication of such Trustee;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1" w:name="page132"/>
    <w:bookmarkEnd w:id="131"/>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6.12</w:t>
      </w:r>
      <w:r>
        <w:rPr>
          <w:sz w:val="20"/>
          <w:szCs w:val="20"/>
          <w:color w:val="auto"/>
        </w:rPr>
        <w:tab/>
      </w:r>
      <w:r>
        <w:rPr>
          <w:rFonts w:ascii="Times New Roman" w:cs="Times New Roman" w:eastAsia="Times New Roman" w:hAnsi="Times New Roman"/>
          <w:sz w:val="21"/>
          <w:szCs w:val="21"/>
          <w:b w:val="1"/>
          <w:bCs w:val="1"/>
          <w:color w:val="auto"/>
        </w:rPr>
        <w:t>Appointment of Authenticating Agent</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At any time when any of the Securities remain outstanding, the Trustees may appoint an Authenticating Agent or Agents, with respect to one or more series of Securities which shall be authorized to act on behalf of the Trustees to authenticate Securities of such series and the Trustees shall give written notice of such appointment to all Holders of Securities of the series with respect to which such Authenticating Agent will serve, in the manner provided for in Section 1.07. Securities so authenticated shall be entitled to the benefits of this Indenture and shall be valid and obligatory for all purposes as if authenticated by the applicable Trustee hereunder. Any such appointment shall be evidenced by an instrument in writing signed by a Responsible Officer of the Trustees, and a copy of such instrument shall be promptly furnished to the Company. Wherever reference is made in this Indenture to the authentication and delivery of Securities by the Trustees or either Trustee's certificate of authentication, such reference shall be deemed to include authentication and delivery on behalf of the Trustees by an Authenticating Agent and a certificate of authentication executed on behalf of the Trustees by an Authenticating Agent. Each Authenticating Agent shall be acceptable to the Company and shall at all times be a corporation organized and doing business under the laws of the United States of America, any state thereof or the District of Columbia or the laws of Canada or any province thereof, authorized under such laws to act as Authenticating Agent, having a combined capital and surplus of not less than $50,000,000 and subject to supervision or examination by United States federal or state or Canadian federal or provincial authority. If such corporation publishes reports of condition at least annually, pursuant to law or to the requirements of said supervising or examining authority, then for the purposes of this Section 6.12,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6.12, it shall resign immediately in the manner and with the effect specified in this Section 6.12.</w:t>
      </w:r>
    </w:p>
    <w:p>
      <w:pPr>
        <w:spacing w:after="0" w:line="18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corporation shall be otherwise eligible under this Section 6.12, without the execution or filing of any paper or any further act on the part of the Trustees or the Authenticating Agent.</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An Authenticating Agent may resign at any time by giving written notice thereof to the Trustees and to the Company. The Trustees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Trustees may appoint a successor Authenticating Agent which shall be acceptable to the Company and shall give written notice of such appointment to all Holders of Securities of the series with respect to which such Authenticating Agent will serve,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1"/>
          <w:szCs w:val="21"/>
          <w:color w:val="auto"/>
        </w:rPr>
        <w:t>The Trustees agree to pay to each Authenticating Agent from time to time reasonable compensation for its services under this Section 6.12, and the Trustees shall be entitled to be reimbursed for such payments, subject to the provisions of Section 6.07.</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2" w:name="page133"/>
    <w:bookmarkEnd w:id="132"/>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an appointment with respect to one or more series is made pursuant to this Section 6.12, the Securities of such series may have endorsed thereon, in addition to either Trustee's certificate of authentication, an alternate certificate of authentication in the following form: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(Certificate of Authentication may be executed by either Trustee)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 as U.S. Trustee, certifies that this is one of the Securities of the series designated therein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referred to in the within-mentioned Indenture.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Dated: ____________</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as U.S. Trustee</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1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color w:val="auto"/>
        </w:rPr>
        <w:t>As Authenticating Agent</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Authorized Officer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_____________________, as Canadian Trustee, certifies that this is one of the Securities of the series designated therein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referred to in the within-mentioned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as Canadian Trustee</w:t>
      </w:r>
    </w:p>
    <w:p>
      <w:pPr>
        <w:sectPr>
          <w:pgSz w:w="11900" w:h="16838" w:orient="portrait"/>
          <w:cols w:equalWidth="0" w:num="1">
            <w:col w:w="11240"/>
          </w:cols>
          <w:pgMar w:left="320" w:top="111" w:right="339" w:bottom="1440" w:gutter="0" w:footer="0" w:header="0"/>
        </w:sectPr>
      </w:pP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As Authenticating Agent</w:t>
      </w:r>
    </w:p>
    <w:p>
      <w:pPr>
        <w:spacing w:after="0" w:line="182" w:lineRule="exact"/>
        <w:rPr>
          <w:sz w:val="20"/>
          <w:szCs w:val="20"/>
          <w:color w:val="auto"/>
        </w:rPr>
      </w:pPr>
    </w:p>
    <w:p>
      <w:pPr>
        <w:sectPr>
          <w:pgSz w:w="11900" w:h="16838" w:orient="portrait"/>
          <w:cols w:equalWidth="0" w:num="2">
            <w:col w:w="5940" w:space="100"/>
            <w:col w:w="5200"/>
          </w:cols>
          <w:pgMar w:left="320" w:top="111" w:right="3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Authorized Officer</w:t>
      </w:r>
    </w:p>
    <w:p>
      <w:pPr>
        <w:spacing w:after="0" w:line="178" w:lineRule="exact"/>
        <w:rPr>
          <w:sz w:val="20"/>
          <w:szCs w:val="20"/>
          <w:color w:val="auto"/>
        </w:rPr>
      </w:pPr>
    </w:p>
    <w:p>
      <w:pPr>
        <w:sectPr>
          <w:pgSz w:w="11900" w:h="16838" w:orient="portrait"/>
          <w:cols w:equalWidth="0" w:num="2">
            <w:col w:w="5940" w:space="100"/>
            <w:col w:w="5200"/>
          </w:cols>
          <w:pgMar w:left="320" w:top="11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SECTION 6.13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Joint Trustees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1420" w:space="540"/>
            <w:col w:w="9280"/>
          </w:cols>
          <w:pgMar w:left="320" w:top="111" w:right="339" w:bottom="1440" w:gutter="0" w:footer="0" w:header="0"/>
          <w:type w:val="continuous"/>
        </w:sectPr>
      </w:pPr>
    </w:p>
    <w:p>
      <w:pPr>
        <w:spacing w:after="0" w:line="2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rights, powers, duties and obligations conferred and imposed upon the Trustees are conferred and imposed upon and shall be exercised and performed by the U.S. Trustee and the Canadian Trustee individually, except to the extent the Trustees are required under Trust Indenture Legislation to perform such acts jointly, and neither Trustee shall be liable or responsible for the acts or omissions of the other Trustee. If the U.S. Trustee and Canadian Trustee are unable to agree jointly to act or refrain from acting, the applicable Trustee shall make the decision in accordance with its applicable legislation. Unless the context implies or requires otherwise, any written notice, request, direction, certificate, instruction, opinion or other document (each such document, a "</w:t>
      </w:r>
      <w:r>
        <w:rPr>
          <w:rFonts w:ascii="Times New Roman" w:cs="Times New Roman" w:eastAsia="Times New Roman" w:hAnsi="Times New Roman"/>
          <w:sz w:val="22"/>
          <w:szCs w:val="22"/>
          <w:b w:val="1"/>
          <w:bCs w:val="1"/>
          <w:color w:val="auto"/>
        </w:rPr>
        <w:t>Writing</w:t>
      </w:r>
      <w:r>
        <w:rPr>
          <w:rFonts w:ascii="Times New Roman" w:cs="Times New Roman" w:eastAsia="Times New Roman" w:hAnsi="Times New Roman"/>
          <w:sz w:val="22"/>
          <w:szCs w:val="22"/>
          <w:color w:val="auto"/>
        </w:rPr>
        <w:t xml:space="preserve">") delivered pursuant to any provision of this Indenture to any of the U.S. Trustee or the Canadian Trustee shall be deemed for all purposes of this Indenture as delivery of such Writing to the Trustee. Each such Trustee in receipt of such Writing shall notify such other Trustee of its receipt of such Writing within two Business Days of such receipt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failure of such trustee in receipt of such Writing to so notify such other Trustee shall not be deemed as a deficiency in the delivery of such Writing to the Trustee.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33" w:name="page134"/>
    <w:bookmarkEnd w:id="133"/>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6.14</w:t>
      </w:r>
      <w:r>
        <w:rPr>
          <w:sz w:val="20"/>
          <w:szCs w:val="20"/>
          <w:color w:val="auto"/>
        </w:rPr>
        <w:tab/>
      </w:r>
      <w:r>
        <w:rPr>
          <w:rFonts w:ascii="Times New Roman" w:cs="Times New Roman" w:eastAsia="Times New Roman" w:hAnsi="Times New Roman"/>
          <w:sz w:val="21"/>
          <w:szCs w:val="21"/>
          <w:b w:val="1"/>
          <w:bCs w:val="1"/>
          <w:color w:val="auto"/>
        </w:rPr>
        <w:t>Other Rights of Trustees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Each Trustee shall retain the right not to act and shall not be liable for refusing to act if, due to a lack of information or for any other reason whatsoever, either Trustee, in its sole judgment, determines that such act might cause it to be in non-compliance with any applicable anti-money laundering or anti-terrorist legislation, regulation or guideline. Further, should either Trustee, in its sole judgment, determine at any time that its acting under this Indenture has resulted in its being in non-compliance with any applicable anti-money laundering or anti-terrorist legislation, regulation or guideline, then it shall have the right to resign on 10 days written notice to all parties provided (i) that such Trustee's written notice shall describe the circumstances of such non-compliance; and (ii) that if such circumstances are rectified to such Trustee's satisfaction within such 10 day period, then such resignation shall not be effective.</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The parties hereto acknowledge that Canadian federal and provincial legislation addressing the protection of individuals' personal information (collectively, "</w:t>
      </w:r>
      <w:r>
        <w:rPr>
          <w:rFonts w:ascii="Times New Roman" w:cs="Times New Roman" w:eastAsia="Times New Roman" w:hAnsi="Times New Roman"/>
          <w:sz w:val="21"/>
          <w:szCs w:val="21"/>
          <w:b w:val="1"/>
          <w:bCs w:val="1"/>
          <w:color w:val="auto"/>
        </w:rPr>
        <w:t>Privacy Laws</w:t>
      </w:r>
      <w:r>
        <w:rPr>
          <w:rFonts w:ascii="Times New Roman" w:cs="Times New Roman" w:eastAsia="Times New Roman" w:hAnsi="Times New Roman"/>
          <w:sz w:val="21"/>
          <w:szCs w:val="21"/>
          <w:color w:val="auto"/>
        </w:rPr>
        <w:t>") applies to obligations and activities under this Indenture. Despite any other provision of this Indenture, neither party shall take or direct any action that would contravene, or cause the other to contravene, applicable Privacy Laws. The Company, prior to transferring, or causing to be transferred, personal information to the Canadian Trustee, shall obtain and retain required consents of the relevant individuals to the collection, use and disclosure of their personal information, or shall have determined that such consents either have been previously given and can be relied on or are not required under Privacy Laws. The Canadian Trustee shall use commercially reasonable efforts to ensure that its services hereunder comply with Privacy Laws. Specifically, the Trustee agrees to (i) have designated a chief privacy officer; (ii) maintain policies and procedures to protect personal information and to receive and respond to any privacy complaint or inquiry; (iii) use personal information solely for the purposes of providing its services under or ancillary to this Indenture and not to use it for any other purpose except with the consent and direction of the Company; (iv) not sell or otherwise improperly disclose personal information to any third party; and (v) use employee administrative, physical and technological safeguards to reasonably secure and protect personal information against loss, theft or unauthorized access, use or modification.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It is expressly acknowledged and agreed that the Canadian Trustee may, in the course of providing services hereunder, collect or receive, use and disclose financial and other personal information about such parties and/or their representatives, as individuals, or about other individuals related to the subject matter hereof, and use such information for the following purposes:</w:t>
      </w:r>
    </w:p>
    <w:p>
      <w:pPr>
        <w:spacing w:after="0" w:line="157" w:lineRule="exact"/>
        <w:rPr>
          <w:sz w:val="20"/>
          <w:szCs w:val="20"/>
          <w:color w:val="auto"/>
        </w:rPr>
      </w:pPr>
    </w:p>
    <w:p>
      <w:pPr>
        <w:ind w:left="1960" w:hanging="656"/>
        <w:spacing w:after="0" w:line="258" w:lineRule="auto"/>
        <w:tabs>
          <w:tab w:leader="none" w:pos="196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the services required under this Indenture and other services that may be requested from time to time;</w:t>
      </w:r>
    </w:p>
    <w:p>
      <w:pPr>
        <w:spacing w:after="0" w:line="158"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help the Canadian Trustee manage its servicing relationships with such individuals;</w:t>
      </w:r>
    </w:p>
    <w:p>
      <w:pPr>
        <w:spacing w:after="0" w:line="206"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meet the Canadian Trustee's legal and regulatory requirements; 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4" w:name="page135"/>
    <w:bookmarkEnd w:id="134"/>
    <w:p>
      <w:pPr>
        <w:ind w:left="1960" w:hanging="656"/>
        <w:spacing w:after="0" w:line="258" w:lineRule="auto"/>
        <w:tabs>
          <w:tab w:leader="none" w:pos="201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social insurance numbers are collected by the Canadian Trustee, to perform tax reporting and to assist in verification of an individual's identity for security purposes.</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Further, each party agrees that it shall not provide or cause to be provided to the Canadian Trustee any personal information relating to an individual who is not a party to this Indenture unless that party has assured itself that such individual understands and has consented to the aforementioned uses and disclosures. Notwithstanding anything to the contrary herein, the Company and the Trustees may, without liability, disclose information about the Holders and beneficial owners or potential Holders or potential beneficial owners of the Securities pursuant to subpoena or other order issued by a court of competent jurisdiction or when otherwise required by applicable law.</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Each Trustee hereby accepts the trusts in this Indenture declared and provided for and agrees to perform the same upon the terms and conditions herein set forth and to hold all rights, privileges and benefits conferred hereby and by law in trust for the various persons who shall from time to time be holders, subject to all the terms and conditions herein set forth.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SEVEN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HOLDERS' LISTS AND REPORTS BY TRUSTEE AND COMPANY</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7.01</w:t>
      </w:r>
      <w:r>
        <w:rPr>
          <w:sz w:val="20"/>
          <w:szCs w:val="20"/>
          <w:color w:val="auto"/>
        </w:rPr>
        <w:tab/>
      </w:r>
      <w:r>
        <w:rPr>
          <w:rFonts w:ascii="Times New Roman" w:cs="Times New Roman" w:eastAsia="Times New Roman" w:hAnsi="Times New Roman"/>
          <w:sz w:val="21"/>
          <w:szCs w:val="21"/>
          <w:b w:val="1"/>
          <w:bCs w:val="1"/>
          <w:color w:val="auto"/>
        </w:rPr>
        <w:t>Company to Furnish Trustees Names and Addresses of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The Company will furnish or cause to be furnished to the Trustees (1) not more than 15 days after each Regular Record Date, or such lesser time as required by the Trustees, a list, in such form as the Trustees may reasonably require, of the names and addresses of Holders as of such Regular Record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Company shall not be obligated to furnish or cause to be furnished such list at any time that the list shall not differ in any respect from the most recent list furnished to the Trustees by the Company or at such times as either Trustee is acting as Security Registrar for the applicable series of Securities and (2) at such other times as the Trustees may request in writing within 30 days after the receipt by the Company of any such request, a list of similar form and content as of a date not more than 15 days prior to the time such list is furnished.</w:t>
      </w:r>
    </w:p>
    <w:p>
      <w:pPr>
        <w:spacing w:after="0" w:line="16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7.02</w:t>
      </w:r>
      <w:r>
        <w:rPr>
          <w:sz w:val="20"/>
          <w:szCs w:val="20"/>
          <w:color w:val="auto"/>
        </w:rPr>
        <w:tab/>
      </w:r>
      <w:r>
        <w:rPr>
          <w:rFonts w:ascii="Times New Roman" w:cs="Times New Roman" w:eastAsia="Times New Roman" w:hAnsi="Times New Roman"/>
          <w:sz w:val="21"/>
          <w:szCs w:val="21"/>
          <w:b w:val="1"/>
          <w:bCs w:val="1"/>
          <w:color w:val="auto"/>
        </w:rPr>
        <w:t>Preservation of List of Names and Addresses of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Trustees shall preserve, in as current a form as is reasonably practicable, all information as to the names and addresses of the Holders contained in the most recent list furnished to them as provided in Section 7.01 and as to the names and addresses of Holders received by either Trustee in its capacity as Security Registrar for the applicable series of Securities (if acting in such capacity).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Trustees may destroy any list furnished as provided in Section 7.01 upon receipt of a new list so furnished.</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Holders may communicate as provided in TIA Section 312(b) with other Holders with respect to their rights under this Indenture or under the Securities.</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7.03</w:t>
      </w:r>
      <w:r>
        <w:rPr>
          <w:sz w:val="20"/>
          <w:szCs w:val="20"/>
          <w:color w:val="auto"/>
        </w:rPr>
        <w:tab/>
      </w:r>
      <w:r>
        <w:rPr>
          <w:rFonts w:ascii="Times New Roman" w:cs="Times New Roman" w:eastAsia="Times New Roman" w:hAnsi="Times New Roman"/>
          <w:sz w:val="21"/>
          <w:szCs w:val="21"/>
          <w:b w:val="1"/>
          <w:bCs w:val="1"/>
          <w:color w:val="auto"/>
        </w:rPr>
        <w:t>Disclosure of Names and Addresses of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Every Holder of Securities, by receiving and holding the same, agrees with the Company and the Trustees that none of the Company or the Trustees or any agent of either of them shall be held accountable by reason of the disclosure of any such information as to the names and addresses of the Holders in accordance with TIA Section 312, regardless of the source from which such information was derived, and that the Trustees shall not be held accountable by reason of mailing any material pursuant to a request made under TIA Section 312(b).</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7.04</w:t>
      </w:r>
      <w:r>
        <w:rPr>
          <w:sz w:val="20"/>
          <w:szCs w:val="20"/>
          <w:color w:val="auto"/>
        </w:rPr>
        <w:tab/>
      </w:r>
      <w:r>
        <w:rPr>
          <w:rFonts w:ascii="Times New Roman" w:cs="Times New Roman" w:eastAsia="Times New Roman" w:hAnsi="Times New Roman"/>
          <w:sz w:val="21"/>
          <w:szCs w:val="21"/>
          <w:b w:val="1"/>
          <w:bCs w:val="1"/>
          <w:color w:val="auto"/>
        </w:rPr>
        <w:t>Reports by Trustees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left="1300" w:hanging="644"/>
        <w:spacing w:after="0" w:line="239" w:lineRule="auto"/>
        <w:tabs>
          <w:tab w:leader="none" w:pos="134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after May 15 of each year commencing with the first year after the first issuance of Securities pursuant to this Indenture, the U.S. Trustee shall transmit to the Holders of Securities, in the manner and to the extent provided in TIA Section 313(c), a brief report dated as of such reporting date, if required by TIA Section 313(a).</w:t>
      </w:r>
    </w:p>
    <w:p>
      <w:pPr>
        <w:spacing w:after="0" w:line="180"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Trustee shall comply with TIA Sections 313(b) and 313(c).</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such report shall, at the time of such transmission to the Holders, be filed by the U.S. Trustee with the Company, with each securities exchange upon which any of the Securities are listed (if so listed) and also with the Commission. The Company agrees to notify the Trustees when the Securities become listed on any securities exchange.</w:t>
      </w:r>
    </w:p>
    <w:p>
      <w:pPr>
        <w:spacing w:after="0" w:line="17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7.05</w:t>
      </w:r>
      <w:r>
        <w:rPr>
          <w:sz w:val="20"/>
          <w:szCs w:val="20"/>
          <w:color w:val="auto"/>
        </w:rPr>
        <w:tab/>
      </w:r>
      <w:r>
        <w:rPr>
          <w:rFonts w:ascii="Times New Roman" w:cs="Times New Roman" w:eastAsia="Times New Roman" w:hAnsi="Times New Roman"/>
          <w:sz w:val="21"/>
          <w:szCs w:val="21"/>
          <w:b w:val="1"/>
          <w:bCs w:val="1"/>
          <w:color w:val="auto"/>
        </w:rPr>
        <w:t>Reports by the Company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300" w:hanging="644"/>
        <w:spacing w:after="0" w:line="233" w:lineRule="auto"/>
        <w:tabs>
          <w:tab w:leader="none" w:pos="13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file with the Trustees, within 20 days after filing with or furnishing to the Commission, copies of its annual reports and of the information, documents and other reports (or copies of such portions of any of the foregoing as the Commission may by rules and regulations prescribe) which the Company is required to file or furnish with the Commission pursuant to Section 13 or 15(d) of the Exchange Act or, if the Company is not required to file information, documents or reports pursuant to either of such sections, then to file with the Trustees and the Commission, in accordance with rules and regulations prescribed by the Commission, such of the supplementary and periodic information, documents and reports which may be required pursuant to Section 13 of the Exchange Act in respect of a security listed and registered on a national securities exchange as may be prescribed in such rules and regulations;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reports, information or documents filed with the Commission pursuant to its Electronic Data Gathering, Analysis and Retrieval (EDGAR) system shall be deemed filed with the Trustees.</w:t>
      </w:r>
    </w:p>
    <w:p>
      <w:pPr>
        <w:spacing w:after="0" w:line="187"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transmit to all Holders, in the manner and to the extent provided in TIA Section 313(c), within 30 days after the filing thereof with the Trustees, such summaries of any information, documents and reports required to be filed by the Company pursuant to paragraph (1) of this Section 7.05 as may be required by rules and regulations prescribed from time to time by the Commission.</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Securities are guaranteed by a direct or indirect parent of the Company, and such parent has furnished the reports required by this Section 7.05 with respect to parent as required by this Section 7.05 as if parent were the Company (including any financial information required hereby), the Company shall be deemed to be in compliance with this Section 7.05.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2"/>
          <w:szCs w:val="22"/>
          <w:b w:val="1"/>
          <w:bCs w:val="1"/>
          <w:color w:val="auto"/>
        </w:rPr>
        <w:t>ARTICLE EIGHT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CONSOLIDATION, MERGER, CONVEYANCE, TRANSFER OR LEASE</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8.01</w:t>
      </w:r>
      <w:r>
        <w:rPr>
          <w:sz w:val="20"/>
          <w:szCs w:val="20"/>
          <w:color w:val="auto"/>
        </w:rPr>
        <w:tab/>
      </w:r>
      <w:r>
        <w:rPr>
          <w:rFonts w:ascii="Times New Roman" w:cs="Times New Roman" w:eastAsia="Times New Roman" w:hAnsi="Times New Roman"/>
          <w:sz w:val="21"/>
          <w:szCs w:val="21"/>
          <w:b w:val="1"/>
          <w:bCs w:val="1"/>
          <w:color w:val="auto"/>
        </w:rPr>
        <w:t>Company May Consolidate, etc., only on Certain Terms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shall not amalgamate or consolidate with or merge into or enter into any statutory arrangement with any other Person, or, directly or indirectly, convey, transfer or lease all or substantially all of its properties and assets to any Person, unless:</w:t>
      </w:r>
    </w:p>
    <w:p>
      <w:pPr>
        <w:spacing w:after="0" w:line="173" w:lineRule="exact"/>
        <w:rPr>
          <w:sz w:val="20"/>
          <w:szCs w:val="20"/>
          <w:color w:val="auto"/>
        </w:rPr>
      </w:pPr>
    </w:p>
    <w:p>
      <w:pPr>
        <w:jc w:val="both"/>
        <w:ind w:left="1300" w:hanging="644"/>
        <w:spacing w:after="0" w:line="233" w:lineRule="auto"/>
        <w:tabs>
          <w:tab w:leader="none" w:pos="134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continuing from such amalgamation or consolidation or into which the Company is merged or with which it enters into such statutory arrangement or the Person which acquires by operation of law or by conveyance or transfer, or which leases, all or substantially all of the properties and assets of the Company shall be a corporation, partnership or trust organized and validly existing under the laws of Canada or any province or territory thereof, the United States of America or any state thereof or the District of Columbia or, if such amalgamation, consolidation, merger, statutory arrangement or other transaction would not impair the rights of Holders, any other country, and, unless the Company is the continuing corporation, shall expressly assume, by an indenture supplemental hereto, executed and delivered to the Trustees, in form satisfactory to the Trustees, the Company's obligation for the due and punctual payment of the principal of, premium (if any) and interest (if any) on all the Securities and the performance and observance of every covenant of this Indenture on the part of the Company to be performed or observed;</w:t>
      </w:r>
    </w:p>
    <w:p>
      <w:pPr>
        <w:spacing w:after="0" w:line="187"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Default or Event of Default shall have happened and be continuing; and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such Person shall have delivered to the Trustees an Officer's Certificate and an Opinion of Counsel, each stating that such amalgamation, consolidation, merger, statutory arrangement or other transaction and such supplemental indenture comply with this Article Eight and that all conditions precedent herein provided for relating to such transaction have been complied with.</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above, the Company may consolidate with, amalgamate with, undergo an arrangement with, merge with or into an Affiliate of the Company solely for the purpose of reincorporating the Company in a state of the United States or the District of Columbia or in another province or territory of Canada.</w:t>
      </w:r>
    </w:p>
    <w:p>
      <w:pPr>
        <w:spacing w:after="0" w:line="17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This Section 8.01 shall only apply to a merger, consolidation or amalgamation in which the Company is not the surviving Person and to conveyances, leases and transfers by the Company as transferor or lessor.</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8.02</w:t>
      </w:r>
      <w:r>
        <w:rPr>
          <w:sz w:val="20"/>
          <w:szCs w:val="20"/>
          <w:color w:val="auto"/>
        </w:rPr>
        <w:tab/>
      </w:r>
      <w:r>
        <w:rPr>
          <w:rFonts w:ascii="Times New Roman" w:cs="Times New Roman" w:eastAsia="Times New Roman" w:hAnsi="Times New Roman"/>
          <w:sz w:val="21"/>
          <w:szCs w:val="21"/>
          <w:b w:val="1"/>
          <w:bCs w:val="1"/>
          <w:color w:val="auto"/>
        </w:rPr>
        <w:t>Successor Person Substituted</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Upon any amalgamation or consolidation by the Company with or merger by the Company into any other corporation or a statutory arrangement or any conveyance, transfer or lease of all or substantially all of the properties and assets of the Company to any Person in accordance with Section 8.01, the successor Person formed by such amalgamation or consolidation or into which the Company is merged or statutory arrangement,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the Company (which term shall for this purpose mean the Person named as the "Company" in the first paragraph of this Indenture or any successor Person which shall theretofore become such in the manner described in Section 8.01), except in the case of a lease, shall be discharged of all obligations and covenants under this Indenture and the Securities and may be dissolved and liquidated.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2"/>
          <w:szCs w:val="22"/>
          <w:b w:val="1"/>
          <w:bCs w:val="1"/>
          <w:color w:val="auto"/>
        </w:rPr>
        <w:t>ARTICLE NINE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INDENTURES</w:t>
      </w:r>
    </w:p>
    <w:p>
      <w:pPr>
        <w:spacing w:after="0" w:line="17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9.01</w:t>
      </w:r>
      <w:r>
        <w:rPr>
          <w:sz w:val="20"/>
          <w:szCs w:val="20"/>
          <w:color w:val="auto"/>
        </w:rPr>
        <w:tab/>
      </w:r>
      <w:r>
        <w:rPr>
          <w:rFonts w:ascii="Times New Roman" w:cs="Times New Roman" w:eastAsia="Times New Roman" w:hAnsi="Times New Roman"/>
          <w:sz w:val="21"/>
          <w:szCs w:val="21"/>
          <w:b w:val="1"/>
          <w:bCs w:val="1"/>
          <w:color w:val="auto"/>
        </w:rPr>
        <w:t>Supplemental Indentures Without Consent of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Notwithstanding Section 9.02, without the consent of any Holders, the Company, when authorized by or pursuant to a Board Resolution, and the Trustees, at any time and from time to time, may enter into one or more indentures supplemental hereto, in form satisfactory to the Trustees, for any of the following purposes:</w:t>
      </w:r>
    </w:p>
    <w:p>
      <w:pPr>
        <w:spacing w:after="0" w:line="173" w:lineRule="exact"/>
        <w:rPr>
          <w:sz w:val="20"/>
          <w:szCs w:val="20"/>
          <w:color w:val="auto"/>
        </w:rPr>
      </w:pPr>
    </w:p>
    <w:p>
      <w:pPr>
        <w:ind w:left="1300" w:right="20" w:hanging="644"/>
        <w:spacing w:after="0" w:line="258" w:lineRule="auto"/>
        <w:tabs>
          <w:tab w:leader="none" w:pos="13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the succession of another Person to the Company and the assumption by any such successor of the covenants of the Company contained herein and in the Securities; or</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the covenants of the Company for the benefit of the Holders of all or any series of Securities (and if such covenants are to be for the benefit of less than all series of Securities, stating that such covenants are being included solely for the benefit of such series) or to surrender any right or power herein conferred upon the Company; or</w:t>
      </w:r>
    </w:p>
    <w:p>
      <w:pPr>
        <w:spacing w:after="0" w:line="180" w:lineRule="exact"/>
        <w:rPr>
          <w:rFonts w:ascii="Times New Roman" w:cs="Times New Roman" w:eastAsia="Times New Roman" w:hAnsi="Times New Roman"/>
          <w:sz w:val="22"/>
          <w:szCs w:val="22"/>
          <w:color w:val="auto"/>
        </w:rPr>
      </w:pPr>
    </w:p>
    <w:p>
      <w:pPr>
        <w:ind w:left="1300" w:hanging="644"/>
        <w:spacing w:after="0" w:line="282" w:lineRule="auto"/>
        <w:tabs>
          <w:tab w:leader="none" w:pos="134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add any additional Events of Default (and if such Events of Default are to be for the benefit of less than all series of Securities, stating that such Events of Default are being included solely for the benefit of such series); or</w:t>
      </w:r>
    </w:p>
    <w:p>
      <w:pPr>
        <w:spacing w:after="0" w:line="134" w:lineRule="exact"/>
        <w:rPr>
          <w:rFonts w:ascii="Times New Roman" w:cs="Times New Roman" w:eastAsia="Times New Roman" w:hAnsi="Times New Roman"/>
          <w:sz w:val="21"/>
          <w:szCs w:val="21"/>
          <w:color w:val="auto"/>
        </w:rPr>
      </w:pPr>
    </w:p>
    <w:p>
      <w:pPr>
        <w:ind w:left="1300" w:right="20" w:hanging="644"/>
        <w:spacing w:after="0" w:line="258" w:lineRule="auto"/>
        <w:tabs>
          <w:tab w:leader="none" w:pos="13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delete or modify any Events of Default with respect to a series of the Securities, the form and terms of which are being established pursuant to such supplemental indenture as permitted in Section 3.01; or</w:t>
      </w:r>
    </w:p>
    <w:p>
      <w:pPr>
        <w:spacing w:after="0" w:line="154" w:lineRule="exact"/>
        <w:rPr>
          <w:rFonts w:ascii="Times New Roman" w:cs="Times New Roman" w:eastAsia="Times New Roman" w:hAnsi="Times New Roman"/>
          <w:sz w:val="22"/>
          <w:szCs w:val="22"/>
          <w:color w:val="auto"/>
        </w:rPr>
      </w:pPr>
    </w:p>
    <w:p>
      <w:pPr>
        <w:jc w:val="both"/>
        <w:ind w:left="1300" w:hanging="644"/>
        <w:spacing w:after="0" w:line="246" w:lineRule="auto"/>
        <w:tabs>
          <w:tab w:leader="none" w:pos="13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change or eliminate any of the provisions of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71"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the form or terms of Securities of any series as permitted by Sections 2.01 and 3.01; or</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4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w:t>
      </w:r>
    </w:p>
    <w:p>
      <w:pPr>
        <w:spacing w:after="0" w:line="180"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close this Indenture with respect to the authentication and delivery of additional series of Securities; or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8" w:name="page139"/>
    <w:bookmarkEnd w:id="138"/>
    <w:p>
      <w:pPr>
        <w:jc w:val="both"/>
        <w:ind w:left="1300" w:hanging="644"/>
        <w:spacing w:after="0" w:line="251" w:lineRule="auto"/>
        <w:tabs>
          <w:tab w:leader="none" w:pos="134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 or</w:t>
      </w:r>
    </w:p>
    <w:p>
      <w:pPr>
        <w:spacing w:after="0" w:line="168" w:lineRule="exact"/>
        <w:rPr>
          <w:rFonts w:ascii="Times New Roman" w:cs="Times New Roman" w:eastAsia="Times New Roman" w:hAnsi="Times New Roman"/>
          <w:sz w:val="21"/>
          <w:szCs w:val="21"/>
          <w:color w:val="auto"/>
        </w:rPr>
      </w:pPr>
    </w:p>
    <w:p>
      <w:pPr>
        <w:ind w:left="1300" w:hanging="644"/>
        <w:spacing w:after="0" w:line="258" w:lineRule="auto"/>
        <w:tabs>
          <w:tab w:leader="none" w:pos="136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in any series of Securities that does not adversely affect in any material respect the rights of the Holders of such Securities; or</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6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or change or eliminate any provision of this Indenture as shall be necessary or desirable in accordance with any amendments to the Trust Indenture Act; or</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6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action shall not adversely affect the interests of the Holders of Securities of such series or any other series of Securities in any material respect; or</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6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eliminate or add to the provisions of this Indenture to such extent as shall be necessary to effect the qualifications of this Indenture under any applicable law of the United States and Canada or of any province or territory thereof to the extent they do not conflict with the applicable law of the United States heretofore or hereafter enacted.</w:t>
      </w:r>
    </w:p>
    <w:p>
      <w:pPr>
        <w:spacing w:after="0" w:line="17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9.02</w:t>
      </w:r>
      <w:r>
        <w:rPr>
          <w:sz w:val="20"/>
          <w:szCs w:val="20"/>
          <w:color w:val="auto"/>
        </w:rPr>
        <w:tab/>
      </w:r>
      <w:r>
        <w:rPr>
          <w:rFonts w:ascii="Times New Roman" w:cs="Times New Roman" w:eastAsia="Times New Roman" w:hAnsi="Times New Roman"/>
          <w:sz w:val="21"/>
          <w:szCs w:val="21"/>
          <w:b w:val="1"/>
          <w:bCs w:val="1"/>
          <w:color w:val="auto"/>
        </w:rPr>
        <w:t>Supplemental Indentures with Consent of Holders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Except as provided in Section 9.01 and this Section 9.02, with the consent of the Holders of not less than a majority in principal amount of all Outstanding Securities affected by such supplemental indenture, by Act of said Holders delivered to the Company and the Trustees, the Company, when authorized by or pursuant to a Board Resolution, and the Trustees may enter into an indenture or indentures supplemental hereto for the purpose of adding any provisions to or changing in any manner or eliminating any of the provisions of this Indenture which affect such series of Securities or of modifying in any manner the rights of the Holders of Securities of such series under this Indenture;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such supplemental indenture shall, without the consent of the Holder of each Outstanding Security of such series,</w:t>
      </w:r>
    </w:p>
    <w:p>
      <w:pPr>
        <w:spacing w:after="0" w:line="183" w:lineRule="exact"/>
        <w:rPr>
          <w:sz w:val="20"/>
          <w:szCs w:val="20"/>
          <w:color w:val="auto"/>
        </w:rPr>
      </w:pPr>
    </w:p>
    <w:p>
      <w:pPr>
        <w:jc w:val="both"/>
        <w:ind w:left="1300" w:hanging="644"/>
        <w:spacing w:after="0" w:line="233" w:lineRule="auto"/>
        <w:tabs>
          <w:tab w:leader="none" w:pos="13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Stated Maturity of the principal of, premium (if any) or any installment of interest (if any) on any Security of such series, or reduce the principal amount thereof, premium (if any) or the rate of interest (if any) thereon, or reduce the amount of the principal of an Original Issue Discount Security of such series that would be due and payable upon a declaration of acceleration of the Maturity thereof pursuant to Section 5.02 or the amount thereof provable in bankruptcy pursuant to Section 5.04,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adversely affect any right to convert or exchange any Security as may be provided pursuant to Section 3.01 herein,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both"/>
        <w:ind w:left="1300" w:hanging="644"/>
        <w:spacing w:after="0"/>
        <w:tabs>
          <w:tab w:leader="none" w:pos="13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percentage in principal amount of the Outstanding Securities of such series required for any such supplemental indenture, or the consent of whose Holders is required for any waiver of compliance with certain provisions of this Indenture which affect such series or certain defaults applicable to such series hereunder and their consequences provided for in this Indenture, or</w:t>
      </w:r>
    </w:p>
    <w:p>
      <w:pPr>
        <w:spacing w:after="0" w:line="176"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of the provisions of this 9.02 Section, Section 5.13 or Section 10.09, except to increase any such percentage or to provide that certain other provisions of this Indenture which affect such series cannot be modified or waived without the consent of the Holder of each Outstanding Security of such series.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Any such supplemental indenture adding any provisions to or changing in any manner or eliminating any of the provisions of this Indenture, or modifying in any manner the rights of the Holders of Securities of such series, shall not affect the rights under this Indenture of the Holders of Securities of any other series.</w:t>
      </w:r>
    </w:p>
    <w:p>
      <w:pPr>
        <w:spacing w:after="0" w:line="17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It shall not be necessary for any Act of Holders under this 9.02 Section to approve the particular form of any proposed supplemental indenture, but it shall be sufficient if such Act shall approve the substance thereof.</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9.03</w:t>
      </w:r>
      <w:r>
        <w:rPr>
          <w:sz w:val="20"/>
          <w:szCs w:val="20"/>
          <w:color w:val="auto"/>
        </w:rPr>
        <w:tab/>
      </w:r>
      <w:r>
        <w:rPr>
          <w:rFonts w:ascii="Times New Roman" w:cs="Times New Roman" w:eastAsia="Times New Roman" w:hAnsi="Times New Roman"/>
          <w:sz w:val="21"/>
          <w:szCs w:val="21"/>
          <w:b w:val="1"/>
          <w:bCs w:val="1"/>
          <w:color w:val="auto"/>
        </w:rPr>
        <w:t>Execution of Supplemental Indentures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executing, or accepting the additional trusts created by, any supplemental indenture permitted by this Article Nine or the modifications thereby of the trusts created by this Indenture, the Trustees shall be entitled to receive, and shall be fully protected in relying upon, an Opinion of Counsel stating that the execution of such supplemental indenture is authorized or permitted by this Indenture. Each Trustee may, but shall not be obligated to, enter into any such supplemental indenture which affects such Trustee's own rights, duties or immunities under this Indenture or otherwise.</w:t>
      </w:r>
    </w:p>
    <w:p>
      <w:pPr>
        <w:spacing w:after="0" w:line="17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9.04</w:t>
      </w:r>
      <w:r>
        <w:rPr>
          <w:sz w:val="20"/>
          <w:szCs w:val="20"/>
          <w:color w:val="auto"/>
        </w:rPr>
        <w:tab/>
      </w:r>
      <w:r>
        <w:rPr>
          <w:rFonts w:ascii="Times New Roman" w:cs="Times New Roman" w:eastAsia="Times New Roman" w:hAnsi="Times New Roman"/>
          <w:sz w:val="21"/>
          <w:szCs w:val="21"/>
          <w:b w:val="1"/>
          <w:bCs w:val="1"/>
          <w:color w:val="auto"/>
        </w:rPr>
        <w:t>Effect of Supplemental Indentures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6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9.05</w:t>
      </w:r>
      <w:r>
        <w:rPr>
          <w:sz w:val="20"/>
          <w:szCs w:val="20"/>
          <w:color w:val="auto"/>
        </w:rPr>
        <w:tab/>
      </w:r>
      <w:r>
        <w:rPr>
          <w:rFonts w:ascii="Times New Roman" w:cs="Times New Roman" w:eastAsia="Times New Roman" w:hAnsi="Times New Roman"/>
          <w:sz w:val="21"/>
          <w:szCs w:val="21"/>
          <w:b w:val="1"/>
          <w:bCs w:val="1"/>
          <w:color w:val="auto"/>
        </w:rPr>
        <w:t>Conformity with Trust Indenture Legislation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Every supplemental indenture executed pursuant to this Article Nine shall conform to the requirements of Trust Indenture Legislation as then in effect.</w:t>
      </w:r>
    </w:p>
    <w:p>
      <w:pPr>
        <w:spacing w:after="0" w:line="15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9.06</w:t>
      </w:r>
      <w:r>
        <w:rPr>
          <w:sz w:val="20"/>
          <w:szCs w:val="20"/>
          <w:color w:val="auto"/>
        </w:rPr>
        <w:tab/>
      </w:r>
      <w:r>
        <w:rPr>
          <w:rFonts w:ascii="Times New Roman" w:cs="Times New Roman" w:eastAsia="Times New Roman" w:hAnsi="Times New Roman"/>
          <w:sz w:val="21"/>
          <w:szCs w:val="21"/>
          <w:b w:val="1"/>
          <w:bCs w:val="1"/>
          <w:color w:val="auto"/>
        </w:rPr>
        <w:t>Reference in Securities to Supplemental Indentures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Securities of any series authenticated and delivered after the execution of any supplemental indenture pursuant to this Article Nine may, and shall if required by the Trustees, bear a notation in form approved by the Trustees as to any matter provided for in such supplemental indenture. If the Company shall so determine, new Securities of any series so modified as to conform, in the opinion of the Trustees and the Company, to any such supplemental indenture may be prepared and executed by the Company and authenticated and delivered by the Trustees in exchange for outstanding Securities of such series.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0" w:name="page141"/>
    <w:bookmarkEnd w:id="140"/>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9.07</w:t>
      </w:r>
      <w:r>
        <w:rPr>
          <w:sz w:val="20"/>
          <w:szCs w:val="20"/>
          <w:color w:val="auto"/>
        </w:rPr>
        <w:tab/>
      </w:r>
      <w:r>
        <w:rPr>
          <w:rFonts w:ascii="Times New Roman" w:cs="Times New Roman" w:eastAsia="Times New Roman" w:hAnsi="Times New Roman"/>
          <w:sz w:val="21"/>
          <w:szCs w:val="21"/>
          <w:b w:val="1"/>
          <w:bCs w:val="1"/>
          <w:color w:val="auto"/>
        </w:rPr>
        <w:t>Notice of Supplemental Indentures</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Promptly after the execution by the Company and the Trustees of any supplemental indenture pursuant to the provisions of Section 9.02, the Company shall give notice thereof to the Holders of each outstanding Security affected, in the manner provided for in Section 1.07, setting forth in general terms the substance of such supplemental indenture.</w:t>
      </w:r>
    </w:p>
    <w:p>
      <w:pPr>
        <w:spacing w:after="0" w:line="16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TEN</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7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10.01</w:t>
      </w:r>
      <w:r>
        <w:rPr>
          <w:sz w:val="20"/>
          <w:szCs w:val="20"/>
          <w:color w:val="auto"/>
        </w:rPr>
        <w:tab/>
      </w:r>
      <w:r>
        <w:rPr>
          <w:rFonts w:ascii="Times New Roman" w:cs="Times New Roman" w:eastAsia="Times New Roman" w:hAnsi="Times New Roman"/>
          <w:sz w:val="21"/>
          <w:szCs w:val="21"/>
          <w:b w:val="1"/>
          <w:bCs w:val="1"/>
          <w:color w:val="auto"/>
        </w:rPr>
        <w:t>Payment of Principal, Premium and Interest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covenants and agrees for the benefit of the Holders of each series of Securities that it will duly and punctually pay the principal of, premium (if any) and interest (if any), on the Securities of that series in accordance with the terms of the Securities and this Indenture.</w:t>
      </w:r>
    </w:p>
    <w:p>
      <w:pPr>
        <w:spacing w:after="0" w:line="16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10.02</w:t>
      </w:r>
      <w:r>
        <w:rPr>
          <w:sz w:val="20"/>
          <w:szCs w:val="20"/>
          <w:color w:val="auto"/>
        </w:rPr>
        <w:tab/>
      </w:r>
      <w:r>
        <w:rPr>
          <w:rFonts w:ascii="Times New Roman" w:cs="Times New Roman" w:eastAsia="Times New Roman" w:hAnsi="Times New Roman"/>
          <w:sz w:val="21"/>
          <w:szCs w:val="21"/>
          <w:b w:val="1"/>
          <w:bCs w:val="1"/>
          <w:color w:val="auto"/>
        </w:rPr>
        <w:t>Maintenance of Office or Agency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300" w:hanging="644"/>
        <w:spacing w:after="0" w:line="238" w:lineRule="auto"/>
        <w:tabs>
          <w:tab w:leader="none" w:pos="13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w:t>
      </w:r>
    </w:p>
    <w:p>
      <w:pPr>
        <w:spacing w:after="0" w:line="176" w:lineRule="exact"/>
        <w:rPr>
          <w:rFonts w:ascii="Times New Roman" w:cs="Times New Roman" w:eastAsia="Times New Roman" w:hAnsi="Times New Roman"/>
          <w:sz w:val="22"/>
          <w:szCs w:val="22"/>
          <w:color w:val="auto"/>
        </w:rPr>
      </w:pPr>
    </w:p>
    <w:p>
      <w:pPr>
        <w:jc w:val="both"/>
        <w:ind w:left="1300" w:right="20" w:hanging="644"/>
        <w:spacing w:after="0" w:line="239" w:lineRule="auto"/>
        <w:tabs>
          <w:tab w:leader="none" w:pos="13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give prompt written notice to the Trustees of the location, and any change in the location, of such office or agency. If at any time the Company shall fail to maintain any such required office or agency or shall fail to furnish the Trustees with the address thereof, such presentations, surrenders, notices and demands may be made or served at the Corporate Trust Offices of the Trustees.</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4" w:lineRule="auto"/>
        <w:tabs>
          <w:tab w:leader="none" w:pos="13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also from time to time designate one or more other offices or agencies where the Securities of one or more series may be presented or surrendered for any or all such purposes and may from time to time rescind any such designation;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Trustees of any such designation or rescission and of any change in the location of any such other office or agency. Unless otherwise specified with respect to any Securities as contemplated by Section 3.01 with respect to a series of Securities, the Company hereby initially appoints the U.S. Trustee at its Corporate Trust Office as Paying Agent in such city and as its agent to receive all such presentations, surrenders, notices and demands.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1" w:name="page142"/>
    <w:bookmarkEnd w:id="141"/>
    <w:p>
      <w:pPr>
        <w:jc w:val="both"/>
        <w:ind w:left="1300" w:hanging="644"/>
        <w:spacing w:after="0" w:line="255" w:lineRule="auto"/>
        <w:tabs>
          <w:tab w:leader="none" w:pos="134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w:t>
      </w:r>
    </w:p>
    <w:p>
      <w:pPr>
        <w:spacing w:after="0" w:line="158"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10.03</w:t>
      </w:r>
      <w:r>
        <w:rPr>
          <w:sz w:val="20"/>
          <w:szCs w:val="20"/>
          <w:color w:val="auto"/>
        </w:rPr>
        <w:tab/>
      </w:r>
      <w:r>
        <w:rPr>
          <w:rFonts w:ascii="Times New Roman" w:cs="Times New Roman" w:eastAsia="Times New Roman" w:hAnsi="Times New Roman"/>
          <w:sz w:val="21"/>
          <w:szCs w:val="21"/>
          <w:b w:val="1"/>
          <w:bCs w:val="1"/>
          <w:color w:val="auto"/>
        </w:rPr>
        <w:t>Money for Securities Payments to Be Held in Trust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If the Company shall at any time act as its own Paying Agent with respect to any series of Securities , it will, on or before each due date of the principal of,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of, premium (if any) or interest (if any) on Securities of such series so becoming due until such sums shall be paid to such Persons or otherwise disposed of as herein provided and will promptly notify the Trustees of its action or failure so to act.</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Whenever the Company shall have one or more Paying Agents for any series of Securities, it will, prior to or on each due date of the principal of, premium (if any) or interest (if any) on any Securities of that series, deposit with a Paying Agent a sum (in the Currency described in the preceding paragraph) sufficient to pay the principal, premium (if any) or interest (if any) so becoming due, such sum to be held in trust for the benefit of the Persons entitled to such principal, premium or interest, and (unless such Paying Agent is a Trustee) the Company will promptly notify the Trustees of its action or failure so to act.</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will cause each Paying Agent (other than the Trustees) for any series of Securities to execute and deliver to the Trustees an instrument in which such Paying Agent shall agree with the Trustees, subject to the provisions of this 10.03 Section, that such Paying Agent will:</w:t>
      </w:r>
    </w:p>
    <w:p>
      <w:pPr>
        <w:spacing w:after="0" w:line="173" w:lineRule="exact"/>
        <w:rPr>
          <w:sz w:val="20"/>
          <w:szCs w:val="20"/>
          <w:color w:val="auto"/>
        </w:rPr>
      </w:pPr>
    </w:p>
    <w:p>
      <w:pPr>
        <w:jc w:val="both"/>
        <w:ind w:left="1300" w:hanging="644"/>
        <w:spacing w:after="0" w:line="244" w:lineRule="auto"/>
        <w:tabs>
          <w:tab w:leader="none" w:pos="134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all sums held by it for the payment of the principal of, premium (if any) and interest (if any) on Securities of such series in trust for the benefit of the Persons entitled thereto until such sums shall be paid to such Persons or otherwise disposed of as herein provided;</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the Trustees notice of any default by the Company (or any other obligor upon the Securities of such series) in the making of any payment of principal of, premium (if any) or interest (if any) on the Securities of such series; and</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4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continuance of any such default, upon the written request of the Trustees, forthwith pay to the Trustees all sums so held in trust by such Paying Agent.</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Company may at any time, for the purpose of obtaining the satisfaction and discharge of this Indenture or for any other purpose, pay, or by Company Order direct any Paying Agent to pay, to the Trustees all sums held in trust by the Company or such Paying Agent, such sums to be held by the Trustees upon the same trusts as those upon which sums were held by the Company or such Paying Agent; and, upon such payment by any Paying Agent to the Trustees, such Paying Agent shall be released from all further liability with respect to such sums.</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Except as provided in the Securities of any series, any money deposited with the Trustees or any Paying Agent, or then held by the Company, in trust for the payment of the principal of, premium (if any) or interest (if any)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Trustees or such Paying Agent with respect to such trust money, and all liability of the Company as trustee thereof, shall thereupon cease.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2" w:name="page143"/>
    <w:bookmarkEnd w:id="142"/>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10.04</w:t>
      </w:r>
      <w:r>
        <w:rPr>
          <w:sz w:val="20"/>
          <w:szCs w:val="20"/>
          <w:color w:val="auto"/>
        </w:rPr>
        <w:tab/>
      </w:r>
      <w:r>
        <w:rPr>
          <w:rFonts w:ascii="Times New Roman" w:cs="Times New Roman" w:eastAsia="Times New Roman" w:hAnsi="Times New Roman"/>
          <w:sz w:val="21"/>
          <w:szCs w:val="21"/>
          <w:b w:val="1"/>
          <w:bCs w:val="1"/>
          <w:color w:val="auto"/>
        </w:rPr>
        <w:t>Statement as to Compliance</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Company shall deliver to the Trustees, on or before 120 days after the end of the Company's fiscal year, an Officer's Certificate stating that a review of the activities of the Company during such fiscal year has been made under the supervision of the signing Officer with a view to determining whether the Company has kept, observed, performed and fulfilled its obligations under this Indenture, and further stating, as to such Officer, that the Company has kept, observed, performed and fulfilled each and every covenant contained in this Indenture and is not in default in the performance or observance of any of the terms, provisions and conditions hereof (or, if a Default or Event of Default shall have occurred and is continuing, describing all such Defaults or Events of Default of which he or she may have knowledge and what action the Company is taking or propose to take with respect thereto). The Company shall deliver to the Trustees upon demand evidence in such form as the Trustees may require as to compliance by the Company with any condition or covenant of the Company set out herein relating to any action required or permitted to be taken by the Company under this Indenture or as a result of any obligation imposed by this Indenture. For purposes of this Section 10.04, such compliance shall be determined without regard to any period of grace or requirement of notice under this Indenture.</w:t>
      </w:r>
    </w:p>
    <w:p>
      <w:pPr>
        <w:spacing w:after="0" w:line="181"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10.05</w:t>
      </w:r>
      <w:r>
        <w:rPr>
          <w:sz w:val="20"/>
          <w:szCs w:val="20"/>
          <w:color w:val="auto"/>
        </w:rPr>
        <w:tab/>
      </w:r>
      <w:r>
        <w:rPr>
          <w:rFonts w:ascii="Times New Roman" w:cs="Times New Roman" w:eastAsia="Times New Roman" w:hAnsi="Times New Roman"/>
          <w:sz w:val="21"/>
          <w:szCs w:val="21"/>
          <w:b w:val="1"/>
          <w:bCs w:val="1"/>
          <w:color w:val="auto"/>
        </w:rPr>
        <w:t>Payment of Taxes and Other Claims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Company will pay or discharge or cause to be paid or discharged, before the same shall become delinquent, (1) all material taxes, assessments and governmental charges levied or imposed upon the Company or upon the income, profits or property of the Company, and (2) all material lawful claims for labor, materials and supplies which, if unpaid, might by law become a Lien upon any property or assets of the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77"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10.06</w:t>
      </w:r>
      <w:r>
        <w:rPr>
          <w:sz w:val="20"/>
          <w:szCs w:val="20"/>
          <w:color w:val="auto"/>
        </w:rPr>
        <w:tab/>
      </w:r>
      <w:r>
        <w:rPr>
          <w:rFonts w:ascii="Times New Roman" w:cs="Times New Roman" w:eastAsia="Times New Roman" w:hAnsi="Times New Roman"/>
          <w:sz w:val="21"/>
          <w:szCs w:val="21"/>
          <w:b w:val="1"/>
          <w:bCs w:val="1"/>
          <w:color w:val="auto"/>
        </w:rPr>
        <w:t>Corporate Existence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Subject to Article Eight, the Company will do or cause to be done all things necessary to preserve and keep in full force and effect its corporate existence and the rights (charter and statutory) and franchises of the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shall not be required to preserve any such right or franchise if the Company shall determine that the preservation thereof is no longer desirable in the conduct of the business of the Company.</w:t>
      </w:r>
    </w:p>
    <w:p>
      <w:pPr>
        <w:spacing w:after="0" w:line="176"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10.07</w:t>
      </w:r>
      <w:r>
        <w:rPr>
          <w:sz w:val="20"/>
          <w:szCs w:val="20"/>
          <w:color w:val="auto"/>
        </w:rPr>
        <w:tab/>
      </w:r>
      <w:r>
        <w:rPr>
          <w:rFonts w:ascii="Times New Roman" w:cs="Times New Roman" w:eastAsia="Times New Roman" w:hAnsi="Times New Roman"/>
          <w:sz w:val="21"/>
          <w:szCs w:val="21"/>
          <w:b w:val="1"/>
          <w:bCs w:val="1"/>
          <w:color w:val="auto"/>
        </w:rPr>
        <w:t>Waiver of Certain Covenants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The Company may, with respect to any series of Securities, omit in any particular instance to comply with any term, provision or condition which affects such series set forth in Sections 10.06 and 10.07, or, as specified pursuant to Section 3.01(19) for Securities of such series, in any covenants of the Company added to this Article Ten pursuant to Section 3.01(19) in connection with Securities of such series, if before the time for such compliance the Holders of at least a majority in principal amount of all Outstanding Securities of any series, by Act of such Holders, waive such compliance in such instance with such term, provision or condition, but no such waiver shall extend to or affect such term, provision or condition except to the extent so expressly waived, and, until such waiver shall become effective, the obligations of the Company and the duties of the Trustees to Holders of Securities of such series in respect of any such term, provision or condition shall remain in full force and effect.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2"/>
          <w:szCs w:val="22"/>
          <w:b w:val="1"/>
          <w:bCs w:val="1"/>
          <w:color w:val="auto"/>
        </w:rPr>
        <w:t>ARTICLE ELEVEN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REDEMPTION OF SECURITIES</w:t>
      </w:r>
    </w:p>
    <w:p>
      <w:pPr>
        <w:spacing w:after="0" w:line="17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11.01</w:t>
      </w:r>
      <w:r>
        <w:rPr>
          <w:sz w:val="20"/>
          <w:szCs w:val="20"/>
          <w:color w:val="auto"/>
        </w:rPr>
        <w:tab/>
      </w:r>
      <w:r>
        <w:rPr>
          <w:rFonts w:ascii="Times New Roman" w:cs="Times New Roman" w:eastAsia="Times New Roman" w:hAnsi="Times New Roman"/>
          <w:sz w:val="21"/>
          <w:szCs w:val="21"/>
          <w:b w:val="1"/>
          <w:bCs w:val="1"/>
          <w:color w:val="auto"/>
        </w:rPr>
        <w:t>Applicability of Article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Securities of any series which are redeemable before their Stated Maturity shall be redeemable in accordance with the terms of such Securities and (except as otherwise specified as contemplated by Section 3.01 for Securities of any series) in accordance with this Article Eleven.</w:t>
      </w:r>
    </w:p>
    <w:p>
      <w:pPr>
        <w:spacing w:after="0" w:line="16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11.02</w:t>
      </w:r>
      <w:r>
        <w:rPr>
          <w:sz w:val="20"/>
          <w:szCs w:val="20"/>
          <w:color w:val="auto"/>
        </w:rPr>
        <w:tab/>
      </w:r>
      <w:r>
        <w:rPr>
          <w:rFonts w:ascii="Times New Roman" w:cs="Times New Roman" w:eastAsia="Times New Roman" w:hAnsi="Times New Roman"/>
          <w:sz w:val="21"/>
          <w:szCs w:val="21"/>
          <w:b w:val="1"/>
          <w:bCs w:val="1"/>
          <w:color w:val="auto"/>
        </w:rPr>
        <w:t>Election to Redeem; Notice to Trustees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Trustees), notify the Trustees of such Redemption Date and of the principal amount of Securities of such series to be redeemed and, in the case of certificated Securities, shall deliver to the Trustees such documentation and records as shall enable the Trustees to select the Securities to be redeemed pursuant to Section 11.03. In the case of any redemption of Securities prior to the expiration of any restriction on such redemption provided in the terms of such Securities or elsewhere in this Indenture, the Company shall furnish to the Trustees an Officer's Certificate evidencing compliance with such restriction.</w:t>
      </w:r>
    </w:p>
    <w:p>
      <w:pPr>
        <w:spacing w:after="0" w:line="17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11.03</w:t>
      </w:r>
      <w:r>
        <w:rPr>
          <w:sz w:val="20"/>
          <w:szCs w:val="20"/>
          <w:color w:val="auto"/>
        </w:rPr>
        <w:tab/>
      </w:r>
      <w:r>
        <w:rPr>
          <w:rFonts w:ascii="Times New Roman" w:cs="Times New Roman" w:eastAsia="Times New Roman" w:hAnsi="Times New Roman"/>
          <w:sz w:val="21"/>
          <w:szCs w:val="21"/>
          <w:b w:val="1"/>
          <w:bCs w:val="1"/>
          <w:color w:val="auto"/>
        </w:rPr>
        <w:t>Selection by Trustees of Securities to Be Redeemed</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If less than all the Securities of any series are to be redeemed, the particular Securities to be redeemed shall be selected not more than 60 days prior to the Redemption Date by the Trustees, from the Outstanding Securities of such series not previously called for redemption, in the case of certificated Securities, by such method as the Trustees shall deem fair and appropriate and which may provide for the selection for redemption of portions of the principal of Securities of such series, or in the case of Securities in global form in accordance with the policies and procedures of the applicable Depositary;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such partial redemption shall reduce the portion of the principal amount of a Security not redeemed to less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minimum authorized denomination for Securities of such series established pursuant to Section 3.01.</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The Trustees shall promptly notify the Company in writing of the Securities selected for redemption and, in the case of any Securities selected for partial redemption, the principal amount thereof to be redeemed.</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11.04</w:t>
      </w:r>
      <w:r>
        <w:rPr>
          <w:sz w:val="20"/>
          <w:szCs w:val="20"/>
          <w:color w:val="auto"/>
        </w:rPr>
        <w:tab/>
      </w:r>
      <w:r>
        <w:rPr>
          <w:rFonts w:ascii="Times New Roman" w:cs="Times New Roman" w:eastAsia="Times New Roman" w:hAnsi="Times New Roman"/>
          <w:sz w:val="21"/>
          <w:szCs w:val="21"/>
          <w:b w:val="1"/>
          <w:bCs w:val="1"/>
          <w:color w:val="auto"/>
        </w:rPr>
        <w:t>Notice of Redemption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Except as otherwise specified as contemplated by Section 3.01, notice of redemption shall be given in the manner provided for in Section 1.07 not less than 30 nor more than 60 days prior to the Redemption Date, to each Holder of Securities to be redeemed. Failure to give notice in the manner provided in Section 1.07 to the Holder of any Securities designated for redemption as a whole or in part, or any defect in the notice to any such Holder, shall not affect the validity of the proceedings for the redemption of any other Securities or portion thereof.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22"/>
          <w:szCs w:val="22"/>
          <w:color w:val="auto"/>
        </w:rPr>
        <w:t>All notices of redemption shall state:</w:t>
      </w:r>
    </w:p>
    <w:p>
      <w:pPr>
        <w:spacing w:after="0" w:line="207" w:lineRule="exact"/>
        <w:rPr>
          <w:sz w:val="20"/>
          <w:szCs w:val="20"/>
          <w:color w:val="auto"/>
        </w:rPr>
      </w:pPr>
    </w:p>
    <w:p>
      <w:pPr>
        <w:ind w:left="1360" w:hanging="704"/>
        <w:spacing w:after="0"/>
        <w:tabs>
          <w:tab w:leader="none" w:pos="13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w:t>
      </w:r>
    </w:p>
    <w:p>
      <w:pPr>
        <w:spacing w:after="0" w:line="206"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 and the amount of accrued interest to the Redemption Date payable as provided in Section 11.06, if any,</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the Outstanding Securities of any series are to be redeemed, the identification (and, in the case of partial redemption, the principal amounts) of the particular Securities to be redeemed,</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Security is to be redeemed in part only, the notice which relates to such Security shall state that on and after the Redemption Date, upon surrender of such Security, the Holder will receive, without charge, a new Security or Securities of authorized denominations for the principal amount thereof remaining unredeemed,</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Place or Places of Payment where such Securities are to be surrendered for payment of the Redemption Price and accrued interest (if any),</w:t>
      </w:r>
    </w:p>
    <w:p>
      <w:pPr>
        <w:spacing w:after="0" w:line="158"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redemption is for a sinking fund, if such is the case, and</w:t>
      </w:r>
    </w:p>
    <w:p>
      <w:pPr>
        <w:spacing w:after="0" w:line="206"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any condition to such redemption.</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Notice of redemption of Securities to be redeemed at the election of the Company shall be given by the Company or, at the Company's request, by the Trustees in the name and at the expense of the Company.</w:t>
      </w:r>
    </w:p>
    <w:p>
      <w:pPr>
        <w:spacing w:after="0" w:line="15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11.05</w:t>
      </w:r>
      <w:r>
        <w:rPr>
          <w:sz w:val="20"/>
          <w:szCs w:val="20"/>
          <w:color w:val="auto"/>
        </w:rPr>
        <w:tab/>
      </w:r>
      <w:r>
        <w:rPr>
          <w:rFonts w:ascii="Times New Roman" w:cs="Times New Roman" w:eastAsia="Times New Roman" w:hAnsi="Times New Roman"/>
          <w:sz w:val="21"/>
          <w:szCs w:val="21"/>
          <w:b w:val="1"/>
          <w:bCs w:val="1"/>
          <w:color w:val="auto"/>
        </w:rPr>
        <w:t>Deposit of Redemption Price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Prior to any Redemption Date, the Company shall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Redemption Price of, and accrued interest (if any) on, all the Securities which are to be redeemed on that date.</w:t>
      </w:r>
    </w:p>
    <w:p>
      <w:pPr>
        <w:spacing w:after="0" w:line="17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11.06</w:t>
      </w:r>
      <w:r>
        <w:rPr>
          <w:sz w:val="20"/>
          <w:szCs w:val="20"/>
          <w:color w:val="auto"/>
        </w:rPr>
        <w:tab/>
      </w:r>
      <w:r>
        <w:rPr>
          <w:rFonts w:ascii="Times New Roman" w:cs="Times New Roman" w:eastAsia="Times New Roman" w:hAnsi="Times New Roman"/>
          <w:sz w:val="21"/>
          <w:szCs w:val="21"/>
          <w:b w:val="1"/>
          <w:bCs w:val="1"/>
          <w:color w:val="auto"/>
        </w:rPr>
        <w:t>Securities Payable on Redemption Date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installments of interest on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5" w:name="page146"/>
    <w:bookmarkEnd w:id="145"/>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such Security.</w:t>
      </w:r>
    </w:p>
    <w:p>
      <w:pPr>
        <w:spacing w:after="0" w:line="17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11.07</w:t>
      </w:r>
      <w:r>
        <w:rPr>
          <w:sz w:val="20"/>
          <w:szCs w:val="20"/>
          <w:color w:val="auto"/>
        </w:rPr>
        <w:tab/>
      </w:r>
      <w:r>
        <w:rPr>
          <w:rFonts w:ascii="Times New Roman" w:cs="Times New Roman" w:eastAsia="Times New Roman" w:hAnsi="Times New Roman"/>
          <w:sz w:val="21"/>
          <w:szCs w:val="21"/>
          <w:b w:val="1"/>
          <w:bCs w:val="1"/>
          <w:color w:val="auto"/>
        </w:rPr>
        <w:t>Securities Redeemed in Part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Any Security which is to be redeemed only in part (pursuant to the provisions of this Article Eleven or of Article Twelve) shall be surrendered at a Place of Payment therefor (with, if the Company or the Trustees so requires, due endorsement by, or a written instrument of transfer in form satisfactory to the Company and the Trustees duly executed by, the Holder thereof or such Holder's attorney duly authorized in writing), and the Company shall execute, and the applicable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TWELVE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SINKING FUNDS</w:t>
      </w:r>
    </w:p>
    <w:p>
      <w:pPr>
        <w:spacing w:after="0" w:line="178"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12.01</w:t>
      </w:r>
      <w:r>
        <w:rPr>
          <w:sz w:val="20"/>
          <w:szCs w:val="20"/>
          <w:color w:val="auto"/>
        </w:rPr>
        <w:tab/>
      </w:r>
      <w:r>
        <w:rPr>
          <w:rFonts w:ascii="Times New Roman" w:cs="Times New Roman" w:eastAsia="Times New Roman" w:hAnsi="Times New Roman"/>
          <w:sz w:val="21"/>
          <w:szCs w:val="21"/>
          <w:b w:val="1"/>
          <w:bCs w:val="1"/>
          <w:color w:val="auto"/>
        </w:rPr>
        <w:t>Applicability of Article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Retirements of Securities of any series pursuant to any sinking fund shall be made in accordance with the terms of such Securities and (except as otherwise specified as contemplated by Section 3.01 for Securities of any series) in accordance with this Article Twelve.</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minimum amount of any sinking fund payment provided for by the terms of Securities of any series is herein referred to as a "</w:t>
      </w:r>
      <w:r>
        <w:rPr>
          <w:rFonts w:ascii="Times New Roman" w:cs="Times New Roman" w:eastAsia="Times New Roman" w:hAnsi="Times New Roman"/>
          <w:sz w:val="22"/>
          <w:szCs w:val="22"/>
          <w:b w:val="1"/>
          <w:bCs w:val="1"/>
          <w:color w:val="auto"/>
        </w:rPr>
        <w:t>mandatory sinking fund payment</w:t>
      </w:r>
      <w:r>
        <w:rPr>
          <w:rFonts w:ascii="Times New Roman" w:cs="Times New Roman" w:eastAsia="Times New Roman" w:hAnsi="Times New Roman"/>
          <w:sz w:val="22"/>
          <w:szCs w:val="22"/>
          <w:color w:val="auto"/>
        </w:rPr>
        <w:t>," and any payment in excess of such minimum amount provided for by the terms of Securities of any series is herein referred to as an "</w:t>
      </w:r>
      <w:r>
        <w:rPr>
          <w:rFonts w:ascii="Times New Roman" w:cs="Times New Roman" w:eastAsia="Times New Roman" w:hAnsi="Times New Roman"/>
          <w:sz w:val="22"/>
          <w:szCs w:val="22"/>
          <w:b w:val="1"/>
          <w:bCs w:val="1"/>
          <w:color w:val="auto"/>
        </w:rPr>
        <w:t>optional sinking fund payment</w:t>
      </w:r>
      <w:r>
        <w:rPr>
          <w:rFonts w:ascii="Times New Roman" w:cs="Times New Roman" w:eastAsia="Times New Roman" w:hAnsi="Times New Roman"/>
          <w:sz w:val="22"/>
          <w:szCs w:val="22"/>
          <w:color w:val="auto"/>
        </w:rPr>
        <w: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77"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12.02</w:t>
      </w:r>
      <w:r>
        <w:rPr>
          <w:sz w:val="20"/>
          <w:szCs w:val="20"/>
          <w:color w:val="auto"/>
        </w:rPr>
        <w:tab/>
      </w:r>
      <w:r>
        <w:rPr>
          <w:rFonts w:ascii="Times New Roman" w:cs="Times New Roman" w:eastAsia="Times New Roman" w:hAnsi="Times New Roman"/>
          <w:sz w:val="21"/>
          <w:szCs w:val="21"/>
          <w:b w:val="1"/>
          <w:bCs w:val="1"/>
          <w:color w:val="auto"/>
        </w:rPr>
        <w:t>Satisfaction of Sinking Fund Payments with Securities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Subject to Section 12.03, in lieu of making all or any part of any mandatory sinking fund payment with respect to any Securities of a series in cash, the Company may at its option (1) deliver to the Trustees Outstanding Securities of a such series (other than any previously called for redemption) theretofore purchased or otherwise acquired by the Company, and/or (2) receive credit for the principal amount of Securities of such series which have been previously delivered to the Trustees by the Company or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Securities have not been previously so credited. Such Securities shall be received and credited for such purpose by the Trustees at the Redemption Price specified in such Securities for redemption through operation of the sinking fund and the amount of such mandatory sinking fund payment shall be reduced accordingly.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6" w:name="page147"/>
    <w:bookmarkEnd w:id="146"/>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12.03</w:t>
      </w:r>
      <w:r>
        <w:rPr>
          <w:sz w:val="20"/>
          <w:szCs w:val="20"/>
          <w:color w:val="auto"/>
        </w:rPr>
        <w:tab/>
      </w:r>
      <w:r>
        <w:rPr>
          <w:rFonts w:ascii="Times New Roman" w:cs="Times New Roman" w:eastAsia="Times New Roman" w:hAnsi="Times New Roman"/>
          <w:sz w:val="21"/>
          <w:szCs w:val="21"/>
          <w:b w:val="1"/>
          <w:bCs w:val="1"/>
          <w:color w:val="auto"/>
        </w:rPr>
        <w:t>Redemption of Securities for Sinking Fund</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Not less than 60 days prior to each sinking fund payment date for any series of Securities, the Company will deliver to the Trustees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Not more than 60 days before each such sinking fund payment date the Trustees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6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Prior to any sinking fund payment date, the Company shall pay to the Trustees or a Paying Agent (or, if the Company is acting as its own Paying Agent, segregate and hold in trust as provided in Section 10.03) in cash a sum equal to any interest that will accrue to the date fixed for redemption of Securities or portions thereof to be redeemed on such sinking fund payment date pursuant to this 12.03 Section.</w:t>
      </w:r>
    </w:p>
    <w:p>
      <w:pPr>
        <w:spacing w:after="0" w:line="18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Trustees,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Trustees or any Paying Agent will be reimbursed by the Company) not in excess of the principal amount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color w:val="auto"/>
        </w:rPr>
        <w:t>ARTICLE THIRTEEN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REPAYMENT AT OPTION OF HOLDERS</w:t>
      </w:r>
    </w:p>
    <w:p>
      <w:pPr>
        <w:spacing w:after="0" w:line="178"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13.01</w:t>
      </w:r>
      <w:r>
        <w:rPr>
          <w:sz w:val="20"/>
          <w:szCs w:val="20"/>
          <w:color w:val="auto"/>
        </w:rPr>
        <w:tab/>
      </w:r>
      <w:r>
        <w:rPr>
          <w:rFonts w:ascii="Times New Roman" w:cs="Times New Roman" w:eastAsia="Times New Roman" w:hAnsi="Times New Roman"/>
          <w:sz w:val="21"/>
          <w:szCs w:val="21"/>
          <w:b w:val="1"/>
          <w:bCs w:val="1"/>
          <w:color w:val="auto"/>
        </w:rPr>
        <w:t>Applicability of Article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Thirteen.</w:t>
      </w:r>
    </w:p>
    <w:p>
      <w:pPr>
        <w:spacing w:after="0" w:line="169"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13.02</w:t>
      </w:r>
      <w:r>
        <w:rPr>
          <w:sz w:val="20"/>
          <w:szCs w:val="20"/>
          <w:color w:val="auto"/>
        </w:rPr>
        <w:tab/>
      </w:r>
      <w:r>
        <w:rPr>
          <w:rFonts w:ascii="Times New Roman" w:cs="Times New Roman" w:eastAsia="Times New Roman" w:hAnsi="Times New Roman"/>
          <w:sz w:val="21"/>
          <w:szCs w:val="21"/>
          <w:b w:val="1"/>
          <w:bCs w:val="1"/>
          <w:color w:val="auto"/>
        </w:rPr>
        <w:t>Repayment of Securities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with respect to such Securities, on or before the Repayment Date it will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principal (or, if so provided by the terms of the Securities of any series, a percentage of the principal) of and (except if the Repayment Date shall be an Interest Payment Date) accrued interest (if any) on, all the Securities or portions thereof, as the case may be, to be repaid on such date.</w:t>
      </w:r>
    </w:p>
    <w:p>
      <w:pPr>
        <w:spacing w:after="0" w:line="175"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13.03</w:t>
      </w:r>
      <w:r>
        <w:rPr>
          <w:sz w:val="20"/>
          <w:szCs w:val="20"/>
          <w:color w:val="auto"/>
        </w:rPr>
        <w:tab/>
      </w:r>
      <w:r>
        <w:rPr>
          <w:rFonts w:ascii="Times New Roman" w:cs="Times New Roman" w:eastAsia="Times New Roman" w:hAnsi="Times New Roman"/>
          <w:sz w:val="21"/>
          <w:szCs w:val="21"/>
          <w:b w:val="1"/>
          <w:bCs w:val="1"/>
          <w:color w:val="auto"/>
        </w:rPr>
        <w:t>Exercise of Option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which the Company shall from time to time notify the Holders of such Securities) not earlier than 45 days nor later than 30 days prior to the Repayment Date.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76"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13.04</w:t>
      </w:r>
      <w:r>
        <w:rPr>
          <w:sz w:val="20"/>
          <w:szCs w:val="20"/>
          <w:color w:val="auto"/>
        </w:rPr>
        <w:tab/>
      </w:r>
      <w:r>
        <w:rPr>
          <w:rFonts w:ascii="Times New Roman" w:cs="Times New Roman" w:eastAsia="Times New Roman" w:hAnsi="Times New Roman"/>
          <w:sz w:val="21"/>
          <w:szCs w:val="21"/>
          <w:b w:val="1"/>
          <w:bCs w:val="1"/>
          <w:color w:val="auto"/>
        </w:rPr>
        <w:t>When Securities Presented for Repayment Become Due and Payable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If Securities of any series providing for repayment at the option of the Holders thereof shall have been surrendered as provided in this Article Thirteen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 bearing, cease to bear interest. Upon surrender of any such Security for repayment in accordance with such provisions, the principal amount of such Security so to be repaid shall be paid by the Company, together with accrued interest (if any) to the Repayment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case of Securities, installments of interest (if any) whose Stated Maturity is on or prior to the Repayment Date shall be payable to the Holders of such Securities, or one or more Predecessor Securities, registered as such at the close of business on the relevant Record Dates according to their terms and the provisions of Section 3.07.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8" w:name="page149"/>
    <w:bookmarkEnd w:id="148"/>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any Security surrendered for repayment shall not be so repaid upon surrender thereof for repayment, the principal amount and premium (if any) shall, until paid, bear interest from the Repayment Date at the rate of interest or Yield to Maturity (in the case of Original Issue Discount Securities) set forth in such Security.</w:t>
      </w:r>
    </w:p>
    <w:p>
      <w:pPr>
        <w:spacing w:after="0" w:line="170"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13.05</w:t>
      </w:r>
      <w:r>
        <w:rPr>
          <w:sz w:val="20"/>
          <w:szCs w:val="20"/>
          <w:color w:val="auto"/>
        </w:rPr>
        <w:tab/>
      </w:r>
      <w:r>
        <w:rPr>
          <w:rFonts w:ascii="Times New Roman" w:cs="Times New Roman" w:eastAsia="Times New Roman" w:hAnsi="Times New Roman"/>
          <w:sz w:val="21"/>
          <w:szCs w:val="21"/>
          <w:b w:val="1"/>
          <w:bCs w:val="1"/>
          <w:color w:val="auto"/>
        </w:rPr>
        <w:t>Securities Repaid in Part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Upon surrender of any Security which is to be repaid in part only, the Company shall execute and the applicable Trustee shall authenticate and deliver to the Holder of such Security, without service charge and at the expense of the Company, a new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FOURTEEN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DEFEASANCE AND COVENANT DEFEASANCE</w:t>
      </w:r>
    </w:p>
    <w:p>
      <w:pPr>
        <w:spacing w:after="0" w:line="178"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14.01</w:t>
      </w:r>
      <w:r>
        <w:rPr>
          <w:sz w:val="20"/>
          <w:szCs w:val="20"/>
          <w:color w:val="auto"/>
        </w:rPr>
        <w:tab/>
      </w:r>
      <w:r>
        <w:rPr>
          <w:rFonts w:ascii="Times New Roman" w:cs="Times New Roman" w:eastAsia="Times New Roman" w:hAnsi="Times New Roman"/>
          <w:sz w:val="21"/>
          <w:szCs w:val="21"/>
          <w:b w:val="1"/>
          <w:bCs w:val="1"/>
          <w:color w:val="auto"/>
        </w:rPr>
        <w:t>Company's Option to Effect Defeasance or Covenant Defeasance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 Fourteen.</w:t>
      </w:r>
    </w:p>
    <w:p>
      <w:pPr>
        <w:spacing w:after="0" w:line="176"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14.02</w:t>
      </w:r>
      <w:r>
        <w:rPr>
          <w:sz w:val="20"/>
          <w:szCs w:val="20"/>
          <w:color w:val="auto"/>
        </w:rPr>
        <w:tab/>
      </w:r>
      <w:r>
        <w:rPr>
          <w:rFonts w:ascii="Times New Roman" w:cs="Times New Roman" w:eastAsia="Times New Roman" w:hAnsi="Times New Roman"/>
          <w:sz w:val="21"/>
          <w:szCs w:val="21"/>
          <w:b w:val="1"/>
          <w:bCs w:val="1"/>
          <w:color w:val="auto"/>
        </w:rPr>
        <w:t>Defeasance and Discharge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Upon the Company's exercise of the above option applicable to this Section 14.02 with respect to any Securities of or within a series, the Company shall be deemed to have been discharged from its obligations with respect to such Securities on the date the conditions set forth in Section 14.04 are satisfied (hereinafter, "</w:t>
      </w:r>
      <w:r>
        <w:rPr>
          <w:rFonts w:ascii="Times New Roman" w:cs="Times New Roman" w:eastAsia="Times New Roman" w:hAnsi="Times New Roman"/>
          <w:sz w:val="22"/>
          <w:szCs w:val="22"/>
          <w:b w:val="1"/>
          <w:bCs w:val="1"/>
          <w:color w:val="auto"/>
        </w:rPr>
        <w:t>defeasance</w:t>
      </w:r>
      <w:r>
        <w:rPr>
          <w:rFonts w:ascii="Times New Roman" w:cs="Times New Roman" w:eastAsia="Times New Roman" w:hAnsi="Times New Roman"/>
          <w:sz w:val="22"/>
          <w:szCs w:val="22"/>
          <w:color w:val="auto"/>
        </w:rPr>
        <w:t>"). For this purpose, such defeasance means that the Company shall be deemed to have paid and discharged the entire indebtedness represented by such Securities, which shall thereafter be deemed to be "Outstanding" only for the purposes of Section 14.05 and the other Sections of this Indenture referred to in (A) and (B) below, and to have satisfied all of its other obligations under such Securities and this Indenture insofar as such Securities are concerned (and the Trustees, at the expense of the Company, shall execute proper instruments acknowledging the same), except for the following which shall survive until otherwise terminated or discharged hereunder: (A) the rights of Holders of such Securities to receive, solely from the trust fund described in Section 14.04 and as more fully set forth in such Section, payments in respect of the principal of, premium (if any) and interest (if any) on such Securities when such payments are due, (B) the Company's obligations with respect to such Securities under Sections 3.05, 3.06, 10.02 and 10.03, (C) the rights, powers, trusts, duties and immunities of the Trustees hereunder and (D) this Article Fourteen. Subject to compliance with this Article Fourteen, the Company may exercise its option under this Section 14.02 notwithstanding the prior exercise of its option under Section 14.03 with respect to such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9" w:name="page150"/>
    <w:bookmarkEnd w:id="149"/>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14.03</w:t>
      </w:r>
      <w:r>
        <w:rPr>
          <w:sz w:val="20"/>
          <w:szCs w:val="20"/>
          <w:color w:val="auto"/>
        </w:rPr>
        <w:tab/>
      </w:r>
      <w:r>
        <w:rPr>
          <w:rFonts w:ascii="Times New Roman" w:cs="Times New Roman" w:eastAsia="Times New Roman" w:hAnsi="Times New Roman"/>
          <w:sz w:val="21"/>
          <w:szCs w:val="21"/>
          <w:b w:val="1"/>
          <w:bCs w:val="1"/>
          <w:color w:val="auto"/>
        </w:rPr>
        <w:t>Covenant Defeasance</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Upon the Company's exercise of the above option applicable to this Section 14.03 with respect to any Securities of or within a series, the Company shall be released from its obligations under Sections 10.05 and 10.06, and, if specified pursuant to Section 3.01, its obligations under any other covenant, with respect to such Securities on and after the date the conditions set forth in Section 14.04 are satisfied (hereinafter, " </w:t>
      </w:r>
      <w:r>
        <w:rPr>
          <w:rFonts w:ascii="Times New Roman" w:cs="Times New Roman" w:eastAsia="Times New Roman" w:hAnsi="Times New Roman"/>
          <w:sz w:val="22"/>
          <w:szCs w:val="22"/>
          <w:b w:val="1"/>
          <w:bCs w:val="1"/>
          <w:color w:val="auto"/>
        </w:rPr>
        <w:t>covenant defeasance</w:t>
      </w:r>
      <w:r>
        <w:rPr>
          <w:rFonts w:ascii="Times New Roman" w:cs="Times New Roman" w:eastAsia="Times New Roman" w:hAnsi="Times New Roman"/>
          <w:sz w:val="22"/>
          <w:szCs w:val="22"/>
          <w:color w:val="auto"/>
        </w:rPr>
        <w:t>"), and such Securities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Securities,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clauses (4) or (7) of Section 5.01 or otherwise but, except as specified above, the remainder of this Indenture and such Securities shall be unaffected thereby.</w:t>
      </w:r>
    </w:p>
    <w:p>
      <w:pPr>
        <w:spacing w:after="0" w:line="181"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14.04</w:t>
      </w:r>
      <w:r>
        <w:rPr>
          <w:sz w:val="20"/>
          <w:szCs w:val="20"/>
          <w:color w:val="auto"/>
        </w:rPr>
        <w:tab/>
      </w:r>
      <w:r>
        <w:rPr>
          <w:rFonts w:ascii="Times New Roman" w:cs="Times New Roman" w:eastAsia="Times New Roman" w:hAnsi="Times New Roman"/>
          <w:sz w:val="21"/>
          <w:szCs w:val="21"/>
          <w:b w:val="1"/>
          <w:bCs w:val="1"/>
          <w:color w:val="auto"/>
        </w:rPr>
        <w:t>Conditions to Defeasance or Covenant Defeasance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following shall be the conditions to application of either Section 14.02 or Section 14.03 to any Securities of or within</w:t>
      </w:r>
    </w:p>
    <w:p>
      <w:pPr>
        <w:spacing w:after="0" w:line="26" w:lineRule="exact"/>
        <w:rPr>
          <w:sz w:val="20"/>
          <w:szCs w:val="20"/>
          <w:color w:val="auto"/>
        </w:rPr>
      </w:pPr>
    </w:p>
    <w:p>
      <w:pPr>
        <w:ind w:left="160" w:hanging="152"/>
        <w:spacing w:after="0"/>
        <w:tabs>
          <w:tab w:leader="none" w:pos="1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series:</w:t>
      </w:r>
    </w:p>
    <w:p>
      <w:pPr>
        <w:spacing w:after="0" w:line="182" w:lineRule="exact"/>
        <w:rPr>
          <w:rFonts w:ascii="Times New Roman" w:cs="Times New Roman" w:eastAsia="Times New Roman" w:hAnsi="Times New Roman"/>
          <w:sz w:val="22"/>
          <w:szCs w:val="22"/>
          <w:color w:val="auto"/>
        </w:rPr>
      </w:pPr>
    </w:p>
    <w:p>
      <w:pPr>
        <w:jc w:val="both"/>
        <w:ind w:left="1300" w:hanging="644"/>
        <w:spacing w:after="0" w:line="233" w:lineRule="auto"/>
        <w:tabs>
          <w:tab w:leader="none" w:pos="134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irrevocably have deposited or caused to be deposited with either Trustee (or another trustee satisfying the requirements of Section 6.08 who shall agree to comply with the provisions of this Article Fourteen applicable to it) as trust funds in trust for the purpose of making the following payments, specifically pledged as security for, and dedicated solely to, the benefit of the Holders of such Securities, (A) 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money in an amount, or</w:t>
      </w:r>
    </w:p>
    <w:p>
      <w:pPr>
        <w:jc w:val="both"/>
        <w:ind w:left="1300" w:firstLine="4"/>
        <w:spacing w:after="0" w:line="231" w:lineRule="auto"/>
        <w:tabs>
          <w:tab w:leader="none" w:pos="1695"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combination thereof, sufficient, in the opinion of a nationally recognized firm of independent public accountants expressed in a written certification thereof delivered to the Trustees, to pay and discharge, and which shall be applied by the Trustees (or another trustee satisfying the requirements of Section 6.08 who shall agree to comply with the provisions of this Article Fourteen) to pay and discharge, (i) the principal of, premium (if any) and interest (if any) on such Securities on the Stated Maturity (or Redemption Date, if applicable) of such principal of, premium (if any) or installment of interest (if any), (ii) any mandatory sinking fund payments or analogous payments applicable to such Securities on the day on which such payments are due and payable in accordance with the terms of this Indenture and of such Securities, and (iii) all amounts due the Trustees under Section 6.07;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Trustees shall have been irrevocably instructed to apply such money or the proceeds of such Government Obligations to said payments with respect to such Securities. Before such a deposit, the Company may give to the Trustees, in accordance with Section 11.02, a notice of its election to redeem all or any portion of such Securities at a future date in accordance with the terms of such Securities and Article Eleven hereof, which notice shall be irrevocable. Such irrevocable redemption notice, if given, shall be given effect in applying the foregoing.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0" w:name="page151"/>
    <w:bookmarkEnd w:id="150"/>
    <w:p>
      <w:pPr>
        <w:jc w:val="both"/>
        <w:ind w:left="644" w:hanging="644"/>
        <w:spacing w:after="0"/>
        <w:tabs>
          <w:tab w:leader="none" w:pos="6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with respect to such Securities shall have occurred and be continuing on the date of such deposit or, insofar as clauses (5) and (6) of Section 5.01 are concerned, at any time during the period ending on the 91st day after the date of such deposit (it being understood that this condition shall not be deemed satisfied until the expiration of such period).</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defeasance or covenant defeasance shall not result in a breach or violation of, or constitute a Default or an Event of Default under, this Indenture or any default under any material agreement or instrument to which the Company is a party or by which it is bound.</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election under Section 14.02, the Company shall have delivered to the Trustees an Opinion of Counsel in the United States stating that (x) the Company has received from, or there has been published by, the Internal Revenue Service a ruling, or (y) since the date of execution of this Indenture, there has been a change in the applicable United States federal income tax law, in either case to the effect that, and based thereon such opinion shall confirm that, the Holders of such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w:t>
      </w:r>
    </w:p>
    <w:p>
      <w:pPr>
        <w:spacing w:after="0" w:line="178"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election under Section 14.03, the Company shall have delivered to the Trustees an Opinion of Counsel in the United States to the effect that the Holders of such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Trustees an Opinion of Counsel in Canada or a ruling from the Canada Revenue Agency to the effect that the Holders of such Securities will not recognize income, gain or loss for Canadian federal, provincial or territorial income tax or other tax purposes as a result of such defeasance or covenant defeasance, as applicable, and will be subject to Canadian federal, provincial or territorial income tax and other tax on the same amounts, in the same manner and at the same times as would have been the case had such defeasance or covenant defeasance, as applicable, not occurred (and for the purposes of such opinion, such Canadian counsel shall assume that Holders of such Securities include Holders who are not resident in Canada).</w:t>
      </w:r>
    </w:p>
    <w:p>
      <w:pPr>
        <w:spacing w:after="0" w:line="183"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an "insolvent person" within the meaning of the Bankruptcy and Insolvency Act (Canada) on the date of such deposit or at any time during the period ending on the 91st day after the date of such deposit (it being understood that this condition shall not be deemed satisfied until the expiration of such period).</w:t>
      </w:r>
    </w:p>
    <w:p>
      <w:pPr>
        <w:spacing w:after="0" w:line="17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146050</wp:posOffset>
            </wp:positionV>
            <wp:extent cx="7153275" cy="46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151" w:name="page152"/>
    <w:bookmarkEnd w:id="151"/>
    <w:p>
      <w:pPr>
        <w:jc w:val="both"/>
        <w:ind w:left="1300" w:hanging="644"/>
        <w:spacing w:after="0" w:line="244" w:lineRule="auto"/>
        <w:tabs>
          <w:tab w:leader="none" w:pos="134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of this Section 14.04, such defeasance or covenant defeasance shall be effected in compliance with any additional or substitute terms, conditions or limitations in connection therewith pursuant to Section 3.01.</w:t>
      </w:r>
    </w:p>
    <w:p>
      <w:pPr>
        <w:spacing w:after="0" w:line="173"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4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Trustees an Officer's Certificate and an Opinion of Counsel, each stating that all conditions precedent provided for, relating to either the defeasance under Section 14.02 or the covenant defeasance under Section 14.03 (as the case may be), have been complied with.</w:t>
      </w:r>
    </w:p>
    <w:p>
      <w:pPr>
        <w:spacing w:after="0" w:line="169" w:lineRule="exact"/>
        <w:rPr>
          <w:sz w:val="20"/>
          <w:szCs w:val="20"/>
          <w:color w:val="auto"/>
        </w:rPr>
      </w:pPr>
    </w:p>
    <w:p>
      <w:pPr>
        <w:jc w:val="both"/>
        <w:ind w:left="1960" w:hanging="1943"/>
        <w:spacing w:after="0" w:line="262" w:lineRule="auto"/>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14.05</w:t>
      </w:r>
      <w:r>
        <w:rPr>
          <w:sz w:val="20"/>
          <w:szCs w:val="20"/>
          <w:color w:val="auto"/>
        </w:rPr>
        <w:tab/>
      </w:r>
      <w:r>
        <w:rPr>
          <w:rFonts w:ascii="Times New Roman" w:cs="Times New Roman" w:eastAsia="Times New Roman" w:hAnsi="Times New Roman"/>
          <w:sz w:val="22"/>
          <w:szCs w:val="22"/>
          <w:b w:val="1"/>
          <w:bCs w:val="1"/>
          <w:color w:val="auto"/>
        </w:rPr>
        <w:t>Deposited Money and Government Obligations to Be Held in Trust; Other Miscellaneous Provisions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Subject to the provisions of the last paragraph of Section 10.03, all money and Government Obligations (or other property as may be provided pursuant to Section 3.01) (including the proceeds thereof) deposited with a Trustee (or another trustee satisfying the requirements of Section 6.08 who shall agree to comply with the provisions of this Article Fourteen) pursuant to Section 14.04 in respect of such Securities shall be held in trust and applied by such Trustee, in accordance with the provisions of such Securities and this Indenture, to the payment, either directly or through any Paying Agent (including the Company acting as its own Paying Agent), to the Holders of such Securities of all sums due and to become due thereon in respect of principal, premium (if any) and interest (if any) on such Securities but such money need not be segregated from other funds except to the extent required by law.</w:t>
      </w:r>
    </w:p>
    <w:p>
      <w:pPr>
        <w:spacing w:after="0" w:line="17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Unless otherwise specified with respect to any Security pursuant to Section 3.01, if, after a deposit referred to in Section 14.04(1)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shall be deemed to have been, and will be, fully discharged and satisfied through the payment of the principal of,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w:t>
      </w:r>
    </w:p>
    <w:p>
      <w:pPr>
        <w:spacing w:after="0" w:line="18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The Company shall pay and indemnify such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Securities.</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Anything in this Article Fourteen to the contrary notwithstanding, such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such Trustee, are in excess of the amount thereof which would then be required to be deposited to effect an equivalent defeasance or covenant defeasance, as applicable, in accordance with this Article Fourteen.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2" w:name="page153"/>
    <w:bookmarkEnd w:id="152"/>
    <w:p>
      <w:pPr>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14.06</w:t>
      </w:r>
      <w:r>
        <w:rPr>
          <w:sz w:val="20"/>
          <w:szCs w:val="20"/>
          <w:color w:val="auto"/>
        </w:rPr>
        <w:tab/>
      </w:r>
      <w:r>
        <w:rPr>
          <w:rFonts w:ascii="Times New Roman" w:cs="Times New Roman" w:eastAsia="Times New Roman" w:hAnsi="Times New Roman"/>
          <w:sz w:val="21"/>
          <w:szCs w:val="21"/>
          <w:b w:val="1"/>
          <w:bCs w:val="1"/>
          <w:color w:val="auto"/>
        </w:rPr>
        <w:t>Reinstatement</w:t>
      </w:r>
      <w:r>
        <w:rPr>
          <w:rFonts w:ascii="Times New Roman" w:cs="Times New Roman" w:eastAsia="Times New Roman" w:hAnsi="Times New Roman"/>
          <w:sz w:val="21"/>
          <w:szCs w:val="21"/>
          <w:color w:val="auto"/>
        </w:rPr>
        <w:t>.</w:t>
      </w:r>
    </w:p>
    <w:p>
      <w:pPr>
        <w:spacing w:after="0" w:line="21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If a Trustee or any Paying Agent is unable to apply any money in accordance with Section 14.05 by reason of any order or judgment of any court or governmental authority enjoining, restraining or otherwise prohibiting such application, then the Company's obligations under this Indenture and such Securities shall be revived and reinstated as though no deposit had occurred pursuant to Section 14.02 or 14.03, as the case may be, until such time as such Trustee or Paying Agent is permitted to apply all such money in accordance with Section 14.05;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Company makes any payment of principal of, premium (if any) or interest (if any) on any such Security following the reinstatement of its obligations, the Company shall be subrogated to the rights of the Holders of such Securities to receive such payment from the money held by such Trustee or Paying Agent.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3" w:name="page154"/>
    <w:bookmarkEnd w:id="153"/>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caused this Indenture to be duly executed, all as of the day and year first above written.</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CYBIN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-7620</wp:posOffset>
            </wp:positionV>
            <wp:extent cx="25990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U.S. Trustee</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-7620</wp:posOffset>
            </wp:positionV>
            <wp:extent cx="25990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Canadian Trustee</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4" w:name="page155"/>
    <w:bookmarkEnd w:id="154"/>
    <w:p>
      <w:pPr>
        <w:ind w:left="9920"/>
        <w:spacing w:after="0"/>
        <w:rPr>
          <w:sz w:val="20"/>
          <w:szCs w:val="20"/>
          <w:color w:val="auto"/>
        </w:rPr>
      </w:pPr>
      <w:r>
        <w:rPr>
          <w:rFonts w:ascii="Times New Roman" w:cs="Times New Roman" w:eastAsia="Times New Roman" w:hAnsi="Times New Roman"/>
          <w:sz w:val="21"/>
          <w:szCs w:val="21"/>
          <w:b w:val="1"/>
          <w:bCs w:val="1"/>
          <w:color w:val="auto"/>
        </w:rPr>
        <w:t>EXHIBIT A-1</w:t>
      </w:r>
    </w:p>
    <w:p>
      <w:pPr>
        <w:spacing w:after="0" w:line="222" w:lineRule="exact"/>
        <w:rPr>
          <w:sz w:val="20"/>
          <w:szCs w:val="20"/>
          <w:color w:val="auto"/>
        </w:rPr>
      </w:pPr>
    </w:p>
    <w:p>
      <w:pPr>
        <w:jc w:val="center"/>
        <w:ind w:left="340" w:right="2680"/>
        <w:spacing w:after="0" w:line="244" w:lineRule="auto"/>
        <w:rPr>
          <w:sz w:val="20"/>
          <w:szCs w:val="20"/>
          <w:color w:val="auto"/>
        </w:rPr>
      </w:pPr>
      <w:r>
        <w:rPr>
          <w:rFonts w:ascii="Times New Roman" w:cs="Times New Roman" w:eastAsia="Times New Roman" w:hAnsi="Times New Roman"/>
          <w:sz w:val="22"/>
          <w:szCs w:val="22"/>
          <w:color w:val="auto"/>
        </w:rPr>
        <w:t>FORM OF CERTIFICATE TO BE GIVEN BY PERSON ENTITLED TO OBTAIN INTEREST PAYABLE PRIOR TO THE EXCHANGE DATE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CYBIN INC.</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_____% Notes due _________________</w:t>
      </w:r>
    </w:p>
    <w:p>
      <w:pPr>
        <w:spacing w:after="0" w:line="18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This is to certify that as of the date hereof, and except as set forth below, the above-captioned Securities held by you for our account (i) are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persons(s)"), (ii) are owned by United States person(s) that are (a) foreign branches of United States financial institutions (financial institutions, as defined in United States.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Cybin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8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We undertake to advise you promptly in writing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certificate excepts and does not relate to U.S. $__________ of such interest in the above-captioned Securities in</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5" w:name="page156"/>
    <w:bookmarkEnd w:id="155"/>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be dated no earlier than the 15th day prior to</w:t>
      </w:r>
    </w:p>
    <w:p>
      <w:pPr>
        <w:ind w:right="7020" w:firstLine="8"/>
        <w:spacing w:after="0" w:line="235" w:lineRule="auto"/>
        <w:tabs>
          <w:tab w:leader="none" w:pos="25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Date or (ii) the relevant Interest Payment Date occurring prior to the Exchange Date, as applicable]</w:t>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Person Making Certification]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A-2</w:t>
      </w:r>
    </w:p>
    <w:p>
      <w:pPr>
        <w:spacing w:after="0" w:line="21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21"/>
          <w:szCs w:val="21"/>
          <w:color w:val="auto"/>
        </w:rPr>
        <w:t>FORM OF CERTIFICATE TO BE GIVEN BY THE DEPOSITARY IN CONNECTION WITH THE EXCHANGE OF A PORTION OF A TEMPORARY GLOBAL SECURITY OR TO OBTAIN INTEREST PAYABLE PRIOR TO THE EXCHANGE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CYBIN INC.</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_____% Notes due _________________</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This is to certify that based solely on written certifications that we have received in writing or by electronic transmission from each of the persons appearing in our records as persons entitled to a portion of the principal amount set forth below (our "Member Organizations") substantially in the form attached hereto, as of the date hereof, U.S. $__________ principal amount of</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above-captioned Securities (i) is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 (ii) is owned by United States person(s) that are (a) foreign branches of United States financial institutions (financial institutions, as defined in United States Treasury Regulation Section 1.165-12(c)</w:t>
      </w:r>
    </w:p>
    <w:p>
      <w:pPr>
        <w:spacing w:after="0" w:line="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Cybin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7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7" w:name="page158"/>
    <w:bookmarkEnd w:id="157"/>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be dated as of (i) the Exchange Date or</w:t>
      </w:r>
    </w:p>
    <w:p>
      <w:pPr>
        <w:ind w:right="7040" w:firstLine="8"/>
        <w:spacing w:after="0" w:line="258" w:lineRule="auto"/>
        <w:tabs>
          <w:tab w:leader="none" w:pos="31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relevant Interest Payment Date occurring prior to the Exchange Date, as applicable]</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DEPOSITARY]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8" w:name="page159"/>
    <w:bookmarkEnd w:id="158"/>
    <w:p>
      <w:pPr>
        <w:ind w:left="95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153275" cy="27940"/>
                    </a:xfrm>
                    <a:prstGeom prst="rect">
                      <a:avLst/>
                    </a:prstGeom>
                    <a:noFill/>
                  </pic:spPr>
                </pic:pic>
              </a:graphicData>
            </a:graphic>
          </wp:anchor>
        </w:drawing>
        <w:t>EX-FILING FEES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F-10</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Type)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1: Newly Registered and Carry Forward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Fee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0" w:type="dxa"/>
            <w:vAlign w:val="bottom"/>
          </w:tcPr>
          <w:p>
            <w:pPr>
              <w:spacing w:after="0"/>
              <w:rPr>
                <w:sz w:val="17"/>
                <w:szCs w:val="17"/>
                <w:color w:val="auto"/>
              </w:rPr>
            </w:pPr>
          </w:p>
        </w:tc>
        <w:tc>
          <w:tcPr>
            <w:tcW w:w="142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or Carry</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Offering</w:t>
            </w:r>
          </w:p>
        </w:tc>
        <w:tc>
          <w:tcPr>
            <w:tcW w:w="2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200" w:type="dxa"/>
            <w:vAlign w:val="bottom"/>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tcPr>
          <w:p>
            <w:pPr>
              <w:spacing w:after="0"/>
              <w:rPr>
                <w:sz w:val="17"/>
                <w:szCs w:val="17"/>
                <w:color w:val="auto"/>
              </w:rPr>
            </w:pP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1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Security Type</w:t>
            </w: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Class Title</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Rule</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line="256" w:lineRule="exact"/>
              <w:rPr>
                <w:sz w:val="20"/>
                <w:szCs w:val="20"/>
                <w:color w:val="auto"/>
              </w:rPr>
            </w:pPr>
            <w:r>
              <w:rPr>
                <w:rFonts w:ascii="Times New Roman" w:cs="Times New Roman" w:eastAsia="Times New Roman" w:hAnsi="Times New Roman"/>
                <w:sz w:val="16"/>
                <w:szCs w:val="16"/>
                <w:b w:val="1"/>
                <w:bCs w:val="1"/>
                <w:color w:val="auto"/>
                <w:w w:val="91"/>
              </w:rPr>
              <w:t>Registered</w:t>
            </w:r>
            <w:r>
              <w:rPr>
                <w:rFonts w:ascii="Times New Roman" w:cs="Times New Roman" w:eastAsia="Times New Roman" w:hAnsi="Times New Roman"/>
                <w:sz w:val="26"/>
                <w:szCs w:val="26"/>
                <w:b w:val="1"/>
                <w:bCs w:val="1"/>
                <w:color w:val="auto"/>
                <w:w w:val="91"/>
                <w:vertAlign w:val="superscript"/>
              </w:rPr>
              <w:t>(1)(3)</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line="256" w:lineRule="exact"/>
              <w:rPr>
                <w:sz w:val="20"/>
                <w:szCs w:val="20"/>
                <w:color w:val="auto"/>
              </w:rPr>
            </w:pPr>
            <w:r>
              <w:rPr>
                <w:rFonts w:ascii="Times New Roman" w:cs="Times New Roman" w:eastAsia="Times New Roman" w:hAnsi="Times New Roman"/>
                <w:sz w:val="16"/>
                <w:szCs w:val="16"/>
                <w:b w:val="1"/>
                <w:bCs w:val="1"/>
                <w:color w:val="auto"/>
                <w:w w:val="93"/>
              </w:rPr>
              <w:t>Offering Price</w:t>
            </w:r>
            <w:r>
              <w:rPr>
                <w:rFonts w:ascii="Times New Roman" w:cs="Times New Roman" w:eastAsia="Times New Roman" w:hAnsi="Times New Roman"/>
                <w:sz w:val="26"/>
                <w:szCs w:val="26"/>
                <w:b w:val="1"/>
                <w:bCs w:val="1"/>
                <w:color w:val="auto"/>
                <w:w w:val="93"/>
                <w:vertAlign w:val="superscript"/>
              </w:rPr>
              <w:t>(1)(2)</w:t>
            </w: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19"/>
              <w:spacing w:after="0" w:line="256" w:lineRule="exact"/>
              <w:rPr>
                <w:sz w:val="20"/>
                <w:szCs w:val="20"/>
                <w:color w:val="auto"/>
              </w:rPr>
            </w:pPr>
            <w:r>
              <w:rPr>
                <w:rFonts w:ascii="Times New Roman" w:cs="Times New Roman" w:eastAsia="Times New Roman" w:hAnsi="Times New Roman"/>
                <w:sz w:val="16"/>
                <w:szCs w:val="16"/>
                <w:b w:val="1"/>
                <w:bCs w:val="1"/>
                <w:color w:val="auto"/>
                <w:w w:val="95"/>
              </w:rPr>
              <w:t>Registration Fee</w:t>
            </w:r>
            <w:r>
              <w:rPr>
                <w:rFonts w:ascii="Times New Roman" w:cs="Times New Roman" w:eastAsia="Times New Roman" w:hAnsi="Times New Roman"/>
                <w:sz w:val="26"/>
                <w:szCs w:val="26"/>
                <w:b w:val="1"/>
                <w:bCs w:val="1"/>
                <w:color w:val="auto"/>
                <w:w w:val="95"/>
                <w:vertAlign w:val="superscript"/>
              </w:rPr>
              <w:t>(1)(3)</w:t>
            </w:r>
          </w:p>
        </w:tc>
        <w:tc>
          <w:tcPr>
            <w:tcW w:w="0" w:type="dxa"/>
            <w:vAlign w:val="bottom"/>
          </w:tcPr>
          <w:p>
            <w:pPr>
              <w:spacing w:after="0"/>
              <w:rPr>
                <w:sz w:val="1"/>
                <w:szCs w:val="1"/>
                <w:color w:val="auto"/>
              </w:rPr>
            </w:pPr>
          </w:p>
        </w:tc>
      </w:tr>
      <w:tr>
        <w:trPr>
          <w:trHeight w:val="196"/>
        </w:trPr>
        <w:tc>
          <w:tcPr>
            <w:tcW w:w="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Newly Registered Securities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60" w:type="dxa"/>
            <w:vAlign w:val="bottom"/>
            <w:shd w:val="clear" w:color="auto" w:fill="E6EFFF"/>
          </w:tcPr>
          <w:p>
            <w:pPr>
              <w:spacing w:after="0"/>
              <w:rPr>
                <w:sz w:val="15"/>
                <w:szCs w:val="15"/>
                <w:color w:val="auto"/>
              </w:rPr>
            </w:pPr>
          </w:p>
        </w:tc>
        <w:tc>
          <w:tcPr>
            <w:tcW w:w="1300" w:type="dxa"/>
            <w:vAlign w:val="bottom"/>
            <w:shd w:val="clear" w:color="auto" w:fill="E6EFFF"/>
          </w:tcPr>
          <w:p>
            <w:pPr>
              <w:spacing w:after="0"/>
              <w:rPr>
                <w:sz w:val="15"/>
                <w:szCs w:val="15"/>
                <w:color w:val="auto"/>
              </w:rPr>
            </w:pPr>
          </w:p>
        </w:tc>
        <w:tc>
          <w:tcPr>
            <w:tcW w:w="1020" w:type="dxa"/>
            <w:vAlign w:val="bottom"/>
            <w:shd w:val="clear" w:color="auto" w:fill="E6EFFF"/>
          </w:tcPr>
          <w:p>
            <w:pPr>
              <w:jc w:val="center"/>
              <w:ind w:right="19"/>
              <w:spacing w:after="0" w:line="182" w:lineRule="exact"/>
              <w:rPr>
                <w:sz w:val="20"/>
                <w:szCs w:val="20"/>
                <w:color w:val="auto"/>
              </w:rPr>
            </w:pPr>
            <w:r>
              <w:rPr>
                <w:rFonts w:ascii="Times New Roman" w:cs="Times New Roman" w:eastAsia="Times New Roman" w:hAnsi="Times New Roman"/>
                <w:sz w:val="16"/>
                <w:szCs w:val="16"/>
                <w:color w:val="auto"/>
              </w:rPr>
              <w:t>Common</w:t>
            </w:r>
          </w:p>
        </w:tc>
        <w:tc>
          <w:tcPr>
            <w:tcW w:w="104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c>
          <w:tcPr>
            <w:tcW w:w="96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1420" w:type="dxa"/>
            <w:vAlign w:val="bottom"/>
            <w:shd w:val="clear" w:color="auto" w:fill="E6EFFF"/>
          </w:tcPr>
          <w:p>
            <w:pPr>
              <w:spacing w:after="0"/>
              <w:rPr>
                <w:sz w:val="15"/>
                <w:szCs w:val="15"/>
                <w:color w:val="auto"/>
              </w:rPr>
            </w:pPr>
          </w:p>
        </w:tc>
        <w:tc>
          <w:tcPr>
            <w:tcW w:w="1160" w:type="dxa"/>
            <w:vAlign w:val="bottom"/>
            <w:shd w:val="clear" w:color="auto" w:fill="E6EFFF"/>
          </w:tcPr>
          <w:p>
            <w:pPr>
              <w:spacing w:after="0"/>
              <w:rPr>
                <w:sz w:val="15"/>
                <w:szCs w:val="15"/>
                <w:color w:val="auto"/>
              </w:rPr>
            </w:pPr>
          </w:p>
        </w:tc>
        <w:tc>
          <w:tcPr>
            <w:tcW w:w="20" w:type="dxa"/>
            <w:vAlign w:val="bottom"/>
            <w:shd w:val="clear" w:color="auto" w:fill="E6EFFF"/>
          </w:tcPr>
          <w:p>
            <w:pPr>
              <w:spacing w:after="0"/>
              <w:rPr>
                <w:sz w:val="15"/>
                <w:szCs w:val="15"/>
                <w:color w:val="auto"/>
              </w:rPr>
            </w:pPr>
          </w:p>
        </w:tc>
        <w:tc>
          <w:tcPr>
            <w:tcW w:w="60" w:type="dxa"/>
            <w:vAlign w:val="bottom"/>
            <w:shd w:val="clear" w:color="auto" w:fill="E6EFFF"/>
          </w:tcPr>
          <w:p>
            <w:pPr>
              <w:spacing w:after="0"/>
              <w:rPr>
                <w:sz w:val="15"/>
                <w:szCs w:val="15"/>
                <w:color w:val="auto"/>
              </w:rPr>
            </w:pPr>
          </w:p>
        </w:tc>
        <w:tc>
          <w:tcPr>
            <w:tcW w:w="168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E6EFFF"/>
          </w:tcPr>
          <w:p>
            <w:pPr>
              <w:spacing w:after="0"/>
              <w:rPr>
                <w:sz w:val="17"/>
                <w:szCs w:val="17"/>
                <w:color w:val="auto"/>
              </w:rPr>
            </w:pPr>
          </w:p>
        </w:tc>
        <w:tc>
          <w:tcPr>
            <w:tcW w:w="1300" w:type="dxa"/>
            <w:vAlign w:val="bottom"/>
            <w:shd w:val="clear" w:color="auto" w:fill="E6EFFF"/>
          </w:tcPr>
          <w:p>
            <w:pPr>
              <w:spacing w:after="0"/>
              <w:rPr>
                <w:sz w:val="17"/>
                <w:szCs w:val="17"/>
                <w:color w:val="auto"/>
              </w:rPr>
            </w:pPr>
          </w:p>
        </w:tc>
        <w:tc>
          <w:tcPr>
            <w:tcW w:w="1020" w:type="dxa"/>
            <w:vAlign w:val="bottom"/>
            <w:shd w:val="clear" w:color="auto" w:fill="E6EFFF"/>
          </w:tcPr>
          <w:p>
            <w:pPr>
              <w:jc w:val="center"/>
              <w:ind w:right="19"/>
              <w:spacing w:after="0"/>
              <w:rPr>
                <w:sz w:val="20"/>
                <w:szCs w:val="20"/>
                <w:color w:val="auto"/>
              </w:rPr>
            </w:pPr>
            <w:r>
              <w:rPr>
                <w:rFonts w:ascii="Times New Roman" w:cs="Times New Roman" w:eastAsia="Times New Roman" w:hAnsi="Times New Roman"/>
                <w:sz w:val="16"/>
                <w:szCs w:val="16"/>
                <w:color w:val="auto"/>
              </w:rPr>
              <w:t>Shares,</w:t>
            </w:r>
          </w:p>
        </w:tc>
        <w:tc>
          <w:tcPr>
            <w:tcW w:w="10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96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420" w:type="dxa"/>
            <w:vAlign w:val="bottom"/>
            <w:shd w:val="clear" w:color="auto" w:fill="E6EFFF"/>
          </w:tcPr>
          <w:p>
            <w:pPr>
              <w:spacing w:after="0"/>
              <w:rPr>
                <w:sz w:val="17"/>
                <w:szCs w:val="17"/>
                <w:color w:val="auto"/>
              </w:rPr>
            </w:pPr>
          </w:p>
        </w:tc>
        <w:tc>
          <w:tcPr>
            <w:tcW w:w="1160" w:type="dxa"/>
            <w:vAlign w:val="bottom"/>
            <w:shd w:val="clear" w:color="auto" w:fill="E6EFFF"/>
          </w:tcPr>
          <w:p>
            <w:pPr>
              <w:spacing w:after="0"/>
              <w:rPr>
                <w:sz w:val="17"/>
                <w:szCs w:val="17"/>
                <w:color w:val="auto"/>
              </w:rPr>
            </w:pPr>
          </w:p>
        </w:tc>
        <w:tc>
          <w:tcPr>
            <w:tcW w:w="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68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6"/>
                <w:szCs w:val="16"/>
                <w:color w:val="auto"/>
                <w:w w:val="98"/>
              </w:rPr>
              <w:t>Fees to be</w:t>
            </w:r>
          </w:p>
        </w:tc>
        <w:tc>
          <w:tcPr>
            <w:tcW w:w="1300" w:type="dxa"/>
            <w:vAlign w:val="bottom"/>
            <w:shd w:val="clear" w:color="auto" w:fill="E6EFFF"/>
          </w:tcPr>
          <w:p>
            <w:pPr>
              <w:jc w:val="center"/>
              <w:ind w:right="79"/>
              <w:spacing w:after="0"/>
              <w:rPr>
                <w:sz w:val="20"/>
                <w:szCs w:val="20"/>
                <w:color w:val="auto"/>
              </w:rPr>
            </w:pPr>
            <w:r>
              <w:rPr>
                <w:rFonts w:ascii="Times New Roman" w:cs="Times New Roman" w:eastAsia="Times New Roman" w:hAnsi="Times New Roman"/>
                <w:sz w:val="16"/>
                <w:szCs w:val="16"/>
                <w:color w:val="auto"/>
              </w:rPr>
              <w:t>Unallocated</w:t>
            </w:r>
          </w:p>
        </w:tc>
        <w:tc>
          <w:tcPr>
            <w:tcW w:w="1020" w:type="dxa"/>
            <w:vAlign w:val="bottom"/>
            <w:shd w:val="clear" w:color="auto" w:fill="E6EFFF"/>
          </w:tcPr>
          <w:p>
            <w:pPr>
              <w:jc w:val="center"/>
              <w:ind w:right="39"/>
              <w:spacing w:after="0"/>
              <w:rPr>
                <w:sz w:val="20"/>
                <w:szCs w:val="20"/>
                <w:color w:val="auto"/>
              </w:rPr>
            </w:pPr>
            <w:r>
              <w:rPr>
                <w:rFonts w:ascii="Times New Roman" w:cs="Times New Roman" w:eastAsia="Times New Roman" w:hAnsi="Times New Roman"/>
                <w:sz w:val="16"/>
                <w:szCs w:val="16"/>
                <w:color w:val="auto"/>
                <w:w w:val="98"/>
              </w:rPr>
              <w:t>Warrants,</w:t>
            </w:r>
          </w:p>
        </w:tc>
        <w:tc>
          <w:tcPr>
            <w:tcW w:w="10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96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420" w:type="dxa"/>
            <w:vAlign w:val="bottom"/>
            <w:shd w:val="clear" w:color="auto" w:fill="E6EFFF"/>
          </w:tcPr>
          <w:p>
            <w:pPr>
              <w:spacing w:after="0"/>
              <w:rPr>
                <w:sz w:val="17"/>
                <w:szCs w:val="17"/>
                <w:color w:val="auto"/>
              </w:rPr>
            </w:pPr>
          </w:p>
        </w:tc>
        <w:tc>
          <w:tcPr>
            <w:tcW w:w="1160" w:type="dxa"/>
            <w:vAlign w:val="bottom"/>
            <w:shd w:val="clear" w:color="auto" w:fill="E6EFFF"/>
          </w:tcPr>
          <w:p>
            <w:pPr>
              <w:spacing w:after="0"/>
              <w:rPr>
                <w:sz w:val="17"/>
                <w:szCs w:val="17"/>
                <w:color w:val="auto"/>
              </w:rPr>
            </w:pPr>
          </w:p>
        </w:tc>
        <w:tc>
          <w:tcPr>
            <w:tcW w:w="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68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960" w:type="dxa"/>
            <w:vAlign w:val="bottom"/>
            <w:vMerge w:val="continue"/>
            <w:shd w:val="clear" w:color="auto" w:fill="E6EFFF"/>
          </w:tcPr>
          <w:p>
            <w:pPr>
              <w:spacing w:after="0"/>
              <w:rPr>
                <w:sz w:val="8"/>
                <w:szCs w:val="8"/>
                <w:color w:val="auto"/>
              </w:rPr>
            </w:pPr>
          </w:p>
        </w:tc>
        <w:tc>
          <w:tcPr>
            <w:tcW w:w="1300" w:type="dxa"/>
            <w:vAlign w:val="bottom"/>
            <w:vMerge w:val="restart"/>
            <w:shd w:val="clear" w:color="auto" w:fill="E6EFFF"/>
          </w:tcPr>
          <w:p>
            <w:pPr>
              <w:jc w:val="center"/>
              <w:ind w:right="79"/>
              <w:spacing w:after="0"/>
              <w:rPr>
                <w:sz w:val="20"/>
                <w:szCs w:val="20"/>
                <w:color w:val="auto"/>
              </w:rPr>
            </w:pPr>
            <w:r>
              <w:rPr>
                <w:rFonts w:ascii="Times New Roman" w:cs="Times New Roman" w:eastAsia="Times New Roman" w:hAnsi="Times New Roman"/>
                <w:sz w:val="16"/>
                <w:szCs w:val="16"/>
                <w:color w:val="auto"/>
              </w:rPr>
              <w:t>(Universal)</w:t>
            </w:r>
          </w:p>
        </w:tc>
        <w:tc>
          <w:tcPr>
            <w:tcW w:w="1020" w:type="dxa"/>
            <w:vAlign w:val="bottom"/>
            <w:vMerge w:val="restart"/>
            <w:shd w:val="clear" w:color="auto" w:fill="E6EFFF"/>
          </w:tcPr>
          <w:p>
            <w:pPr>
              <w:jc w:val="center"/>
              <w:ind w:right="39"/>
              <w:spacing w:after="0"/>
              <w:rPr>
                <w:sz w:val="20"/>
                <w:szCs w:val="20"/>
                <w:color w:val="auto"/>
              </w:rPr>
            </w:pPr>
            <w:r>
              <w:rPr>
                <w:rFonts w:ascii="Times New Roman" w:cs="Times New Roman" w:eastAsia="Times New Roman" w:hAnsi="Times New Roman"/>
                <w:sz w:val="16"/>
                <w:szCs w:val="16"/>
                <w:color w:val="auto"/>
              </w:rPr>
              <w:t>Units, Debt</w:t>
            </w:r>
          </w:p>
        </w:tc>
        <w:tc>
          <w:tcPr>
            <w:tcW w:w="104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6"/>
                <w:szCs w:val="16"/>
                <w:color w:val="auto"/>
              </w:rPr>
              <w:t>Rule 457(o)</w:t>
            </w:r>
          </w:p>
        </w:tc>
        <w:tc>
          <w:tcPr>
            <w:tcW w:w="200" w:type="dxa"/>
            <w:vAlign w:val="bottom"/>
            <w:vMerge w:val="restart"/>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149,572,824</w:t>
            </w:r>
          </w:p>
        </w:tc>
        <w:tc>
          <w:tcPr>
            <w:tcW w:w="9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200" w:type="dxa"/>
            <w:vAlign w:val="bottom"/>
            <w:vMerge w:val="restart"/>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vMerge w:val="restart"/>
            <w:shd w:val="clear" w:color="auto" w:fill="E6EFFF"/>
          </w:tcPr>
          <w:p>
            <w:pPr>
              <w:jc w:val="right"/>
              <w:ind w:right="19"/>
              <w:spacing w:after="0"/>
              <w:rPr>
                <w:sz w:val="20"/>
                <w:szCs w:val="20"/>
                <w:color w:val="auto"/>
              </w:rPr>
            </w:pPr>
            <w:r>
              <w:rPr>
                <w:rFonts w:ascii="Times New Roman" w:cs="Times New Roman" w:eastAsia="Times New Roman" w:hAnsi="Times New Roman"/>
                <w:sz w:val="16"/>
                <w:szCs w:val="16"/>
                <w:color w:val="auto"/>
              </w:rPr>
              <w:t>149,572,824</w:t>
            </w:r>
          </w:p>
        </w:tc>
        <w:tc>
          <w:tcPr>
            <w:tcW w:w="1160" w:type="dxa"/>
            <w:vAlign w:val="bottom"/>
            <w:vMerge w:val="restart"/>
            <w:shd w:val="clear" w:color="auto" w:fill="E6EFFF"/>
          </w:tcPr>
          <w:p>
            <w:pPr>
              <w:jc w:val="right"/>
              <w:ind w:right="119"/>
              <w:spacing w:after="0"/>
              <w:rPr>
                <w:sz w:val="20"/>
                <w:szCs w:val="20"/>
                <w:color w:val="auto"/>
              </w:rPr>
            </w:pPr>
            <w:r>
              <w:rPr>
                <w:rFonts w:ascii="Times New Roman" w:cs="Times New Roman" w:eastAsia="Times New Roman" w:hAnsi="Times New Roman"/>
                <w:sz w:val="16"/>
                <w:szCs w:val="16"/>
                <w:color w:val="auto"/>
              </w:rPr>
              <w:t>$ 0.00015310</w:t>
            </w:r>
          </w:p>
        </w:tc>
        <w:tc>
          <w:tcPr>
            <w:tcW w:w="80" w:type="dxa"/>
            <w:vAlign w:val="bottom"/>
            <w:gridSpan w:val="2"/>
            <w:vMerge w:val="restart"/>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vMerge w:val="restart"/>
            <w:shd w:val="clear" w:color="auto" w:fill="E6EFFF"/>
          </w:tcPr>
          <w:p>
            <w:pPr>
              <w:jc w:val="right"/>
              <w:ind w:right="119"/>
              <w:spacing w:after="0"/>
              <w:rPr>
                <w:sz w:val="20"/>
                <w:szCs w:val="20"/>
                <w:color w:val="auto"/>
              </w:rPr>
            </w:pPr>
            <w:r>
              <w:rPr>
                <w:rFonts w:ascii="Times New Roman" w:cs="Times New Roman" w:eastAsia="Times New Roman" w:hAnsi="Times New Roman"/>
                <w:sz w:val="16"/>
                <w:szCs w:val="16"/>
                <w:color w:val="auto"/>
              </w:rPr>
              <w:t>22,899.60</w:t>
            </w:r>
          </w:p>
        </w:tc>
        <w:tc>
          <w:tcPr>
            <w:tcW w:w="0" w:type="dxa"/>
            <w:vAlign w:val="bottom"/>
          </w:tcPr>
          <w:p>
            <w:pPr>
              <w:spacing w:after="0"/>
              <w:rPr>
                <w:sz w:val="1"/>
                <w:szCs w:val="1"/>
                <w:color w:val="auto"/>
              </w:rPr>
            </w:pPr>
          </w:p>
        </w:tc>
      </w:tr>
      <w:tr>
        <w:trPr>
          <w:trHeight w:val="108"/>
        </w:trPr>
        <w:tc>
          <w:tcPr>
            <w:tcW w:w="96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6"/>
                <w:szCs w:val="16"/>
                <w:color w:val="auto"/>
                <w:w w:val="98"/>
              </w:rPr>
              <w:t>Paid</w:t>
            </w:r>
          </w:p>
        </w:tc>
        <w:tc>
          <w:tcPr>
            <w:tcW w:w="1300" w:type="dxa"/>
            <w:vAlign w:val="bottom"/>
            <w:vMerge w:val="continue"/>
            <w:shd w:val="clear" w:color="auto" w:fill="E6EFFF"/>
          </w:tcPr>
          <w:p>
            <w:pPr>
              <w:spacing w:after="0"/>
              <w:rPr>
                <w:sz w:val="9"/>
                <w:szCs w:val="9"/>
                <w:color w:val="auto"/>
              </w:rPr>
            </w:pPr>
          </w:p>
        </w:tc>
        <w:tc>
          <w:tcPr>
            <w:tcW w:w="1020" w:type="dxa"/>
            <w:vAlign w:val="bottom"/>
            <w:vMerge w:val="continue"/>
            <w:shd w:val="clear" w:color="auto" w:fill="E6EFFF"/>
          </w:tcPr>
          <w:p>
            <w:pPr>
              <w:spacing w:after="0"/>
              <w:rPr>
                <w:sz w:val="9"/>
                <w:szCs w:val="9"/>
                <w:color w:val="auto"/>
              </w:rPr>
            </w:pPr>
          </w:p>
        </w:tc>
        <w:tc>
          <w:tcPr>
            <w:tcW w:w="1040" w:type="dxa"/>
            <w:vAlign w:val="bottom"/>
            <w:vMerge w:val="continue"/>
            <w:shd w:val="clear" w:color="auto" w:fill="E6EFFF"/>
          </w:tcPr>
          <w:p>
            <w:pPr>
              <w:spacing w:after="0"/>
              <w:rPr>
                <w:sz w:val="9"/>
                <w:szCs w:val="9"/>
                <w:color w:val="auto"/>
              </w:rPr>
            </w:pPr>
          </w:p>
        </w:tc>
        <w:tc>
          <w:tcPr>
            <w:tcW w:w="200" w:type="dxa"/>
            <w:vAlign w:val="bottom"/>
            <w:vMerge w:val="continue"/>
            <w:shd w:val="clear" w:color="auto" w:fill="E6EFFF"/>
          </w:tcPr>
          <w:p>
            <w:pPr>
              <w:spacing w:after="0"/>
              <w:rPr>
                <w:sz w:val="9"/>
                <w:szCs w:val="9"/>
                <w:color w:val="auto"/>
              </w:rPr>
            </w:pPr>
          </w:p>
        </w:tc>
        <w:tc>
          <w:tcPr>
            <w:tcW w:w="1220" w:type="dxa"/>
            <w:vAlign w:val="bottom"/>
            <w:vMerge w:val="continue"/>
            <w:shd w:val="clear" w:color="auto" w:fill="E6EFFF"/>
          </w:tcPr>
          <w:p>
            <w:pPr>
              <w:spacing w:after="0"/>
              <w:rPr>
                <w:sz w:val="9"/>
                <w:szCs w:val="9"/>
                <w:color w:val="auto"/>
              </w:rPr>
            </w:pPr>
          </w:p>
        </w:tc>
        <w:tc>
          <w:tcPr>
            <w:tcW w:w="960" w:type="dxa"/>
            <w:vAlign w:val="bottom"/>
            <w:vMerge w:val="continue"/>
            <w:shd w:val="clear" w:color="auto" w:fill="E6EFFF"/>
          </w:tcPr>
          <w:p>
            <w:pPr>
              <w:spacing w:after="0"/>
              <w:rPr>
                <w:sz w:val="9"/>
                <w:szCs w:val="9"/>
                <w:color w:val="auto"/>
              </w:rPr>
            </w:pPr>
          </w:p>
        </w:tc>
        <w:tc>
          <w:tcPr>
            <w:tcW w:w="200" w:type="dxa"/>
            <w:vAlign w:val="bottom"/>
            <w:vMerge w:val="continue"/>
            <w:shd w:val="clear" w:color="auto" w:fill="E6EFFF"/>
          </w:tcPr>
          <w:p>
            <w:pPr>
              <w:spacing w:after="0"/>
              <w:rPr>
                <w:sz w:val="9"/>
                <w:szCs w:val="9"/>
                <w:color w:val="auto"/>
              </w:rPr>
            </w:pPr>
          </w:p>
        </w:tc>
        <w:tc>
          <w:tcPr>
            <w:tcW w:w="1420" w:type="dxa"/>
            <w:vAlign w:val="bottom"/>
            <w:vMerge w:val="continue"/>
            <w:shd w:val="clear" w:color="auto" w:fill="E6EFFF"/>
          </w:tcPr>
          <w:p>
            <w:pPr>
              <w:spacing w:after="0"/>
              <w:rPr>
                <w:sz w:val="9"/>
                <w:szCs w:val="9"/>
                <w:color w:val="auto"/>
              </w:rPr>
            </w:pPr>
          </w:p>
        </w:tc>
        <w:tc>
          <w:tcPr>
            <w:tcW w:w="1160" w:type="dxa"/>
            <w:vAlign w:val="bottom"/>
            <w:vMerge w:val="continue"/>
            <w:shd w:val="clear" w:color="auto" w:fill="E6EFFF"/>
          </w:tcPr>
          <w:p>
            <w:pPr>
              <w:spacing w:after="0"/>
              <w:rPr>
                <w:sz w:val="9"/>
                <w:szCs w:val="9"/>
                <w:color w:val="auto"/>
              </w:rPr>
            </w:pPr>
          </w:p>
        </w:tc>
        <w:tc>
          <w:tcPr>
            <w:tcW w:w="80" w:type="dxa"/>
            <w:vAlign w:val="bottom"/>
            <w:gridSpan w:val="2"/>
            <w:vMerge w:val="continue"/>
            <w:shd w:val="clear" w:color="auto" w:fill="E6EFFF"/>
          </w:tcPr>
          <w:p>
            <w:pPr>
              <w:spacing w:after="0"/>
              <w:rPr>
                <w:sz w:val="9"/>
                <w:szCs w:val="9"/>
                <w:color w:val="auto"/>
              </w:rPr>
            </w:pPr>
          </w:p>
        </w:tc>
        <w:tc>
          <w:tcPr>
            <w:tcW w:w="1680" w:type="dxa"/>
            <w:vAlign w:val="bottom"/>
            <w:vMerge w:val="continue"/>
            <w:shd w:val="clear" w:color="auto" w:fill="E6EF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shd w:val="clear" w:color="auto" w:fill="E6EFFF"/>
          </w:tcPr>
          <w:p>
            <w:pPr>
              <w:spacing w:after="0"/>
              <w:rPr>
                <w:sz w:val="8"/>
                <w:szCs w:val="8"/>
                <w:color w:val="auto"/>
              </w:rPr>
            </w:pPr>
          </w:p>
        </w:tc>
        <w:tc>
          <w:tcPr>
            <w:tcW w:w="1300" w:type="dxa"/>
            <w:vAlign w:val="bottom"/>
            <w:vMerge w:val="restart"/>
            <w:shd w:val="clear" w:color="auto" w:fill="E6EFFF"/>
          </w:tcPr>
          <w:p>
            <w:pPr>
              <w:jc w:val="center"/>
              <w:ind w:right="79"/>
              <w:spacing w:after="0"/>
              <w:rPr>
                <w:sz w:val="20"/>
                <w:szCs w:val="20"/>
                <w:color w:val="auto"/>
              </w:rPr>
            </w:pPr>
            <w:r>
              <w:rPr>
                <w:rFonts w:ascii="Times New Roman" w:cs="Times New Roman" w:eastAsia="Times New Roman" w:hAnsi="Times New Roman"/>
                <w:sz w:val="16"/>
                <w:szCs w:val="16"/>
                <w:color w:val="auto"/>
              </w:rPr>
              <w:t>Shelf</w:t>
            </w:r>
          </w:p>
        </w:tc>
        <w:tc>
          <w:tcPr>
            <w:tcW w:w="1020" w:type="dxa"/>
            <w:vAlign w:val="bottom"/>
            <w:vMerge w:val="restart"/>
            <w:shd w:val="clear" w:color="auto" w:fill="E6EFFF"/>
          </w:tcPr>
          <w:p>
            <w:pPr>
              <w:jc w:val="center"/>
              <w:ind w:right="19"/>
              <w:spacing w:after="0"/>
              <w:rPr>
                <w:sz w:val="20"/>
                <w:szCs w:val="20"/>
                <w:color w:val="auto"/>
              </w:rPr>
            </w:pPr>
            <w:r>
              <w:rPr>
                <w:rFonts w:ascii="Times New Roman" w:cs="Times New Roman" w:eastAsia="Times New Roman" w:hAnsi="Times New Roman"/>
                <w:sz w:val="16"/>
                <w:szCs w:val="16"/>
                <w:color w:val="auto"/>
              </w:rPr>
              <w:t>Securities</w:t>
            </w:r>
          </w:p>
        </w:tc>
        <w:tc>
          <w:tcPr>
            <w:tcW w:w="1040" w:type="dxa"/>
            <w:vAlign w:val="bottom"/>
            <w:shd w:val="clear" w:color="auto" w:fill="E6EFFF"/>
          </w:tcPr>
          <w:p>
            <w:pPr>
              <w:spacing w:after="0"/>
              <w:rPr>
                <w:sz w:val="8"/>
                <w:szCs w:val="8"/>
                <w:color w:val="auto"/>
              </w:rPr>
            </w:pPr>
          </w:p>
        </w:tc>
        <w:tc>
          <w:tcPr>
            <w:tcW w:w="200" w:type="dxa"/>
            <w:vAlign w:val="bottom"/>
            <w:shd w:val="clear" w:color="auto" w:fill="E6EFFF"/>
          </w:tcPr>
          <w:p>
            <w:pPr>
              <w:spacing w:after="0"/>
              <w:rPr>
                <w:sz w:val="8"/>
                <w:szCs w:val="8"/>
                <w:color w:val="auto"/>
              </w:rPr>
            </w:pPr>
          </w:p>
        </w:tc>
        <w:tc>
          <w:tcPr>
            <w:tcW w:w="1220" w:type="dxa"/>
            <w:vAlign w:val="bottom"/>
            <w:shd w:val="clear" w:color="auto" w:fill="E6EFFF"/>
          </w:tcPr>
          <w:p>
            <w:pPr>
              <w:spacing w:after="0"/>
              <w:rPr>
                <w:sz w:val="8"/>
                <w:szCs w:val="8"/>
                <w:color w:val="auto"/>
              </w:rPr>
            </w:pPr>
          </w:p>
        </w:tc>
        <w:tc>
          <w:tcPr>
            <w:tcW w:w="960" w:type="dxa"/>
            <w:vAlign w:val="bottom"/>
            <w:shd w:val="clear" w:color="auto" w:fill="E6EFFF"/>
          </w:tcPr>
          <w:p>
            <w:pPr>
              <w:spacing w:after="0"/>
              <w:rPr>
                <w:sz w:val="8"/>
                <w:szCs w:val="8"/>
                <w:color w:val="auto"/>
              </w:rPr>
            </w:pPr>
          </w:p>
        </w:tc>
        <w:tc>
          <w:tcPr>
            <w:tcW w:w="200" w:type="dxa"/>
            <w:vAlign w:val="bottom"/>
            <w:shd w:val="clear" w:color="auto" w:fill="E6EFFF"/>
          </w:tcPr>
          <w:p>
            <w:pPr>
              <w:spacing w:after="0"/>
              <w:rPr>
                <w:sz w:val="8"/>
                <w:szCs w:val="8"/>
                <w:color w:val="auto"/>
              </w:rPr>
            </w:pPr>
          </w:p>
        </w:tc>
        <w:tc>
          <w:tcPr>
            <w:tcW w:w="1420" w:type="dxa"/>
            <w:vAlign w:val="bottom"/>
            <w:shd w:val="clear" w:color="auto" w:fill="E6EFFF"/>
          </w:tcPr>
          <w:p>
            <w:pPr>
              <w:spacing w:after="0"/>
              <w:rPr>
                <w:sz w:val="8"/>
                <w:szCs w:val="8"/>
                <w:color w:val="auto"/>
              </w:rPr>
            </w:pPr>
          </w:p>
        </w:tc>
        <w:tc>
          <w:tcPr>
            <w:tcW w:w="1160" w:type="dxa"/>
            <w:vAlign w:val="bottom"/>
            <w:shd w:val="clear" w:color="auto" w:fill="E6EFFF"/>
          </w:tcPr>
          <w:p>
            <w:pPr>
              <w:spacing w:after="0"/>
              <w:rPr>
                <w:sz w:val="8"/>
                <w:szCs w:val="8"/>
                <w:color w:val="auto"/>
              </w:rPr>
            </w:pPr>
          </w:p>
        </w:tc>
        <w:tc>
          <w:tcPr>
            <w:tcW w:w="20" w:type="dxa"/>
            <w:vAlign w:val="bottom"/>
            <w:shd w:val="clear" w:color="auto" w:fill="E6EFFF"/>
          </w:tcPr>
          <w:p>
            <w:pPr>
              <w:spacing w:after="0"/>
              <w:rPr>
                <w:sz w:val="8"/>
                <w:szCs w:val="8"/>
                <w:color w:val="auto"/>
              </w:rPr>
            </w:pPr>
          </w:p>
        </w:tc>
        <w:tc>
          <w:tcPr>
            <w:tcW w:w="60" w:type="dxa"/>
            <w:vAlign w:val="bottom"/>
            <w:shd w:val="clear" w:color="auto" w:fill="E6EFFF"/>
          </w:tcPr>
          <w:p>
            <w:pPr>
              <w:spacing w:after="0"/>
              <w:rPr>
                <w:sz w:val="8"/>
                <w:szCs w:val="8"/>
                <w:color w:val="auto"/>
              </w:rPr>
            </w:pPr>
          </w:p>
        </w:tc>
        <w:tc>
          <w:tcPr>
            <w:tcW w:w="1680" w:type="dxa"/>
            <w:vAlign w:val="bottom"/>
            <w:shd w:val="clear" w:color="auto" w:fill="E6EF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960" w:type="dxa"/>
            <w:vAlign w:val="bottom"/>
            <w:shd w:val="clear" w:color="auto" w:fill="E6EFFF"/>
          </w:tcPr>
          <w:p>
            <w:pPr>
              <w:spacing w:after="0"/>
              <w:rPr>
                <w:sz w:val="8"/>
                <w:szCs w:val="8"/>
                <w:color w:val="auto"/>
              </w:rPr>
            </w:pPr>
          </w:p>
        </w:tc>
        <w:tc>
          <w:tcPr>
            <w:tcW w:w="1300" w:type="dxa"/>
            <w:vAlign w:val="bottom"/>
            <w:vMerge w:val="continue"/>
            <w:shd w:val="clear" w:color="auto" w:fill="E6EFFF"/>
          </w:tcPr>
          <w:p>
            <w:pPr>
              <w:spacing w:after="0"/>
              <w:rPr>
                <w:sz w:val="8"/>
                <w:szCs w:val="8"/>
                <w:color w:val="auto"/>
              </w:rPr>
            </w:pPr>
          </w:p>
        </w:tc>
        <w:tc>
          <w:tcPr>
            <w:tcW w:w="1020" w:type="dxa"/>
            <w:vAlign w:val="bottom"/>
            <w:vMerge w:val="continue"/>
            <w:shd w:val="clear" w:color="auto" w:fill="E6EFFF"/>
          </w:tcPr>
          <w:p>
            <w:pPr>
              <w:spacing w:after="0"/>
              <w:rPr>
                <w:sz w:val="8"/>
                <w:szCs w:val="8"/>
                <w:color w:val="auto"/>
              </w:rPr>
            </w:pPr>
          </w:p>
        </w:tc>
        <w:tc>
          <w:tcPr>
            <w:tcW w:w="1040" w:type="dxa"/>
            <w:vAlign w:val="bottom"/>
            <w:shd w:val="clear" w:color="auto" w:fill="E6EFFF"/>
          </w:tcPr>
          <w:p>
            <w:pPr>
              <w:spacing w:after="0"/>
              <w:rPr>
                <w:sz w:val="8"/>
                <w:szCs w:val="8"/>
                <w:color w:val="auto"/>
              </w:rPr>
            </w:pPr>
          </w:p>
        </w:tc>
        <w:tc>
          <w:tcPr>
            <w:tcW w:w="200" w:type="dxa"/>
            <w:vAlign w:val="bottom"/>
            <w:shd w:val="clear" w:color="auto" w:fill="E6EFFF"/>
          </w:tcPr>
          <w:p>
            <w:pPr>
              <w:spacing w:after="0"/>
              <w:rPr>
                <w:sz w:val="8"/>
                <w:szCs w:val="8"/>
                <w:color w:val="auto"/>
              </w:rPr>
            </w:pPr>
          </w:p>
        </w:tc>
        <w:tc>
          <w:tcPr>
            <w:tcW w:w="1220" w:type="dxa"/>
            <w:vAlign w:val="bottom"/>
            <w:shd w:val="clear" w:color="auto" w:fill="E6EFFF"/>
          </w:tcPr>
          <w:p>
            <w:pPr>
              <w:spacing w:after="0"/>
              <w:rPr>
                <w:sz w:val="8"/>
                <w:szCs w:val="8"/>
                <w:color w:val="auto"/>
              </w:rPr>
            </w:pPr>
          </w:p>
        </w:tc>
        <w:tc>
          <w:tcPr>
            <w:tcW w:w="960" w:type="dxa"/>
            <w:vAlign w:val="bottom"/>
            <w:shd w:val="clear" w:color="auto" w:fill="E6EFFF"/>
          </w:tcPr>
          <w:p>
            <w:pPr>
              <w:spacing w:after="0"/>
              <w:rPr>
                <w:sz w:val="8"/>
                <w:szCs w:val="8"/>
                <w:color w:val="auto"/>
              </w:rPr>
            </w:pPr>
          </w:p>
        </w:tc>
        <w:tc>
          <w:tcPr>
            <w:tcW w:w="200" w:type="dxa"/>
            <w:vAlign w:val="bottom"/>
            <w:shd w:val="clear" w:color="auto" w:fill="E6EFFF"/>
          </w:tcPr>
          <w:p>
            <w:pPr>
              <w:spacing w:after="0"/>
              <w:rPr>
                <w:sz w:val="8"/>
                <w:szCs w:val="8"/>
                <w:color w:val="auto"/>
              </w:rPr>
            </w:pPr>
          </w:p>
        </w:tc>
        <w:tc>
          <w:tcPr>
            <w:tcW w:w="1420" w:type="dxa"/>
            <w:vAlign w:val="bottom"/>
            <w:shd w:val="clear" w:color="auto" w:fill="E6EFFF"/>
          </w:tcPr>
          <w:p>
            <w:pPr>
              <w:spacing w:after="0"/>
              <w:rPr>
                <w:sz w:val="8"/>
                <w:szCs w:val="8"/>
                <w:color w:val="auto"/>
              </w:rPr>
            </w:pPr>
          </w:p>
        </w:tc>
        <w:tc>
          <w:tcPr>
            <w:tcW w:w="1160" w:type="dxa"/>
            <w:vAlign w:val="bottom"/>
            <w:shd w:val="clear" w:color="auto" w:fill="E6EFFF"/>
          </w:tcPr>
          <w:p>
            <w:pPr>
              <w:spacing w:after="0"/>
              <w:rPr>
                <w:sz w:val="8"/>
                <w:szCs w:val="8"/>
                <w:color w:val="auto"/>
              </w:rPr>
            </w:pPr>
          </w:p>
        </w:tc>
        <w:tc>
          <w:tcPr>
            <w:tcW w:w="20" w:type="dxa"/>
            <w:vAlign w:val="bottom"/>
            <w:shd w:val="clear" w:color="auto" w:fill="E6EFFF"/>
          </w:tcPr>
          <w:p>
            <w:pPr>
              <w:spacing w:after="0"/>
              <w:rPr>
                <w:sz w:val="8"/>
                <w:szCs w:val="8"/>
                <w:color w:val="auto"/>
              </w:rPr>
            </w:pPr>
          </w:p>
        </w:tc>
        <w:tc>
          <w:tcPr>
            <w:tcW w:w="60" w:type="dxa"/>
            <w:vAlign w:val="bottom"/>
            <w:shd w:val="clear" w:color="auto" w:fill="E6EFFF"/>
          </w:tcPr>
          <w:p>
            <w:pPr>
              <w:spacing w:after="0"/>
              <w:rPr>
                <w:sz w:val="8"/>
                <w:szCs w:val="8"/>
                <w:color w:val="auto"/>
              </w:rPr>
            </w:pPr>
          </w:p>
        </w:tc>
        <w:tc>
          <w:tcPr>
            <w:tcW w:w="1680" w:type="dxa"/>
            <w:vAlign w:val="bottom"/>
            <w:shd w:val="clear" w:color="auto" w:fill="E6EF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E6EFFF"/>
          </w:tcPr>
          <w:p>
            <w:pPr>
              <w:spacing w:after="0"/>
              <w:rPr>
                <w:sz w:val="17"/>
                <w:szCs w:val="17"/>
                <w:color w:val="auto"/>
              </w:rPr>
            </w:pPr>
          </w:p>
        </w:tc>
        <w:tc>
          <w:tcPr>
            <w:tcW w:w="1300" w:type="dxa"/>
            <w:vAlign w:val="bottom"/>
            <w:shd w:val="clear" w:color="auto" w:fill="E6EFFF"/>
          </w:tcPr>
          <w:p>
            <w:pPr>
              <w:spacing w:after="0"/>
              <w:rPr>
                <w:sz w:val="17"/>
                <w:szCs w:val="17"/>
                <w:color w:val="auto"/>
              </w:rPr>
            </w:pPr>
          </w:p>
        </w:tc>
        <w:tc>
          <w:tcPr>
            <w:tcW w:w="1020" w:type="dxa"/>
            <w:vAlign w:val="bottom"/>
            <w:shd w:val="clear" w:color="auto" w:fill="E6EFFF"/>
          </w:tcPr>
          <w:p>
            <w:pPr>
              <w:jc w:val="center"/>
              <w:ind w:right="39"/>
              <w:spacing w:after="0"/>
              <w:rPr>
                <w:sz w:val="20"/>
                <w:szCs w:val="20"/>
                <w:color w:val="auto"/>
              </w:rPr>
            </w:pPr>
            <w:r>
              <w:rPr>
                <w:rFonts w:ascii="Times New Roman" w:cs="Times New Roman" w:eastAsia="Times New Roman" w:hAnsi="Times New Roman"/>
                <w:sz w:val="16"/>
                <w:szCs w:val="16"/>
                <w:color w:val="auto"/>
              </w:rPr>
              <w:t>Subscription</w:t>
            </w:r>
          </w:p>
        </w:tc>
        <w:tc>
          <w:tcPr>
            <w:tcW w:w="10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96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420" w:type="dxa"/>
            <w:vAlign w:val="bottom"/>
            <w:shd w:val="clear" w:color="auto" w:fill="E6EFFF"/>
          </w:tcPr>
          <w:p>
            <w:pPr>
              <w:spacing w:after="0"/>
              <w:rPr>
                <w:sz w:val="17"/>
                <w:szCs w:val="17"/>
                <w:color w:val="auto"/>
              </w:rPr>
            </w:pPr>
          </w:p>
        </w:tc>
        <w:tc>
          <w:tcPr>
            <w:tcW w:w="1160" w:type="dxa"/>
            <w:vAlign w:val="bottom"/>
            <w:shd w:val="clear" w:color="auto" w:fill="E6EFFF"/>
          </w:tcPr>
          <w:p>
            <w:pPr>
              <w:spacing w:after="0"/>
              <w:rPr>
                <w:sz w:val="17"/>
                <w:szCs w:val="17"/>
                <w:color w:val="auto"/>
              </w:rPr>
            </w:pPr>
          </w:p>
        </w:tc>
        <w:tc>
          <w:tcPr>
            <w:tcW w:w="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68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shd w:val="clear" w:color="auto" w:fill="E6EFFF"/>
          </w:tcPr>
          <w:p>
            <w:pPr>
              <w:spacing w:after="0"/>
              <w:rPr>
                <w:sz w:val="18"/>
                <w:szCs w:val="18"/>
                <w:color w:val="auto"/>
              </w:rPr>
            </w:pPr>
          </w:p>
        </w:tc>
        <w:tc>
          <w:tcPr>
            <w:tcW w:w="1300" w:type="dxa"/>
            <w:vAlign w:val="bottom"/>
            <w:tcBorders>
              <w:bottom w:val="single" w:sz="8" w:color="auto"/>
            </w:tcBorders>
            <w:shd w:val="clear" w:color="auto" w:fill="E6EFFF"/>
          </w:tcPr>
          <w:p>
            <w:pPr>
              <w:spacing w:after="0"/>
              <w:rPr>
                <w:sz w:val="18"/>
                <w:szCs w:val="18"/>
                <w:color w:val="auto"/>
              </w:rPr>
            </w:pPr>
          </w:p>
        </w:tc>
        <w:tc>
          <w:tcPr>
            <w:tcW w:w="1020" w:type="dxa"/>
            <w:vAlign w:val="bottom"/>
            <w:tcBorders>
              <w:bottom w:val="single" w:sz="8" w:color="auto"/>
            </w:tcBorders>
            <w:shd w:val="clear" w:color="auto" w:fill="E6EFFF"/>
          </w:tcPr>
          <w:p>
            <w:pPr>
              <w:jc w:val="center"/>
              <w:ind w:right="19"/>
              <w:spacing w:after="0"/>
              <w:rPr>
                <w:sz w:val="20"/>
                <w:szCs w:val="20"/>
                <w:color w:val="auto"/>
              </w:rPr>
            </w:pPr>
            <w:r>
              <w:rPr>
                <w:rFonts w:ascii="Times New Roman" w:cs="Times New Roman" w:eastAsia="Times New Roman" w:hAnsi="Times New Roman"/>
                <w:sz w:val="16"/>
                <w:szCs w:val="16"/>
                <w:color w:val="auto"/>
              </w:rPr>
              <w:t>Receipts</w:t>
            </w:r>
          </w:p>
        </w:tc>
        <w:tc>
          <w:tcPr>
            <w:tcW w:w="1040" w:type="dxa"/>
            <w:vAlign w:val="bottom"/>
            <w:tcBorders>
              <w:bottom w:val="single" w:sz="8" w:color="auto"/>
            </w:tcBorders>
            <w:shd w:val="clear" w:color="auto" w:fill="E6EFFF"/>
          </w:tcPr>
          <w:p>
            <w:pPr>
              <w:spacing w:after="0"/>
              <w:rPr>
                <w:sz w:val="18"/>
                <w:szCs w:val="18"/>
                <w:color w:val="auto"/>
              </w:rPr>
            </w:pPr>
          </w:p>
        </w:tc>
        <w:tc>
          <w:tcPr>
            <w:tcW w:w="200" w:type="dxa"/>
            <w:vAlign w:val="bottom"/>
            <w:tcBorders>
              <w:bottom w:val="single" w:sz="8" w:color="auto"/>
            </w:tcBorders>
            <w:shd w:val="clear" w:color="auto" w:fill="E6EFFF"/>
          </w:tcPr>
          <w:p>
            <w:pPr>
              <w:spacing w:after="0"/>
              <w:rPr>
                <w:sz w:val="18"/>
                <w:szCs w:val="18"/>
                <w:color w:val="auto"/>
              </w:rPr>
            </w:pPr>
          </w:p>
        </w:tc>
        <w:tc>
          <w:tcPr>
            <w:tcW w:w="1220" w:type="dxa"/>
            <w:vAlign w:val="bottom"/>
            <w:tcBorders>
              <w:bottom w:val="single" w:sz="8" w:color="auto"/>
            </w:tcBorders>
            <w:shd w:val="clear" w:color="auto" w:fill="E6EFFF"/>
          </w:tcPr>
          <w:p>
            <w:pPr>
              <w:spacing w:after="0"/>
              <w:rPr>
                <w:sz w:val="18"/>
                <w:szCs w:val="18"/>
                <w:color w:val="auto"/>
              </w:rPr>
            </w:pPr>
          </w:p>
        </w:tc>
        <w:tc>
          <w:tcPr>
            <w:tcW w:w="960" w:type="dxa"/>
            <w:vAlign w:val="bottom"/>
            <w:tcBorders>
              <w:bottom w:val="single" w:sz="8" w:color="auto"/>
            </w:tcBorders>
            <w:shd w:val="clear" w:color="auto" w:fill="E6EFFF"/>
          </w:tcPr>
          <w:p>
            <w:pPr>
              <w:spacing w:after="0"/>
              <w:rPr>
                <w:sz w:val="18"/>
                <w:szCs w:val="18"/>
                <w:color w:val="auto"/>
              </w:rPr>
            </w:pPr>
          </w:p>
        </w:tc>
        <w:tc>
          <w:tcPr>
            <w:tcW w:w="200" w:type="dxa"/>
            <w:vAlign w:val="bottom"/>
            <w:tcBorders>
              <w:bottom w:val="single" w:sz="8" w:color="auto"/>
            </w:tcBorders>
            <w:shd w:val="clear" w:color="auto" w:fill="E6EFFF"/>
          </w:tcPr>
          <w:p>
            <w:pPr>
              <w:spacing w:after="0"/>
              <w:rPr>
                <w:sz w:val="18"/>
                <w:szCs w:val="18"/>
                <w:color w:val="auto"/>
              </w:rPr>
            </w:pPr>
          </w:p>
        </w:tc>
        <w:tc>
          <w:tcPr>
            <w:tcW w:w="1420" w:type="dxa"/>
            <w:vAlign w:val="bottom"/>
            <w:tcBorders>
              <w:bottom w:val="single" w:sz="8" w:color="auto"/>
            </w:tcBorders>
            <w:shd w:val="clear" w:color="auto" w:fill="E6EFFF"/>
          </w:tcPr>
          <w:p>
            <w:pPr>
              <w:spacing w:after="0"/>
              <w:rPr>
                <w:sz w:val="18"/>
                <w:szCs w:val="18"/>
                <w:color w:val="auto"/>
              </w:rPr>
            </w:pPr>
          </w:p>
        </w:tc>
        <w:tc>
          <w:tcPr>
            <w:tcW w:w="1160" w:type="dxa"/>
            <w:vAlign w:val="bottom"/>
            <w:tcBorders>
              <w:bottom w:val="single" w:sz="8" w:color="auto"/>
            </w:tcBorders>
            <w:shd w:val="clear" w:color="auto" w:fill="E6EFFF"/>
          </w:tcPr>
          <w:p>
            <w:pPr>
              <w:spacing w:after="0"/>
              <w:rPr>
                <w:sz w:val="18"/>
                <w:szCs w:val="18"/>
                <w:color w:val="auto"/>
              </w:rPr>
            </w:pPr>
          </w:p>
        </w:tc>
        <w:tc>
          <w:tcPr>
            <w:tcW w:w="20" w:type="dxa"/>
            <w:vAlign w:val="bottom"/>
            <w:tcBorders>
              <w:bottom w:val="single" w:sz="8" w:color="auto"/>
            </w:tcBorders>
            <w:shd w:val="clear" w:color="auto" w:fill="E6EFFF"/>
          </w:tcPr>
          <w:p>
            <w:pPr>
              <w:spacing w:after="0"/>
              <w:rPr>
                <w:sz w:val="18"/>
                <w:szCs w:val="18"/>
                <w:color w:val="auto"/>
              </w:rPr>
            </w:pPr>
          </w:p>
        </w:tc>
        <w:tc>
          <w:tcPr>
            <w:tcW w:w="60" w:type="dxa"/>
            <w:vAlign w:val="bottom"/>
            <w:tcBorders>
              <w:bottom w:val="single" w:sz="8" w:color="auto"/>
            </w:tcBorders>
            <w:shd w:val="clear" w:color="auto" w:fill="E6EFFF"/>
          </w:tcPr>
          <w:p>
            <w:pPr>
              <w:spacing w:after="0"/>
              <w:rPr>
                <w:sz w:val="18"/>
                <w:szCs w:val="18"/>
                <w:color w:val="auto"/>
              </w:rPr>
            </w:pPr>
          </w:p>
        </w:tc>
        <w:tc>
          <w:tcPr>
            <w:tcW w:w="1680" w:type="dxa"/>
            <w:vAlign w:val="bottom"/>
            <w:tcBorders>
              <w:bottom w:val="single" w:sz="8" w:color="auto"/>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E6EFFF"/>
          </w:tcPr>
          <w:p>
            <w:pPr>
              <w:spacing w:after="0"/>
              <w:rPr>
                <w:sz w:val="17"/>
                <w:szCs w:val="17"/>
                <w:color w:val="auto"/>
              </w:rPr>
            </w:pPr>
          </w:p>
        </w:tc>
        <w:tc>
          <w:tcPr>
            <w:tcW w:w="2320" w:type="dxa"/>
            <w:vAlign w:val="bottom"/>
            <w:gridSpan w:val="2"/>
            <w:shd w:val="clear" w:color="auto" w:fill="E6EFFF"/>
          </w:tcPr>
          <w:p>
            <w:pPr>
              <w:ind w:left="80"/>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0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960" w:type="dxa"/>
            <w:vAlign w:val="bottom"/>
            <w:shd w:val="clear" w:color="auto" w:fill="E6EFFF"/>
          </w:tcPr>
          <w:p>
            <w:pPr>
              <w:spacing w:after="0"/>
              <w:rPr>
                <w:sz w:val="17"/>
                <w:szCs w:val="17"/>
                <w:color w:val="auto"/>
              </w:rPr>
            </w:pPr>
          </w:p>
        </w:tc>
        <w:tc>
          <w:tcPr>
            <w:tcW w:w="2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E6EFFF"/>
          </w:tcPr>
          <w:p>
            <w:pPr>
              <w:jc w:val="right"/>
              <w:ind w:right="19"/>
              <w:spacing w:after="0"/>
              <w:rPr>
                <w:sz w:val="20"/>
                <w:szCs w:val="20"/>
                <w:color w:val="auto"/>
              </w:rPr>
            </w:pPr>
            <w:r>
              <w:rPr>
                <w:rFonts w:ascii="Times New Roman" w:cs="Times New Roman" w:eastAsia="Times New Roman" w:hAnsi="Times New Roman"/>
                <w:sz w:val="16"/>
                <w:szCs w:val="16"/>
                <w:color w:val="auto"/>
              </w:rPr>
              <w:t>149,572,824</w:t>
            </w:r>
          </w:p>
        </w:tc>
        <w:tc>
          <w:tcPr>
            <w:tcW w:w="1160" w:type="dxa"/>
            <w:vAlign w:val="bottom"/>
            <w:shd w:val="clear" w:color="auto" w:fill="E6EFFF"/>
          </w:tcPr>
          <w:p>
            <w:pPr>
              <w:spacing w:after="0"/>
              <w:rPr>
                <w:sz w:val="17"/>
                <w:szCs w:val="17"/>
                <w:color w:val="auto"/>
              </w:rPr>
            </w:pPr>
          </w:p>
        </w:tc>
        <w:tc>
          <w:tcPr>
            <w:tcW w:w="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E6EFFF"/>
          </w:tcPr>
          <w:p>
            <w:pPr>
              <w:jc w:val="right"/>
              <w:ind w:right="119"/>
              <w:spacing w:after="0"/>
              <w:rPr>
                <w:sz w:val="20"/>
                <w:szCs w:val="20"/>
                <w:color w:val="auto"/>
              </w:rPr>
            </w:pPr>
            <w:r>
              <w:rPr>
                <w:rFonts w:ascii="Times New Roman" w:cs="Times New Roman" w:eastAsia="Times New Roman" w:hAnsi="Times New Roman"/>
                <w:sz w:val="16"/>
                <w:szCs w:val="16"/>
                <w:color w:val="auto"/>
              </w:rPr>
              <w:t>22,899.60</w:t>
            </w:r>
          </w:p>
        </w:tc>
        <w:tc>
          <w:tcPr>
            <w:tcW w:w="0" w:type="dxa"/>
            <w:vAlign w:val="bottom"/>
          </w:tcPr>
          <w:p>
            <w:pPr>
              <w:spacing w:after="0"/>
              <w:rPr>
                <w:sz w:val="1"/>
                <w:szCs w:val="1"/>
                <w:color w:val="auto"/>
              </w:rPr>
            </w:pPr>
          </w:p>
        </w:tc>
      </w:tr>
      <w:tr>
        <w:trPr>
          <w:trHeight w:val="196"/>
        </w:trPr>
        <w:tc>
          <w:tcPr>
            <w:tcW w:w="960" w:type="dxa"/>
            <w:vAlign w:val="bottom"/>
            <w:tcBorders>
              <w:bottom w:val="single" w:sz="8" w:color="E6EFFF"/>
            </w:tcBorders>
          </w:tcPr>
          <w:p>
            <w:pPr>
              <w:spacing w:after="0"/>
              <w:rPr>
                <w:sz w:val="17"/>
                <w:szCs w:val="17"/>
                <w:color w:val="auto"/>
              </w:rPr>
            </w:pPr>
          </w:p>
        </w:tc>
        <w:tc>
          <w:tcPr>
            <w:tcW w:w="2320" w:type="dxa"/>
            <w:vAlign w:val="bottom"/>
            <w:tcBorders>
              <w:bottom w:val="single" w:sz="8" w:color="E6EFFF"/>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1040" w:type="dxa"/>
            <w:vAlign w:val="bottom"/>
            <w:tcBorders>
              <w:bottom w:val="single" w:sz="8" w:color="E6EFFF"/>
            </w:tcBorders>
          </w:tcPr>
          <w:p>
            <w:pPr>
              <w:spacing w:after="0"/>
              <w:rPr>
                <w:sz w:val="17"/>
                <w:szCs w:val="17"/>
                <w:color w:val="auto"/>
              </w:rPr>
            </w:pPr>
          </w:p>
        </w:tc>
        <w:tc>
          <w:tcPr>
            <w:tcW w:w="200" w:type="dxa"/>
            <w:vAlign w:val="bottom"/>
            <w:tcBorders>
              <w:bottom w:val="single" w:sz="8" w:color="E6EFFF"/>
            </w:tcBorders>
          </w:tcPr>
          <w:p>
            <w:pPr>
              <w:spacing w:after="0"/>
              <w:rPr>
                <w:sz w:val="17"/>
                <w:szCs w:val="17"/>
                <w:color w:val="auto"/>
              </w:rPr>
            </w:pPr>
          </w:p>
        </w:tc>
        <w:tc>
          <w:tcPr>
            <w:tcW w:w="1220" w:type="dxa"/>
            <w:vAlign w:val="bottom"/>
            <w:tcBorders>
              <w:bottom w:val="single" w:sz="8" w:color="E6EFFF"/>
            </w:tcBorders>
          </w:tcPr>
          <w:p>
            <w:pPr>
              <w:spacing w:after="0"/>
              <w:rPr>
                <w:sz w:val="17"/>
                <w:szCs w:val="17"/>
                <w:color w:val="auto"/>
              </w:rPr>
            </w:pPr>
          </w:p>
        </w:tc>
        <w:tc>
          <w:tcPr>
            <w:tcW w:w="960" w:type="dxa"/>
            <w:vAlign w:val="bottom"/>
            <w:tcBorders>
              <w:bottom w:val="single" w:sz="8" w:color="E6EFFF"/>
            </w:tcBorders>
          </w:tcPr>
          <w:p>
            <w:pPr>
              <w:spacing w:after="0"/>
              <w:rPr>
                <w:sz w:val="17"/>
                <w:szCs w:val="17"/>
                <w:color w:val="auto"/>
              </w:rPr>
            </w:pPr>
          </w:p>
        </w:tc>
        <w:tc>
          <w:tcPr>
            <w:tcW w:w="200" w:type="dxa"/>
            <w:vAlign w:val="bottom"/>
            <w:tcBorders>
              <w:bottom w:val="single" w:sz="8" w:color="E6EFFF"/>
            </w:tcBorders>
          </w:tcPr>
          <w:p>
            <w:pPr>
              <w:spacing w:after="0"/>
              <w:rPr>
                <w:sz w:val="17"/>
                <w:szCs w:val="17"/>
                <w:color w:val="auto"/>
              </w:rPr>
            </w:pPr>
          </w:p>
        </w:tc>
        <w:tc>
          <w:tcPr>
            <w:tcW w:w="1420" w:type="dxa"/>
            <w:vAlign w:val="bottom"/>
            <w:tcBorders>
              <w:bottom w:val="single" w:sz="8" w:color="E6EFFF"/>
            </w:tcBorders>
          </w:tcPr>
          <w:p>
            <w:pPr>
              <w:spacing w:after="0"/>
              <w:rPr>
                <w:sz w:val="17"/>
                <w:szCs w:val="17"/>
                <w:color w:val="auto"/>
              </w:rPr>
            </w:pPr>
          </w:p>
        </w:tc>
        <w:tc>
          <w:tcPr>
            <w:tcW w:w="1160" w:type="dxa"/>
            <w:vAlign w:val="bottom"/>
            <w:tcBorders>
              <w:bottom w:val="single" w:sz="8" w:color="E6EFFF"/>
            </w:tcBorders>
          </w:tcPr>
          <w:p>
            <w:pPr>
              <w:spacing w:after="0"/>
              <w:rPr>
                <w:sz w:val="17"/>
                <w:szCs w:val="17"/>
                <w:color w:val="auto"/>
              </w:rPr>
            </w:pPr>
          </w:p>
        </w:tc>
        <w:tc>
          <w:tcPr>
            <w:tcW w:w="20" w:type="dxa"/>
            <w:vAlign w:val="bottom"/>
            <w:tcBorders>
              <w:bottom w:val="single" w:sz="8" w:color="E6EFFF"/>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6"/>
        </w:trPr>
        <w:tc>
          <w:tcPr>
            <w:tcW w:w="960" w:type="dxa"/>
            <w:vAlign w:val="bottom"/>
            <w:shd w:val="clear" w:color="auto" w:fill="E6EFFF"/>
          </w:tcPr>
          <w:p>
            <w:pPr>
              <w:spacing w:after="0"/>
              <w:rPr>
                <w:sz w:val="17"/>
                <w:szCs w:val="17"/>
                <w:color w:val="auto"/>
              </w:rPr>
            </w:pPr>
          </w:p>
        </w:tc>
        <w:tc>
          <w:tcPr>
            <w:tcW w:w="1300" w:type="dxa"/>
            <w:vAlign w:val="bottom"/>
            <w:shd w:val="clear" w:color="auto" w:fill="E6EFFF"/>
          </w:tcPr>
          <w:p>
            <w:pPr>
              <w:ind w:left="80"/>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1020" w:type="dxa"/>
            <w:vAlign w:val="bottom"/>
            <w:shd w:val="clear" w:color="auto" w:fill="E6EFFF"/>
          </w:tcPr>
          <w:p>
            <w:pPr>
              <w:spacing w:after="0"/>
              <w:rPr>
                <w:sz w:val="17"/>
                <w:szCs w:val="17"/>
                <w:color w:val="auto"/>
              </w:rPr>
            </w:pPr>
          </w:p>
        </w:tc>
        <w:tc>
          <w:tcPr>
            <w:tcW w:w="10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96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420" w:type="dxa"/>
            <w:vAlign w:val="bottom"/>
            <w:shd w:val="clear" w:color="auto" w:fill="E6EFFF"/>
          </w:tcPr>
          <w:p>
            <w:pPr>
              <w:spacing w:after="0"/>
              <w:rPr>
                <w:sz w:val="17"/>
                <w:szCs w:val="17"/>
                <w:color w:val="auto"/>
              </w:rPr>
            </w:pPr>
          </w:p>
        </w:tc>
        <w:tc>
          <w:tcPr>
            <w:tcW w:w="1160" w:type="dxa"/>
            <w:vAlign w:val="bottom"/>
            <w:shd w:val="clear" w:color="auto" w:fill="E6EFFF"/>
          </w:tcPr>
          <w:p>
            <w:pPr>
              <w:spacing w:after="0"/>
              <w:rPr>
                <w:sz w:val="17"/>
                <w:szCs w:val="17"/>
                <w:color w:val="auto"/>
              </w:rPr>
            </w:pPr>
          </w:p>
        </w:tc>
        <w:tc>
          <w:tcPr>
            <w:tcW w:w="20" w:type="dxa"/>
            <w:vAlign w:val="bottom"/>
            <w:shd w:val="clear" w:color="auto" w:fill="E6EFFF"/>
          </w:tcPr>
          <w:p>
            <w:pPr>
              <w:spacing w:after="0"/>
              <w:rPr>
                <w:sz w:val="17"/>
                <w:szCs w:val="17"/>
                <w:color w:val="auto"/>
              </w:rPr>
            </w:pPr>
          </w:p>
        </w:tc>
        <w:tc>
          <w:tcPr>
            <w:tcW w:w="60" w:type="dxa"/>
            <w:vAlign w:val="bottom"/>
            <w:tcBorders>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shd w:val="clear" w:color="auto" w:fill="E6EFFF"/>
          </w:tcPr>
          <w:p>
            <w:pPr>
              <w:jc w:val="right"/>
              <w:ind w:right="11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22,899.60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660" w:hanging="436"/>
        <w:spacing w:after="0" w:line="244" w:lineRule="auto"/>
        <w:tabs>
          <w:tab w:leader="none" w:pos="696" w:val="left"/>
        </w:tabs>
        <w:numPr>
          <w:ilvl w:val="0"/>
          <w:numId w:val="95"/>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auto"/>
        </w:rPr>
        <w:t>There are being registered under this Registration Statement such indeterminate number of common shares, warrants, units, debt securities and subscription receipts of the Registrant, and a combination of such securities, separately or as units, as may be sold by the Registrant from time to time, which collectively shall have an aggregate initial offering price not to exceed $450,076,167 (converted from CAD$650,000,000 at an exchange rate of CAD$1.00 = $1.4442, which was the daily average exchange rate reported by the Bank of Canada on January 3, 2025).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In addition, pursuant to Rule 416 under the Securities Act of 1933, as amended (the "Securities Act"), the common shares being registered hereunder include such indeterminate number of common shares as may be issuable with respect to the common shares being registered hereunder as a result of stock splits, stock dividends, distributions or similar transactions. The proposed maximum initial offering price per security will be determined, from time to time, by the Registrant in connection with the sale of the securities under this Registration Statement.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59" w:name="page160"/>
    <w:bookmarkEnd w:id="159"/>
    <w:p>
      <w:pPr>
        <w:ind w:left="440" w:hanging="436"/>
        <w:spacing w:after="0" w:line="259" w:lineRule="auto"/>
        <w:tabs>
          <w:tab w:leader="none" w:pos="476" w:val="left"/>
        </w:tabs>
        <w:numPr>
          <w:ilvl w:val="0"/>
          <w:numId w:val="9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auto"/>
        </w:rPr>
        <w:t>Estimated solely for the purpose of calculating the amount of the registration fee pursuant to Rule 457(o) of the Securities Act.</w:t>
      </w:r>
    </w:p>
    <w:p>
      <w:pPr>
        <w:spacing w:after="0" w:line="156" w:lineRule="exact"/>
        <w:rPr>
          <w:rFonts w:ascii="Times New Roman" w:cs="Times New Roman" w:eastAsia="Times New Roman" w:hAnsi="Times New Roman"/>
          <w:sz w:val="22"/>
          <w:szCs w:val="22"/>
          <w:color w:val="231F20"/>
        </w:rPr>
      </w:pPr>
    </w:p>
    <w:p>
      <w:pPr>
        <w:jc w:val="both"/>
        <w:ind w:left="440" w:hanging="436"/>
        <w:spacing w:after="0" w:line="235" w:lineRule="auto"/>
        <w:tabs>
          <w:tab w:leader="none" w:pos="476" w:val="left"/>
        </w:tabs>
        <w:numPr>
          <w:ilvl w:val="0"/>
          <w:numId w:val="9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auto"/>
        </w:rPr>
        <w:t>This Registration Statement relates to an aggregate of US$450,076,167 of securities (converted from CAD$650,000,000 at an exchange rate of CAD$1.00 = $1.4442, which was the daily average exchange rate reported by the Bank of Canada on January 3, 2025), including, pursuant to Rule 429 under the Securities Act, US$300,503,343 (converted from CAD$400,000,000 at an exchange rate of CAD$1.00 = $1.3311, which was the daily average exchange rate reported by the Bank of Canada on December 21, 2023) of securities that were previously registered under the Registrant's Registration Statement on Form F-10 (File No. 333-276333), initially filed on December 29, 2023, declared effective on January 3, 2024, and as amended on a post-effective basis on April 11, 2024.</w:t>
      </w:r>
    </w:p>
    <w:p>
      <w:pPr>
        <w:spacing w:after="0" w:line="18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146050</wp:posOffset>
            </wp:positionV>
            <wp:extent cx="7153275" cy="469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020"/>
      </w:cols>
      <w:pgMar w:left="54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upperLetter"/>
      <w:start w:val="1"/>
    </w:lvl>
  </w:abstractNum>
  <w:abstractNum w:abstractNumId="1">
    <w:nsid w:val="684A481A"/>
    <w:multiLevelType w:val="hybridMultilevel"/>
    <w:lvl w:ilvl="0">
      <w:lvlJc w:val="left"/>
      <w:lvlText w:val="%1."/>
      <w:numFmt w:val="decimal"/>
      <w:start w:val="3"/>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bullet"/>
      <w:start w:val="1"/>
    </w:lvl>
  </w:abstractNum>
  <w:abstractNum w:abstractNumId="4">
    <w:nsid w:val="3DC240FB"/>
    <w:multiLevelType w:val="hybridMultilevel"/>
    <w:lvl w:ilvl="0">
      <w:lvlJc w:val="left"/>
      <w:lvlText w:val="(%1)"/>
      <w:numFmt w:val="decimal"/>
      <w:start w:val="1"/>
    </w:lvl>
  </w:abstractNum>
  <w:abstractNum w:abstractNumId="5">
    <w:nsid w:val="1BA026FA"/>
    <w:multiLevelType w:val="hybridMultilevel"/>
    <w:lvl w:ilvl="0">
      <w:lvlJc w:val="left"/>
      <w:lvlText w:val="(%1)"/>
      <w:numFmt w:val="decimal"/>
      <w:start w:val="6"/>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1."/>
      <w:numFmt w:val="decimal"/>
      <w:start w:val="3"/>
    </w:lvl>
  </w:abstractNum>
  <w:abstractNum w:abstractNumId="8">
    <w:nsid w:val="12E685FB"/>
    <w:multiLevelType w:val="hybridMultilevel"/>
    <w:lvl w:ilvl="0">
      <w:lvlJc w:val="left"/>
      <w:lvlText w:val="(%1)"/>
      <w:numFmt w:val="lowerRoman"/>
      <w:start w:val="4"/>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1."/>
      <w:numFmt w:val="decimal"/>
      <w:start w:val="13"/>
    </w:lvl>
  </w:abstractNum>
  <w:abstractNum w:abstractNumId="11">
    <w:nsid w:val="374A3FE6"/>
    <w:multiLevelType w:val="hybridMultilevel"/>
    <w:lvl w:ilvl="0">
      <w:lvlJc w:val="left"/>
      <w:lvlText w:val="(%1)"/>
      <w:numFmt w:val="decimal"/>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1."/>
      <w:numFmt w:val="decimal"/>
      <w:start w:val="1"/>
    </w:lvl>
  </w:abstractNum>
  <w:abstractNum w:abstractNumId="15">
    <w:nsid w:val="275AC794"/>
    <w:multiLevelType w:val="hybridMultilevel"/>
    <w:lvl w:ilvl="0">
      <w:lvlJc w:val="left"/>
      <w:lvlText w:val="1"/>
      <w:numFmt w:val="bullet"/>
      <w:start w:val="1"/>
    </w:lvl>
  </w:abstractNum>
  <w:abstractNum w:abstractNumId="16">
    <w:nsid w:val="39386575"/>
    <w:multiLevelType w:val="hybridMultilevel"/>
    <w:lvl w:ilvl="0">
      <w:lvlJc w:val="left"/>
      <w:lvlText w:val="3"/>
      <w:numFmt w:val="bullet"/>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6"/>
      <w:numFmt w:val="bullet"/>
      <w:start w:val="1"/>
    </w:lvl>
  </w:abstractNum>
  <w:abstractNum w:abstractNumId="19">
    <w:nsid w:val="235BA861"/>
    <w:multiLevelType w:val="hybridMultilevel"/>
    <w:lvl w:ilvl="0">
      <w:lvlJc w:val="left"/>
      <w:lvlText w:val="7"/>
      <w:numFmt w:val="bullet"/>
      <w:start w:val="1"/>
    </w:lvl>
  </w:abstractNum>
  <w:abstractNum w:abstractNumId="20">
    <w:nsid w:val="47398C89"/>
    <w:multiLevelType w:val="hybridMultilevel"/>
    <w:lvl w:ilvl="0">
      <w:lvlJc w:val="left"/>
      <w:lvlText w:val="8"/>
      <w:numFmt w:val="bullet"/>
      <w:start w:val="1"/>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1"/>
      <w:numFmt w:val="decimal"/>
      <w:start w:val="10"/>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1)"/>
      <w:numFmt w:val="lowerRoman"/>
      <w:start w:val="2"/>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lowerRoman"/>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5"/>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lowerLetter"/>
      <w:start w:val="5"/>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lowerLetter"/>
      <w:start w:val="1"/>
    </w:lvl>
  </w:abstractNum>
  <w:abstractNum w:abstractNumId="35">
    <w:nsid w:val="1DBABF00"/>
    <w:multiLevelType w:val="hybridMultilevel"/>
    <w:lvl w:ilvl="0">
      <w:lvlJc w:val="left"/>
      <w:lvlText w:val="%1"/>
      <w:numFmt w:val="lowerLetter"/>
      <w:start w:val="1"/>
    </w:lvl>
    <w:lvl w:ilvl="1">
      <w:lvlJc w:val="left"/>
      <w:lvlText w:val="(%2)"/>
      <w:numFmt w:val="lowerRoman"/>
      <w:start w:val="1"/>
    </w:lvl>
  </w:abstractNum>
  <w:abstractNum w:abstractNumId="36">
    <w:nsid w:val="4AD084E9"/>
    <w:multiLevelType w:val="hybridMultilevel"/>
    <w:lvl w:ilvl="0">
      <w:lvlJc w:val="left"/>
      <w:lvlText w:val="(%1)"/>
      <w:numFmt w:val="lowerLetter"/>
      <w:start w:val="2"/>
    </w:lvl>
    <w:lvl w:ilvl="1">
      <w:lvlJc w:val="left"/>
      <w:lvlText w:val="%2"/>
      <w:numFmt w:val="lowerRoman"/>
      <w:start w:val="1"/>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1)"/>
      <w:numFmt w:val="decimal"/>
      <w:start w:val="2"/>
    </w:lvl>
  </w:abstractNum>
  <w:abstractNum w:abstractNumId="39">
    <w:nsid w:val="5DB70AE5"/>
    <w:multiLevelType w:val="hybridMultilevel"/>
    <w:lvl w:ilvl="0">
      <w:lvlJc w:val="left"/>
      <w:lvlText w:val="(%1)"/>
      <w:numFmt w:val="decimal"/>
      <w:start w:val="10"/>
    </w:lvl>
  </w:abstractNum>
  <w:abstractNum w:abstractNumId="40">
    <w:nsid w:val="100F8FCA"/>
    <w:multiLevelType w:val="hybridMultilevel"/>
    <w:lvl w:ilvl="0">
      <w:lvlJc w:val="left"/>
      <w:lvlText w:val="(%1)"/>
      <w:numFmt w:val="decimal"/>
      <w:start w:val="20"/>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4"/>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lowerLetter"/>
      <w:start w:val="2"/>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4"/>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Roman"/>
      <w:start w:val="1"/>
    </w:lvl>
  </w:abstractNum>
  <w:abstractNum w:abstractNumId="52">
    <w:nsid w:val="540A471C"/>
    <w:multiLevelType w:val="hybridMultilevel"/>
    <w:lvl w:ilvl="0">
      <w:lvlJc w:val="left"/>
      <w:lvlText w:val="(%1)"/>
      <w:numFmt w:val="decimal"/>
      <w:start w:val="2"/>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decimal"/>
      <w:start w:val="1"/>
    </w:lvl>
    <w:lvl w:ilvl="1">
      <w:lvlJc w:val="left"/>
      <w:lvlText w:val="(%2)"/>
      <w:numFmt w:val="lowerLetter"/>
      <w:start w:val="1"/>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2"/>
    </w:lvl>
  </w:abstractNum>
  <w:abstractNum w:abstractNumId="57">
    <w:nsid w:val="11447B73"/>
    <w:multiLevelType w:val="hybridMultilevel"/>
    <w:lvl w:ilvl="0">
      <w:lvlJc w:val="left"/>
      <w:lvlText w:val="(%1)"/>
      <w:numFmt w:val="lowerRoman"/>
      <w:start w:val="1"/>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decimal"/>
      <w:start w:val="3"/>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
    <w:nsid w:val="4962813B"/>
    <w:multiLevelType w:val="hybridMultilevel"/>
    <w:lvl w:ilvl="0">
      <w:lvlJc w:val="left"/>
      <w:lvlText w:val="(%1)"/>
      <w:numFmt w:val="lowerLetter"/>
      <w:start w:val="4"/>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9"/>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3"/>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decimal"/>
      <w:start w:val="4"/>
    </w:lvl>
  </w:abstractNum>
  <w:abstractNum w:abstractNumId="71">
    <w:nsid w:val="100F59DC"/>
    <w:multiLevelType w:val="hybridMultilevel"/>
    <w:lvl w:ilvl="0">
      <w:lvlJc w:val="left"/>
      <w:lvlText w:val="(%1)"/>
      <w:numFmt w:val="decimal"/>
      <w:start w:val="1"/>
    </w:lvl>
    <w:lvl w:ilvl="1">
      <w:lvlJc w:val="left"/>
      <w:lvlText w:val="(%2)"/>
      <w:numFmt w:val="lowerRoman"/>
      <w:start w:val="1"/>
    </w:lvl>
  </w:abstractNum>
  <w:abstractNum w:abstractNumId="72">
    <w:nsid w:val="7FB7E0AA"/>
    <w:multiLevelType w:val="hybridMultilevel"/>
    <w:lvl w:ilvl="0">
      <w:lvlJc w:val="left"/>
      <w:lvlText w:val="(%1)"/>
      <w:numFmt w:val="decimal"/>
      <w:start w:val="5"/>
    </w:lvl>
  </w:abstractNum>
  <w:abstractNum w:abstractNumId="73">
    <w:nsid w:val="6EB5BD4"/>
    <w:multiLevelType w:val="hybridMultilevel"/>
    <w:lvl w:ilvl="0">
      <w:lvlJc w:val="left"/>
      <w:lvlText w:val="(%1)"/>
      <w:numFmt w:val="decimal"/>
      <w:start w:val="6"/>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3"/>
    </w:lvl>
  </w:abstractNum>
  <w:abstractNum w:abstractNumId="76">
    <w:nsid w:val="885E1B"/>
    <w:multiLevelType w:val="hybridMultilevel"/>
    <w:lvl w:ilvl="0">
      <w:lvlJc w:val="left"/>
      <w:lvlText w:val="(%1)"/>
      <w:numFmt w:val="lowerRoman"/>
      <w:start w:val="1"/>
    </w:lvl>
  </w:abstractNum>
  <w:abstractNum w:abstractNumId="77">
    <w:nsid w:val="76272110"/>
    <w:multiLevelType w:val="hybridMultilevel"/>
    <w:lvl w:ilvl="0">
      <w:lvlJc w:val="left"/>
      <w:lvlText w:val="(%1)"/>
      <w:numFmt w:val="lowerRoman"/>
      <w:start w:val="4"/>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decimal"/>
      <w:start w:val="9"/>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2"/>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decimal"/>
      <w:start w:val="4"/>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a"/>
      <w:numFmt w:val="bullet"/>
      <w:start w:val="1"/>
    </w:lvl>
    <w:lvl w:ilvl="1">
      <w:lvlJc w:val="left"/>
      <w:lvlText w:val="(%2)"/>
      <w:numFmt w:val="decimal"/>
      <w:start w:val="1"/>
    </w:lvl>
    <w:lvl w:ilvl="2">
      <w:lvlJc w:val="left"/>
      <w:lvlText w:val="(%3)"/>
      <w:numFmt w:val="upperLetter"/>
      <w:start w:val="3"/>
    </w:lvl>
  </w:abstractNum>
  <w:abstractNum w:abstractNumId="90">
    <w:nsid w:val="43F18422"/>
    <w:multiLevelType w:val="hybridMultilevel"/>
    <w:lvl w:ilvl="0">
      <w:lvlJc w:val="left"/>
      <w:lvlText w:val="(%1)"/>
      <w:numFmt w:val="decimal"/>
      <w:start w:val="2"/>
    </w:lvl>
  </w:abstractNum>
  <w:abstractNum w:abstractNumId="91">
    <w:nsid w:val="60EF0119"/>
    <w:multiLevelType w:val="hybridMultilevel"/>
    <w:lvl w:ilvl="0">
      <w:lvlJc w:val="left"/>
      <w:lvlText w:val="(%1)"/>
      <w:numFmt w:val="decimal"/>
      <w:start w:val="8"/>
    </w:lvl>
  </w:abstractNum>
  <w:abstractNum w:abstractNumId="92">
    <w:nsid w:val="26F324BA"/>
    <w:multiLevelType w:val="hybridMultilevel"/>
    <w:lvl w:ilvl="0">
      <w:lvlJc w:val="left"/>
      <w:lvlText w:val="(%1)"/>
      <w:numFmt w:val="lowerRoman"/>
      <w:start w:val="1"/>
    </w:lvl>
  </w:abstractNum>
  <w:abstractNum w:abstractNumId="93">
    <w:nsid w:val="7F01579B"/>
    <w:multiLevelType w:val="hybridMultilevel"/>
    <w:lvl w:ilvl="0">
      <w:lvlJc w:val="left"/>
      <w:lvlText w:val="(%1)"/>
      <w:numFmt w:val="lowerRoman"/>
      <w:start w:val="2"/>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jpeg"/><Relationship Id="rId162" Type="http://schemas.openxmlformats.org/officeDocument/2006/relationships/image" Target="media/image147.jpeg"/><Relationship Id="rId163" Type="http://schemas.openxmlformats.org/officeDocument/2006/relationships/image" Target="media/image148.png"/><Relationship Id="rId164" Type="http://schemas.openxmlformats.org/officeDocument/2006/relationships/image" Target="media/image149.jpeg"/><Relationship Id="rId165" Type="http://schemas.openxmlformats.org/officeDocument/2006/relationships/image" Target="media/image150.png"/><Relationship Id="rId166" Type="http://schemas.openxmlformats.org/officeDocument/2006/relationships/image" Target="media/image151.jpe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146" Type="http://schemas.openxmlformats.org/officeDocument/2006/relationships/hyperlink" Target="http://www.sec.gov/Archives/edgar/data/1833141/000183314124000005/annualinformationformaif-c.htm" TargetMode="External"/><Relationship Id="rId147" Type="http://schemas.openxmlformats.org/officeDocument/2006/relationships/hyperlink" Target="http://www.sec.gov/Archives/edgar/data/1833141/000183314124000005/cybinincfs-q4x24.htm" TargetMode="External"/><Relationship Id="rId148" Type="http://schemas.openxmlformats.org/officeDocument/2006/relationships/hyperlink" Target="http://www.sec.gov/Archives/edgar/data/1833141/000183314124000005/a20240625-cybinxmdaxq4x24x.htm" TargetMode="External"/><Relationship Id="rId149" Type="http://schemas.openxmlformats.org/officeDocument/2006/relationships/hyperlink" Target="http://www.sec.gov/Archives/edgar/data/1833141/000183314124000018/cybin-financialstatementsx.htm" TargetMode="External"/><Relationship Id="rId150" Type="http://schemas.openxmlformats.org/officeDocument/2006/relationships/hyperlink" Target="http://www.sec.gov/Archives/edgar/data/1833141/000183314124000018/cybin-mdaxq2x25xseptember3.htm" TargetMode="External"/><Relationship Id="rId151" Type="http://schemas.openxmlformats.org/officeDocument/2006/relationships/hyperlink" Target="http://www.sec.gov/Archives/edgar/data/1833141/000183314124000014/agm2024-managementinformat.htm" TargetMode="External"/><Relationship Id="rId152" Type="http://schemas.openxmlformats.org/officeDocument/2006/relationships/hyperlink" Target="http://www.sec.gov/Archives/edgar/data/1833141/000183314124000017/materialchangereport-conso.htm" TargetMode="External"/><Relationship Id="rId153" Type="http://schemas.openxmlformats.org/officeDocument/2006/relationships/hyperlink" Target="http://www.sec.gov/Archives/edgar/data/1833141/000183314123000016/cybin-businessacquisition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2025-01-08T05:12:27Z</dcterms:created>
  <dcterms:modified xsi:type="dcterms:W3CDTF">2025-01-08T05:12:27Z</dcterms:modified>
</cp:coreProperties>
</file>