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17,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17,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920750</wp:posOffset>
            </wp:positionV>
            <wp:extent cx="278638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8638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40" w:right="120"/>
        <w:spacing w:after="0" w:line="343" w:lineRule="auto"/>
        <w:rPr>
          <w:sz w:val="20"/>
          <w:szCs w:val="20"/>
          <w:color w:val="auto"/>
        </w:rPr>
      </w:pPr>
      <w:r>
        <w:rPr>
          <w:rFonts w:ascii="Arial" w:cs="Arial" w:eastAsia="Arial" w:hAnsi="Arial"/>
          <w:sz w:val="25"/>
          <w:szCs w:val="25"/>
          <w:b w:val="1"/>
          <w:bCs w:val="1"/>
          <w:color w:val="auto"/>
        </w:rPr>
        <w:t>Cybin and Clinilabs Granted Schedule I DEA License for CYB003 Phase 1/2a First-In-Human Clinical Trial</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17,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and its partner </w:t>
      </w:r>
      <w:r>
        <w:rPr>
          <w:rFonts w:ascii="Arial" w:cs="Arial" w:eastAsia="Arial" w:hAnsi="Arial"/>
          <w:sz w:val="20"/>
          <w:szCs w:val="20"/>
          <w:u w:val="single" w:color="auto"/>
          <w:color w:val="0000FF"/>
        </w:rPr>
        <w:t>Clinilabs Drug</w:t>
      </w:r>
      <w:r>
        <w:rPr>
          <w:rFonts w:ascii="Arial" w:cs="Arial" w:eastAsia="Arial" w:hAnsi="Arial"/>
          <w:sz w:val="20"/>
          <w:szCs w:val="20"/>
          <w:color w:val="auto"/>
        </w:rPr>
        <w:t xml:space="preserve"> </w:t>
      </w:r>
      <w:r>
        <w:rPr>
          <w:rFonts w:ascii="Arial" w:cs="Arial" w:eastAsia="Arial" w:hAnsi="Arial"/>
          <w:sz w:val="20"/>
          <w:szCs w:val="20"/>
          <w:u w:val="single" w:color="auto"/>
          <w:color w:val="0000FF"/>
        </w:rPr>
        <w:t>Development Corporation</w:t>
      </w:r>
      <w:r>
        <w:rPr>
          <w:rFonts w:ascii="Arial" w:cs="Arial" w:eastAsia="Arial" w:hAnsi="Arial"/>
          <w:sz w:val="20"/>
          <w:szCs w:val="20"/>
          <w:color w:val="0000FF"/>
        </w:rPr>
        <w:t xml:space="preserve"> </w:t>
      </w:r>
      <w:r>
        <w:rPr>
          <w:rFonts w:ascii="Arial" w:cs="Arial" w:eastAsia="Arial" w:hAnsi="Arial"/>
          <w:sz w:val="20"/>
          <w:szCs w:val="20"/>
          <w:color w:val="000000"/>
        </w:rPr>
        <w:t>(“Clinilabs”), a global, full-service contract research organization with deep expertise in central</w:t>
      </w:r>
      <w:r>
        <w:rPr>
          <w:rFonts w:ascii="Arial" w:cs="Arial" w:eastAsia="Arial" w:hAnsi="Arial"/>
          <w:sz w:val="20"/>
          <w:szCs w:val="20"/>
          <w:color w:val="0000FF"/>
        </w:rPr>
        <w:t xml:space="preserve"> </w:t>
      </w:r>
      <w:r>
        <w:rPr>
          <w:rFonts w:ascii="Arial" w:cs="Arial" w:eastAsia="Arial" w:hAnsi="Arial"/>
          <w:sz w:val="20"/>
          <w:szCs w:val="20"/>
          <w:color w:val="000000"/>
        </w:rPr>
        <w:t>nervous system drug development, today announced that the U.S. Drug Enforcement Agency (“DEA”) has granted a Schedule I license to support the first-in-human Phase 1/2a clinical trial of CYB003, a proprietary deuterated psilocybin analog that is being developed for the treatment of major depressive disorder (“MDD”).</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"Obtaining a DEA license for our Phase 1/2a trial is the final step clearing the way to begin dosing participants in our first-in-human study of CYB003. Our rigorous recruitment and enrollment process is well under way, and we are excited to commence dosing of our first cohort of participants,” said Doug Drysdale, Chief Executive Officer of Cybin.</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DEA license is a federal requirement for any investigators who intend to study, produce, analyze, or otherwise work with Schedule I controlled substances.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CYB003 Phase 1/2a Trial</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Phase 1/2a trial is a randomized, double-blind, placebo-controlled study evaluating people with moderate to severe MDD. Participants will receive two administrations (placebo/active and active/active) and a response/remission will be assessed at Week 3 (after first dose) and at Week 6 (after second dose). Importantly, participants in the trial that are currently being treated with antidepressants will be allowed to remain on their antidepressant medication.</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Using the Montgomery-Asberg Depression Rating Scale, the trial will assess rapid onset of antidepressant effect on the day of dosing. The study will also evaluate the incremental benefit of a second dose of CYB003 when administered at Week 3 and will provide important PK and safety data to determine a clinical path forward. An optional period of assessment will help</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314" w:lineRule="auto"/>
        <w:rPr>
          <w:sz w:val="20"/>
          <w:szCs w:val="20"/>
          <w:color w:val="auto"/>
        </w:rPr>
      </w:pPr>
      <w:r>
        <w:rPr>
          <w:rFonts w:ascii="Arial" w:cs="Arial" w:eastAsia="Arial" w:hAnsi="Arial"/>
          <w:sz w:val="20"/>
          <w:szCs w:val="20"/>
          <w:color w:val="auto"/>
        </w:rPr>
        <w:t xml:space="preserve">determine the durability of treatment effect out to 12 weeks. The detailed Phase 1/2a study protocol is available at </w:t>
      </w:r>
      <w:r>
        <w:rPr>
          <w:rFonts w:ascii="Arial" w:cs="Arial" w:eastAsia="Arial" w:hAnsi="Arial"/>
          <w:sz w:val="20"/>
          <w:szCs w:val="20"/>
          <w:u w:val="single" w:color="auto"/>
          <w:color w:val="0000FF"/>
        </w:rPr>
        <w:t>clinicaltrials.gov</w:t>
      </w:r>
      <w:r>
        <w:rPr>
          <w:rFonts w:ascii="Arial" w:cs="Arial" w:eastAsia="Arial" w:hAnsi="Arial"/>
          <w:sz w:val="20"/>
          <w:szCs w:val="20"/>
          <w:color w:val="0000FF"/>
        </w:rPr>
        <w:t xml:space="preserve"> </w:t>
      </w:r>
      <w:r>
        <w:rPr>
          <w:rFonts w:ascii="Arial" w:cs="Arial" w:eastAsia="Arial" w:hAnsi="Arial"/>
          <w:sz w:val="20"/>
          <w:szCs w:val="20"/>
          <w:color w:val="000000"/>
        </w:rPr>
        <w:t>under the Identifier number: NCT05385783.</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 xml:space="preserve">This research study is recruiting individuals between the ages of 21 and 55 who have been diagnosed with MDD and who are currently taking an antidepressant medication that is not working to their satisfaction. Participation includes 11 outpatient visits and two 2-day inpatient stays. Participants who are located within reasonable travel distance to the Clinilabs Eatontown, New Jersey clinical research unit, may pre-screen for study entry at </w:t>
      </w:r>
      <w:r>
        <w:rPr>
          <w:rFonts w:ascii="Arial" w:cs="Arial" w:eastAsia="Arial" w:hAnsi="Arial"/>
          <w:sz w:val="20"/>
          <w:szCs w:val="20"/>
          <w:u w:val="single" w:color="auto"/>
          <w:color w:val="0000FF"/>
        </w:rPr>
        <w:t>www.depressionpsychedelicstudy.com</w:t>
      </w:r>
      <w:r>
        <w:rPr>
          <w:rFonts w:ascii="Arial" w:cs="Arial" w:eastAsia="Arial" w:hAnsi="Arial"/>
          <w:sz w:val="20"/>
          <w:szCs w:val="20"/>
          <w:color w:val="auto"/>
        </w:rPr>
        <w:t xml:space="preserve"> or by telephone at (212) 994-4567.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CYB003</w:t>
      </w:r>
    </w:p>
    <w:p>
      <w:pPr>
        <w:spacing w:after="0" w:line="4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CYB003 is a deuterated analog of psilocybin, which is part of a family of molecules called indolamines that include more common neurotransmitters, such as serotonin. Psilocybin is dephosphorylated to form its metabolite psilocin, which can cross the blood-brain-barrier. Given its structural similarity to serotonin, psilocin can easily activate the serotonin 5-HT2A receptor.</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CYB003 is designed to potentially address the challenges and limitations of oral psilocybin. Based on preclinical data, CYB003 achieved less variability in plasma levels, faster onset of action, and shorter duration of effect. We believe CYB003 has the potential to reduce time and resource burden on patients, providers, and payers, and possibly improve scalability and accessibility of treatment.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Clinilabs Drug Development Corporation</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Clinilabs Drug Development Corporation is the only global, full-service contract research organization focused exclusively on central nervous system (“CNS”) drug development. With deep expertise in CNS, we are committed to the development of medicines that treat a range of psychiatric, neurological and substance use disorders, as well as rare and ultra-rare CNS diseases. Clinilabs partners with pharmaceutical and biotechnology companies to deliver a complete, first-in-human to Phase 3 spectrum of high quality, timely, and cost-effective clinical drug development services, with the shared goal of speeding new CNS medicines to market. We are process-driven yet structured to be nimble, providing personalized service that meets the needs of customers and projects of all sizes. Clinilabs has conducted more than 675 CNS clinical trials in our 22-year history and played a pivotal role in the approval of 19 new therapies across 10 CNS indications to help transform the lives of patients worldwide.</w:t>
      </w:r>
    </w:p>
    <w:p>
      <w:pPr>
        <w:sectPr>
          <w:pgSz w:w="11900" w:h="16838" w:orient="portrait"/>
          <w:cols w:equalWidth="0" w:num="1">
            <w:col w:w="11240"/>
          </w:cols>
          <w:pgMar w:left="320" w:top="1427" w:right="339" w:bottom="1440" w:gutter="0" w:footer="0" w:header="0"/>
        </w:sectPr>
      </w:pPr>
    </w:p>
    <w:bookmarkStart w:id="5" w:name="page6"/>
    <w:bookmarkEnd w:id="5"/>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related to the results of the Company’s CYB003 preclinical studies, statements regarding the Company’s CYB003 Phase 1/2a trial and anticipated results, the Company’s recruitment of patients for its CYB003 Phase 1/2a trial, and the Company’s plan to engineer proprietary drug discovery platforms, innovative drug delivery systems, novel formulation approaches and treatment regimens for mental health conditions.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June 30,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6" w:lineRule="exact"/>
        <w:rPr>
          <w:sz w:val="20"/>
          <w:szCs w:val="20"/>
          <w:color w:val="auto"/>
        </w:rPr>
      </w:pPr>
    </w:p>
    <w:p>
      <w:pPr>
        <w:jc w:val="both"/>
        <w:spacing w:after="0" w:line="305"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w:t>
      </w:r>
    </w:p>
    <w:p>
      <w:pPr>
        <w:sectPr>
          <w:pgSz w:w="11900" w:h="16838" w:orient="portrait"/>
          <w:cols w:equalWidth="0" w:num="1">
            <w:col w:w="11240"/>
          </w:cols>
          <w:pgMar w:left="320" w:top="1440" w:right="339" w:bottom="1440" w:gutter="0" w:footer="0" w:header="0"/>
        </w:sectPr>
      </w:pPr>
    </w:p>
    <w:bookmarkStart w:id="6" w:name="page7"/>
    <w:bookmarkEnd w:id="6"/>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20"/>
          <w:szCs w:val="20"/>
          <w:color w:val="auto"/>
        </w:rPr>
        <w:t>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Jeanine M. Falinski, MBA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Strategy &amp; Corporate Development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Clinilabs Drug Development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jfalinski@clinilabs.com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2022-08-17T11:12:42Z</dcterms:created>
  <dcterms:modified xsi:type="dcterms:W3CDTF">2022-08-17T11:12:42Z</dcterms:modified>
</cp:coreProperties>
</file>