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76"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1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8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Form 6-K</w:t>
      </w:r>
    </w:p>
    <w:p>
      <w:pPr>
        <w:spacing w:after="0" w:line="212"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REPORT OF FOREIGN PRIVATE ISSUER PURSUANT TO RULE 13a-16 OR 15d-16</w:t>
      </w:r>
    </w:p>
    <w:p>
      <w:pPr>
        <w:spacing w:after="0" w:line="20"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7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For the month of September, 2022.</w:t>
      </w:r>
    </w:p>
    <w:p>
      <w:pPr>
        <w:spacing w:after="0" w:line="8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xml:space="preserve">Commission File Number: </w:t>
      </w:r>
      <w:r>
        <w:rPr>
          <w:rFonts w:ascii="Times New Roman" w:cs="Times New Roman" w:eastAsia="Times New Roman" w:hAnsi="Times New Roman"/>
          <w:sz w:val="18"/>
          <w:szCs w:val="18"/>
          <w:b w:val="1"/>
          <w:bCs w:val="1"/>
          <w:color w:val="auto"/>
        </w:rPr>
        <w:t>001-40673</w:t>
      </w:r>
    </w:p>
    <w:p>
      <w:pPr>
        <w:spacing w:after="0" w:line="39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u w:val="single" w:color="auto"/>
          <w:color w:val="auto"/>
        </w:rPr>
        <w:t>Cybin Inc.</w:t>
      </w:r>
    </w:p>
    <w:p>
      <w:pPr>
        <w:spacing w:after="0" w:line="33"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(Exact Name of Registrant as Specified in Charter)</w:t>
      </w:r>
    </w:p>
    <w:p>
      <w:pPr>
        <w:spacing w:after="0" w:line="17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100 King Street West, Suite 5600, Toronto, Ontario, M5X 1C9</w:t>
      </w:r>
    </w:p>
    <w:p>
      <w:pPr>
        <w:spacing w:after="0" w:line="20"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3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Form 20-F or Form 40-F.</w:t>
      </w:r>
    </w:p>
    <w:p>
      <w:pPr>
        <w:spacing w:after="0" w:line="19" w:lineRule="exact"/>
        <w:rPr>
          <w:sz w:val="24"/>
          <w:szCs w:val="24"/>
          <w:color w:val="auto"/>
        </w:rPr>
      </w:pPr>
    </w:p>
    <w:p>
      <w:pPr>
        <w:spacing w:after="0" w:line="288" w:lineRule="exact"/>
        <w:rPr>
          <w:sz w:val="20"/>
          <w:szCs w:val="20"/>
          <w:color w:val="auto"/>
        </w:rPr>
      </w:pPr>
      <w:r>
        <w:rPr>
          <w:rFonts w:ascii="Times New Roman" w:cs="Times New Roman" w:eastAsia="Times New Roman" w:hAnsi="Times New Roman"/>
          <w:sz w:val="18"/>
          <w:szCs w:val="18"/>
          <w:color w:val="auto"/>
        </w:rPr>
        <w:t xml:space="preserve">Form 20-F </w:t>
      </w:r>
      <w:r>
        <w:rPr>
          <w:rFonts w:ascii="Times New Roman" w:cs="Times New Roman" w:eastAsia="Times New Roman" w:hAnsi="Times New Roman"/>
          <w:sz w:val="25"/>
          <w:szCs w:val="25"/>
          <w:color w:val="auto"/>
        </w:rPr>
        <w:t>□</w:t>
      </w:r>
      <w:r>
        <w:rPr>
          <w:rFonts w:ascii="Times New Roman" w:cs="Times New Roman" w:eastAsia="Times New Roman" w:hAnsi="Times New Roman"/>
          <w:sz w:val="18"/>
          <w:szCs w:val="18"/>
          <w:color w:val="auto"/>
        </w:rPr>
        <w:t xml:space="preserve"> Form 40-F </w:t>
      </w:r>
      <w:r>
        <w:rPr>
          <w:rFonts w:ascii="MS PGothic" w:cs="MS PGothic" w:eastAsia="MS PGothic" w:hAnsi="MS PGothic"/>
          <w:sz w:val="18"/>
          <w:szCs w:val="18"/>
          <w:color w:val="auto"/>
        </w:rPr>
        <w:t>⊠</w:t>
      </w:r>
    </w:p>
    <w:p>
      <w:pPr>
        <w:spacing w:after="0" w:line="21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if the registrant is submitting the Form 6-K in paper as permitted by Regulation S-T Rule 101(b)(1): ____</w:t>
      </w:r>
    </w:p>
    <w:p>
      <w:pPr>
        <w:spacing w:after="0" w:line="248" w:lineRule="exact"/>
        <w:rPr>
          <w:sz w:val="24"/>
          <w:szCs w:val="24"/>
          <w:color w:val="auto"/>
        </w:rPr>
      </w:pPr>
    </w:p>
    <w:p>
      <w:pPr>
        <w:ind w:right="500"/>
        <w:spacing w:after="0" w:line="286" w:lineRule="auto"/>
        <w:rPr>
          <w:sz w:val="20"/>
          <w:szCs w:val="20"/>
          <w:color w:val="auto"/>
        </w:rPr>
      </w:pPr>
      <w:r>
        <w:rPr>
          <w:rFonts w:ascii="Times New Roman" w:cs="Times New Roman" w:eastAsia="Times New Roman" w:hAnsi="Times New Roman"/>
          <w:sz w:val="18"/>
          <w:szCs w:val="18"/>
          <w:b w:val="1"/>
          <w:bCs w:val="1"/>
          <w:color w:val="auto"/>
        </w:rPr>
        <w:t>Note</w:t>
      </w:r>
      <w:r>
        <w:rPr>
          <w:rFonts w:ascii="Times New Roman" w:cs="Times New Roman" w:eastAsia="Times New Roman" w:hAnsi="Times New Roman"/>
          <w:sz w:val="18"/>
          <w:szCs w:val="18"/>
          <w:color w:val="auto"/>
        </w:rPr>
        <w:t>: Regulation S-T Rule 101(b)(1) only permits the submission in paper of a Form 6-K if submitted solely to provide an attached annual report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security holders.</w:t>
      </w:r>
    </w:p>
    <w:p>
      <w:pPr>
        <w:spacing w:after="0" w:line="14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if the registrant is submitting the Form 6-K in paper as permitted by Regulation S-T Rule 101(b)(7): ____</w:t>
      </w:r>
    </w:p>
    <w:p>
      <w:pPr>
        <w:spacing w:after="0" w:line="221" w:lineRule="exact"/>
        <w:rPr>
          <w:sz w:val="24"/>
          <w:szCs w:val="24"/>
          <w:color w:val="auto"/>
        </w:rPr>
      </w:pPr>
    </w:p>
    <w:p>
      <w:pPr>
        <w:spacing w:after="0" w:line="247" w:lineRule="auto"/>
        <w:rPr>
          <w:sz w:val="20"/>
          <w:szCs w:val="20"/>
          <w:color w:val="auto"/>
        </w:rPr>
      </w:pPr>
      <w:r>
        <w:rPr>
          <w:rFonts w:ascii="Times New Roman" w:cs="Times New Roman" w:eastAsia="Times New Roman" w:hAnsi="Times New Roman"/>
          <w:sz w:val="18"/>
          <w:szCs w:val="18"/>
          <w:b w:val="1"/>
          <w:bCs w:val="1"/>
          <w:color w:val="auto"/>
        </w:rPr>
        <w:t>Note</w:t>
      </w:r>
      <w:r>
        <w:rPr>
          <w:rFonts w:ascii="Times New Roman" w:cs="Times New Roman" w:eastAsia="Times New Roman" w:hAnsi="Times New Roman"/>
          <w:sz w:val="18"/>
          <w:szCs w:val="18"/>
          <w:color w:val="auto"/>
        </w:rPr>
        <w:t>: Regulation S-T Rule 101(b)(7) only permits the submission in paper of a Form 6-K if submitted to furnish a report or other document that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registrant foreign private issuer must furnish and make public under the laws of the jurisdiction in which the registrant is incorporated, domiciled or legally organized (the registrant’s “home country”), or under the rules of the home country exchange on which the registrant’s securities are traded, as long as the report or other document is not a press release, is not required to be and has not been distributed to the registrant’s security holders, and, if discussing a material event, has already been the subject of a Form 6-K submission or other Commission filing on EDGAR.</w:t>
      </w:r>
    </w:p>
    <w:p>
      <w:pPr>
        <w:sectPr>
          <w:pgSz w:w="11900" w:h="16838" w:orient="portrait"/>
          <w:cols w:equalWidth="0" w:num="1">
            <w:col w:w="11180"/>
          </w:cols>
          <w:pgMar w:left="320" w:top="1440" w:right="399" w:bottom="1440" w:gutter="0" w:footer="0" w:header="0"/>
        </w:sectPr>
      </w:pPr>
    </w:p>
    <w:bookmarkStart w:id="1" w:name="page2"/>
    <w:bookmarkEnd w:id="1"/>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94"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91"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5600" w:type="dxa"/>
            <w:vAlign w:val="bottom"/>
          </w:tcPr>
          <w:p>
            <w:pPr>
              <w:spacing w:after="0"/>
              <w:rPr>
                <w:sz w:val="20"/>
                <w:szCs w:val="20"/>
                <w:color w:val="auto"/>
              </w:rPr>
            </w:pPr>
          </w:p>
        </w:tc>
        <w:tc>
          <w:tcPr>
            <w:tcW w:w="46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CYBIN INC.</w:t>
            </w:r>
          </w:p>
        </w:tc>
      </w:tr>
      <w:tr>
        <w:trPr>
          <w:trHeight w:val="257"/>
        </w:trPr>
        <w:tc>
          <w:tcPr>
            <w:tcW w:w="5600" w:type="dxa"/>
            <w:vAlign w:val="bottom"/>
          </w:tcPr>
          <w:p>
            <w:pPr>
              <w:spacing w:after="0"/>
              <w:rPr>
                <w:sz w:val="22"/>
                <w:szCs w:val="22"/>
                <w:color w:val="auto"/>
              </w:rPr>
            </w:pPr>
          </w:p>
        </w:tc>
        <w:tc>
          <w:tcPr>
            <w:tcW w:w="4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(Registrant)</w:t>
            </w:r>
          </w:p>
        </w:tc>
      </w:tr>
      <w:tr>
        <w:trPr>
          <w:trHeight w:val="520"/>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Date:   September 21, 2022</w:t>
            </w:r>
          </w:p>
        </w:tc>
        <w:tc>
          <w:tcPr>
            <w:tcW w:w="6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By:</w:t>
            </w:r>
          </w:p>
        </w:tc>
        <w:tc>
          <w:tcPr>
            <w:tcW w:w="40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i w:val="1"/>
                <w:iCs w:val="1"/>
                <w:color w:val="auto"/>
              </w:rPr>
              <w:t>/s/ Doug Drysdale</w:t>
            </w:r>
          </w:p>
        </w:tc>
      </w:tr>
      <w:tr>
        <w:trPr>
          <w:trHeight w:val="243"/>
        </w:trPr>
        <w:tc>
          <w:tcPr>
            <w:tcW w:w="5600" w:type="dxa"/>
            <w:vAlign w:val="bottom"/>
          </w:tcPr>
          <w:p>
            <w:pPr>
              <w:spacing w:after="0"/>
              <w:rPr>
                <w:sz w:val="21"/>
                <w:szCs w:val="21"/>
                <w:color w:val="auto"/>
              </w:rPr>
            </w:pPr>
          </w:p>
        </w:tc>
        <w:tc>
          <w:tcPr>
            <w:tcW w:w="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Name:</w:t>
            </w:r>
          </w:p>
        </w:tc>
        <w:tc>
          <w:tcPr>
            <w:tcW w:w="4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Doug Drysdale</w:t>
            </w:r>
          </w:p>
        </w:tc>
      </w:tr>
      <w:tr>
        <w:trPr>
          <w:trHeight w:val="256"/>
        </w:trPr>
        <w:tc>
          <w:tcPr>
            <w:tcW w:w="5600" w:type="dxa"/>
            <w:vAlign w:val="bottom"/>
          </w:tcPr>
          <w:p>
            <w:pPr>
              <w:spacing w:after="0"/>
              <w:rPr>
                <w:sz w:val="22"/>
                <w:szCs w:val="22"/>
                <w:color w:val="auto"/>
              </w:rPr>
            </w:pPr>
          </w:p>
        </w:tc>
        <w:tc>
          <w:tcPr>
            <w:tcW w:w="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Title:</w:t>
            </w:r>
          </w:p>
        </w:tc>
        <w:tc>
          <w:tcPr>
            <w:tcW w:w="4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Chief Executive Officer</w:t>
            </w:r>
          </w:p>
        </w:tc>
      </w:tr>
    </w:tbl>
    <w:p>
      <w:pPr>
        <w:sectPr>
          <w:pgSz w:w="11900" w:h="16838" w:orient="portrait"/>
          <w:cols w:equalWidth="0" w:num="1">
            <w:col w:w="10920"/>
          </w:cols>
          <w:pgMar w:left="320" w:top="1413" w:right="659" w:bottom="1440" w:gutter="0" w:footer="0" w:header="0"/>
        </w:sectPr>
      </w:pPr>
    </w:p>
    <w:bookmarkStart w:id="2" w:name="page3"/>
    <w:bookmarkEnd w:id="2"/>
    <w:p>
      <w:pPr>
        <w:jc w:val="right"/>
        <w:ind w:right="3819"/>
        <w:spacing w:after="0"/>
        <w:rPr>
          <w:sz w:val="20"/>
          <w:szCs w:val="20"/>
          <w:color w:val="auto"/>
        </w:rPr>
      </w:pPr>
      <w:r>
        <w:rPr>
          <w:rFonts w:ascii="Times New Roman" w:cs="Times New Roman" w:eastAsia="Times New Roman" w:hAnsi="Times New Roman"/>
          <w:sz w:val="18"/>
          <w:szCs w:val="18"/>
          <w:b w:val="1"/>
          <w:bCs w:val="1"/>
          <w:u w:val="single" w:color="auto"/>
          <w:color w:val="auto"/>
        </w:rPr>
        <w:t>EXHIBIT INDEX</w:t>
      </w:r>
    </w:p>
    <w:p>
      <w:pPr>
        <w:spacing w:after="0" w:line="391"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8"/>
          <w:szCs w:val="18"/>
          <w:u w:val="single" w:color="auto"/>
          <w:color w:val="0000FF"/>
        </w:rPr>
        <w:t>News Release dated September 21, 2022</w:t>
      </w:r>
    </w:p>
    <w:p>
      <w:pPr>
        <w:sectPr>
          <w:pgSz w:w="11900" w:h="16838" w:orient="portrait"/>
          <w:cols w:equalWidth="0" w:num="1">
            <w:col w:w="10119"/>
          </w:cols>
          <w:pgMar w:left="340" w:top="1413" w:right="1440"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2531110</wp:posOffset>
            </wp:positionH>
            <wp:positionV relativeFrom="page">
              <wp:posOffset>920750</wp:posOffset>
            </wp:positionV>
            <wp:extent cx="2494280" cy="18002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2494280" cy="18002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Cybin to Participate in Upcoming Scientific and Investor Conferences</w:t>
      </w:r>
    </w:p>
    <w:p>
      <w:pPr>
        <w:spacing w:after="0" w:line="200" w:lineRule="exact"/>
        <w:rPr>
          <w:sz w:val="20"/>
          <w:szCs w:val="20"/>
          <w:color w:val="auto"/>
        </w:rPr>
      </w:pPr>
    </w:p>
    <w:p>
      <w:pPr>
        <w:spacing w:after="0" w:line="350" w:lineRule="exact"/>
        <w:rPr>
          <w:sz w:val="20"/>
          <w:szCs w:val="20"/>
          <w:color w:val="auto"/>
        </w:rPr>
      </w:pPr>
    </w:p>
    <w:p>
      <w:pPr>
        <w:jc w:val="both"/>
        <w:spacing w:after="0" w:line="276" w:lineRule="auto"/>
        <w:rPr>
          <w:sz w:val="20"/>
          <w:szCs w:val="20"/>
          <w:color w:val="auto"/>
        </w:rPr>
      </w:pPr>
      <w:r>
        <w:rPr>
          <w:rFonts w:ascii="Arial" w:cs="Arial" w:eastAsia="Arial" w:hAnsi="Arial"/>
          <w:sz w:val="20"/>
          <w:szCs w:val="20"/>
          <w:b w:val="1"/>
          <w:bCs w:val="1"/>
          <w:color w:val="auto"/>
        </w:rPr>
        <w:t xml:space="preserve">TORONTO, CANADA </w:t>
      </w:r>
      <w:r>
        <w:rPr>
          <w:rFonts w:ascii="Arial" w:cs="Arial" w:eastAsia="Arial" w:hAnsi="Arial"/>
          <w:sz w:val="20"/>
          <w:szCs w:val="20"/>
          <w:color w:val="auto"/>
        </w:rPr>
        <w:t>– September 21, 2022 –</w:t>
      </w:r>
      <w:r>
        <w:rPr>
          <w:rFonts w:ascii="Arial" w:cs="Arial" w:eastAsia="Arial" w:hAnsi="Arial"/>
          <w:sz w:val="20"/>
          <w:szCs w:val="20"/>
          <w:b w:val="1"/>
          <w:bCs w:val="1"/>
          <w:color w:val="auto"/>
        </w:rPr>
        <w:t xml:space="preserve"> </w:t>
      </w:r>
      <w:r>
        <w:rPr>
          <w:rFonts w:ascii="Arial" w:cs="Arial" w:eastAsia="Arial" w:hAnsi="Arial"/>
          <w:sz w:val="20"/>
          <w:szCs w:val="20"/>
          <w:u w:val="single" w:color="auto"/>
          <w:color w:val="0563C1"/>
        </w:rPr>
        <w:t>Cybin Inc.</w:t>
      </w:r>
      <w:r>
        <w:rPr>
          <w:rFonts w:ascii="Arial" w:cs="Arial" w:eastAsia="Arial" w:hAnsi="Arial"/>
          <w:sz w:val="20"/>
          <w:szCs w:val="20"/>
          <w:b w:val="1"/>
          <w:bCs w:val="1"/>
          <w:color w:val="auto"/>
        </w:rPr>
        <w:t xml:space="preserve"> </w:t>
      </w:r>
      <w:r>
        <w:rPr>
          <w:rFonts w:ascii="Arial" w:cs="Arial" w:eastAsia="Arial" w:hAnsi="Arial"/>
          <w:sz w:val="20"/>
          <w:szCs w:val="20"/>
          <w:color w:val="auto"/>
        </w:rPr>
        <w:t>(</w:t>
      </w:r>
      <w:r>
        <w:rPr>
          <w:rFonts w:ascii="Arial" w:cs="Arial" w:eastAsia="Arial" w:hAnsi="Arial"/>
          <w:sz w:val="20"/>
          <w:szCs w:val="20"/>
          <w:u w:val="single" w:color="auto"/>
          <w:color w:val="0563C1"/>
        </w:rPr>
        <w:t>NEO:CYBN</w:t>
      </w:r>
      <w:r>
        <w:rPr>
          <w:rFonts w:ascii="Arial" w:cs="Arial" w:eastAsia="Arial" w:hAnsi="Arial"/>
          <w:sz w:val="20"/>
          <w:szCs w:val="20"/>
          <w:color w:val="auto"/>
        </w:rPr>
        <w:t>) (</w:t>
      </w:r>
      <w:r>
        <w:rPr>
          <w:rFonts w:ascii="Arial" w:cs="Arial" w:eastAsia="Arial" w:hAnsi="Arial"/>
          <w:sz w:val="20"/>
          <w:szCs w:val="20"/>
          <w:u w:val="single" w:color="auto"/>
          <w:color w:val="0563C1"/>
        </w:rPr>
        <w:t>NYSE American:CYBN</w:t>
      </w:r>
      <w:r>
        <w:rPr>
          <w:rFonts w:ascii="Arial" w:cs="Arial" w:eastAsia="Arial" w:hAnsi="Arial"/>
          <w:sz w:val="20"/>
          <w:szCs w:val="20"/>
          <w:color w:val="auto"/>
        </w:rPr>
        <w:t>) (“</w:t>
      </w:r>
      <w:r>
        <w:rPr>
          <w:rFonts w:ascii="Arial" w:cs="Arial" w:eastAsia="Arial" w:hAnsi="Arial"/>
          <w:sz w:val="20"/>
          <w:szCs w:val="20"/>
          <w:b w:val="1"/>
          <w:bCs w:val="1"/>
          <w:color w:val="auto"/>
        </w:rPr>
        <w:t>Cybin</w:t>
      </w:r>
      <w:r>
        <w:rPr>
          <w:rFonts w:ascii="Arial" w:cs="Arial" w:eastAsia="Arial" w:hAnsi="Arial"/>
          <w:sz w:val="20"/>
          <w:szCs w:val="20"/>
          <w:color w:val="auto"/>
        </w:rPr>
        <w:t>” or the “</w:t>
      </w:r>
      <w:r>
        <w:rPr>
          <w:rFonts w:ascii="Arial" w:cs="Arial" w:eastAsia="Arial" w:hAnsi="Arial"/>
          <w:sz w:val="20"/>
          <w:szCs w:val="20"/>
          <w:b w:val="1"/>
          <w:bCs w:val="1"/>
          <w:color w:val="auto"/>
        </w:rPr>
        <w:t>Company</w:t>
      </w:r>
      <w:r>
        <w:rPr>
          <w:rFonts w:ascii="Arial" w:cs="Arial" w:eastAsia="Arial" w:hAnsi="Arial"/>
          <w:sz w:val="20"/>
          <w:szCs w:val="20"/>
          <w:color w:val="auto"/>
        </w:rPr>
        <w:t>”),</w:t>
      </w:r>
      <w:r>
        <w:rPr>
          <w:rFonts w:ascii="Arial" w:cs="Arial" w:eastAsia="Arial" w:hAnsi="Arial"/>
          <w:sz w:val="20"/>
          <w:szCs w:val="20"/>
          <w:b w:val="1"/>
          <w:bCs w:val="1"/>
          <w:color w:val="auto"/>
        </w:rPr>
        <w:t xml:space="preserve"> </w:t>
      </w:r>
      <w:r>
        <w:rPr>
          <w:rFonts w:ascii="Arial" w:cs="Arial" w:eastAsia="Arial" w:hAnsi="Arial"/>
          <w:sz w:val="20"/>
          <w:szCs w:val="20"/>
          <w:color w:val="auto"/>
        </w:rPr>
        <w:t>a biopharmaceutical company focused on progressing Psychedelics to Therapeutics</w:t>
      </w:r>
      <w:r>
        <w:rPr>
          <w:rFonts w:ascii="Arial" w:cs="Arial" w:eastAsia="Arial" w:hAnsi="Arial"/>
          <w:sz w:val="25"/>
          <w:szCs w:val="25"/>
          <w:color w:val="auto"/>
          <w:vertAlign w:val="superscript"/>
        </w:rPr>
        <w:t>TM</w:t>
      </w:r>
      <w:r>
        <w:rPr>
          <w:rFonts w:ascii="Arial" w:cs="Arial" w:eastAsia="Arial" w:hAnsi="Arial"/>
          <w:sz w:val="20"/>
          <w:szCs w:val="20"/>
          <w:color w:val="auto"/>
        </w:rPr>
        <w:t>, is pleased to announce its participation in the following upcoming conferences:</w:t>
      </w:r>
    </w:p>
    <w:p>
      <w:pPr>
        <w:spacing w:after="0" w:line="193" w:lineRule="exact"/>
        <w:rPr>
          <w:sz w:val="20"/>
          <w:szCs w:val="20"/>
          <w:color w:val="auto"/>
        </w:rPr>
      </w:pPr>
    </w:p>
    <w:p>
      <w:pPr>
        <w:jc w:val="both"/>
        <w:spacing w:after="0" w:line="340" w:lineRule="auto"/>
        <w:rPr>
          <w:sz w:val="20"/>
          <w:szCs w:val="20"/>
          <w:color w:val="auto"/>
        </w:rPr>
      </w:pPr>
      <w:r>
        <w:rPr>
          <w:rFonts w:ascii="Arial" w:cs="Arial" w:eastAsia="Arial" w:hAnsi="Arial"/>
          <w:sz w:val="20"/>
          <w:szCs w:val="20"/>
          <w:b w:val="1"/>
          <w:bCs w:val="1"/>
          <w:color w:val="auto"/>
        </w:rPr>
        <w:t>Interdisciplinary Conference on Psychedelic Research, Psychedelic Science, Ethics &amp; Business Event, September 21, 2022 in Haarlem, Amsterdam</w:t>
      </w:r>
    </w:p>
    <w:p>
      <w:pPr>
        <w:spacing w:after="0" w:line="133" w:lineRule="exact"/>
        <w:rPr>
          <w:sz w:val="20"/>
          <w:szCs w:val="20"/>
          <w:color w:val="auto"/>
        </w:rPr>
      </w:pPr>
    </w:p>
    <w:p>
      <w:pPr>
        <w:ind w:left="660" w:right="20" w:hanging="328"/>
        <w:spacing w:after="0" w:line="313" w:lineRule="auto"/>
        <w:tabs>
          <w:tab w:leader="none" w:pos="648" w:val="left"/>
        </w:tabs>
        <w:numPr>
          <w:ilvl w:val="0"/>
          <w:numId w:val="1"/>
        </w:numPr>
        <w:rPr>
          <w:rFonts w:ascii="Times New Roman" w:cs="Times New Roman" w:eastAsia="Times New Roman" w:hAnsi="Times New Roman"/>
          <w:sz w:val="20"/>
          <w:szCs w:val="20"/>
          <w:color w:val="auto"/>
        </w:rPr>
      </w:pPr>
      <w:r>
        <w:rPr>
          <w:rFonts w:ascii="Arial" w:cs="Arial" w:eastAsia="Arial" w:hAnsi="Arial"/>
          <w:sz w:val="20"/>
          <w:szCs w:val="20"/>
          <w:color w:val="auto"/>
        </w:rPr>
        <w:t>Doug Drysdale, Cybin’s Chief Executive Officer, participated in a panel discussion titled “Trials to Treatments” at 10:00 a.m. Central European Time on Wednesday, September 21, 2022.</w:t>
      </w:r>
    </w:p>
    <w:p>
      <w:pPr>
        <w:spacing w:after="0" w:line="16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Interdisciplinary Conference on Psychedelic Research, September 22-24, 2022 in Haarlem, Amsterdam</w:t>
      </w:r>
    </w:p>
    <w:p>
      <w:pPr>
        <w:spacing w:after="0" w:line="285" w:lineRule="exact"/>
        <w:rPr>
          <w:sz w:val="20"/>
          <w:szCs w:val="20"/>
          <w:color w:val="auto"/>
        </w:rPr>
      </w:pPr>
    </w:p>
    <w:p>
      <w:pPr>
        <w:jc w:val="both"/>
        <w:ind w:left="660" w:hanging="328"/>
        <w:spacing w:after="0" w:line="285" w:lineRule="auto"/>
        <w:tabs>
          <w:tab w:leader="none" w:pos="648" w:val="left"/>
        </w:tabs>
        <w:numPr>
          <w:ilvl w:val="0"/>
          <w:numId w:val="2"/>
        </w:numPr>
        <w:rPr>
          <w:rFonts w:ascii="Times New Roman" w:cs="Times New Roman" w:eastAsia="Times New Roman" w:hAnsi="Times New Roman"/>
          <w:sz w:val="20"/>
          <w:szCs w:val="20"/>
          <w:color w:val="auto"/>
        </w:rPr>
      </w:pPr>
      <w:r>
        <w:rPr>
          <w:rFonts w:ascii="Arial" w:cs="Arial" w:eastAsia="Arial" w:hAnsi="Arial"/>
          <w:sz w:val="20"/>
          <w:szCs w:val="20"/>
          <w:color w:val="auto"/>
        </w:rPr>
        <w:t xml:space="preserve">Amir Inamdar, MBBS, DNB (Psych), MFPM, Cybin’s Chief Medical Officer, will participate in a panel discussion titled “Where Psychedelics Science Meets Business” at 10:30 a.m. Central European Time on Saturday, September 24, 2022. For more information on how to access the event, please </w:t>
      </w:r>
      <w:r>
        <w:rPr>
          <w:rFonts w:ascii="Arial" w:cs="Arial" w:eastAsia="Arial" w:hAnsi="Arial"/>
          <w:sz w:val="20"/>
          <w:szCs w:val="20"/>
          <w:u w:val="single" w:color="auto"/>
          <w:color w:val="0000FF"/>
        </w:rPr>
        <w:t>click here</w:t>
      </w:r>
      <w:r>
        <w:rPr>
          <w:rFonts w:ascii="Arial" w:cs="Arial" w:eastAsia="Arial" w:hAnsi="Arial"/>
          <w:sz w:val="20"/>
          <w:szCs w:val="20"/>
          <w:color w:val="auto"/>
        </w:rPr>
        <w:t>.</w:t>
      </w:r>
    </w:p>
    <w:p>
      <w:pPr>
        <w:spacing w:after="0" w:line="3" w:lineRule="exact"/>
        <w:rPr>
          <w:rFonts w:ascii="Times New Roman" w:cs="Times New Roman" w:eastAsia="Times New Roman" w:hAnsi="Times New Roman"/>
          <w:sz w:val="20"/>
          <w:szCs w:val="20"/>
          <w:color w:val="auto"/>
        </w:rPr>
      </w:pPr>
    </w:p>
    <w:p>
      <w:pPr>
        <w:jc w:val="both"/>
        <w:ind w:left="660" w:hanging="328"/>
        <w:spacing w:after="0" w:line="296" w:lineRule="auto"/>
        <w:tabs>
          <w:tab w:leader="none" w:pos="648" w:val="left"/>
        </w:tabs>
        <w:numPr>
          <w:ilvl w:val="0"/>
          <w:numId w:val="2"/>
        </w:numPr>
        <w:rPr>
          <w:rFonts w:ascii="Times New Roman" w:cs="Times New Roman" w:eastAsia="Times New Roman" w:hAnsi="Times New Roman"/>
          <w:sz w:val="20"/>
          <w:szCs w:val="20"/>
          <w:color w:val="auto"/>
        </w:rPr>
      </w:pPr>
      <w:r>
        <w:rPr>
          <w:rFonts w:ascii="Arial" w:cs="Arial" w:eastAsia="Arial" w:hAnsi="Arial"/>
          <w:sz w:val="20"/>
          <w:szCs w:val="20"/>
          <w:color w:val="auto"/>
        </w:rPr>
        <w:t>Bill Brennan, Ph.D., Co-Author of EMBARK, and a core faculty and clinical supervisor, will deliver a presentation on Cybin’s psychedelic-assisted psychotherapy model titled “Introducing EMBARK: a trans-diagnostic, trans-drug model of psychedelic-assisted psychotherapy and therapist training” at 2:40 p.m. Central European Time on Friday, September 23, 2022.</w:t>
      </w:r>
    </w:p>
    <w:p>
      <w:pPr>
        <w:sectPr>
          <w:pgSz w:w="11900" w:h="16838" w:orient="portrait"/>
          <w:cols w:equalWidth="0" w:num="1">
            <w:col w:w="11240"/>
          </w:cols>
          <w:pgMar w:left="320" w:top="1440" w:right="339" w:bottom="1440" w:gutter="0" w:footer="0" w:header="0"/>
        </w:sectPr>
      </w:pPr>
    </w:p>
    <w:bookmarkStart w:id="4" w:name="page5"/>
    <w:bookmarkEnd w:id="4"/>
    <w:p>
      <w:pPr>
        <w:spacing w:after="0" w:line="22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Jefferies Innovation in Mental Health Summit, September 22, 2022 in New York City, NY</w:t>
      </w:r>
    </w:p>
    <w:p>
      <w:pPr>
        <w:spacing w:after="0" w:line="272" w:lineRule="exact"/>
        <w:rPr>
          <w:sz w:val="20"/>
          <w:szCs w:val="20"/>
          <w:color w:val="auto"/>
        </w:rPr>
      </w:pPr>
    </w:p>
    <w:p>
      <w:pPr>
        <w:ind w:left="660" w:hanging="328"/>
        <w:spacing w:after="0" w:line="313" w:lineRule="auto"/>
        <w:tabs>
          <w:tab w:leader="none" w:pos="648" w:val="left"/>
        </w:tabs>
        <w:numPr>
          <w:ilvl w:val="0"/>
          <w:numId w:val="3"/>
        </w:numPr>
        <w:rPr>
          <w:rFonts w:ascii="Times New Roman" w:cs="Times New Roman" w:eastAsia="Times New Roman" w:hAnsi="Times New Roman"/>
          <w:sz w:val="20"/>
          <w:szCs w:val="20"/>
          <w:color w:val="auto"/>
        </w:rPr>
      </w:pPr>
      <w:r>
        <w:rPr>
          <w:rFonts w:ascii="Arial" w:cs="Arial" w:eastAsia="Arial" w:hAnsi="Arial"/>
          <w:sz w:val="20"/>
          <w:szCs w:val="20"/>
          <w:color w:val="auto"/>
        </w:rPr>
        <w:t>Leah Gibson, Cybin’s Vice President of IR &amp; Strategic Communications, will host investor meetings. If you plan on attending the conference, please reach out to your Jefferies representative to request a meeting.</w:t>
      </w:r>
    </w:p>
    <w:p>
      <w:pPr>
        <w:spacing w:after="0" w:line="18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Cantor Neurology &amp; Psychiatry Conference, October 6-7, 2022, in San Francisco, CA</w:t>
      </w:r>
    </w:p>
    <w:p>
      <w:pPr>
        <w:spacing w:after="0" w:line="272" w:lineRule="exact"/>
        <w:rPr>
          <w:sz w:val="20"/>
          <w:szCs w:val="20"/>
          <w:color w:val="auto"/>
        </w:rPr>
      </w:pPr>
    </w:p>
    <w:p>
      <w:pPr>
        <w:ind w:left="660" w:hanging="328"/>
        <w:spacing w:after="0" w:line="313" w:lineRule="auto"/>
        <w:tabs>
          <w:tab w:leader="none" w:pos="648" w:val="left"/>
        </w:tabs>
        <w:numPr>
          <w:ilvl w:val="0"/>
          <w:numId w:val="4"/>
        </w:numPr>
        <w:rPr>
          <w:rFonts w:ascii="Times New Roman" w:cs="Times New Roman" w:eastAsia="Times New Roman" w:hAnsi="Times New Roman"/>
          <w:sz w:val="20"/>
          <w:szCs w:val="20"/>
          <w:color w:val="auto"/>
        </w:rPr>
      </w:pPr>
      <w:r>
        <w:rPr>
          <w:rFonts w:ascii="Arial" w:cs="Arial" w:eastAsia="Arial" w:hAnsi="Arial"/>
          <w:sz w:val="20"/>
          <w:szCs w:val="20"/>
          <w:color w:val="auto"/>
        </w:rPr>
        <w:t>Doug Drysdale, Cybin’s Chief Executive Officer, will participate in a panel discussion and host investor meetings. If you plan on attending the conference, please reach out to your Cantor representative to request a meeting.</w:t>
      </w:r>
    </w:p>
    <w:p>
      <w:pPr>
        <w:spacing w:after="0" w:line="16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Cybin</w:t>
      </w:r>
    </w:p>
    <w:p>
      <w:pPr>
        <w:spacing w:after="0" w:line="43" w:lineRule="exact"/>
        <w:rPr>
          <w:sz w:val="20"/>
          <w:szCs w:val="20"/>
          <w:color w:val="auto"/>
        </w:rPr>
      </w:pPr>
    </w:p>
    <w:p>
      <w:pPr>
        <w:jc w:val="both"/>
        <w:spacing w:after="0" w:line="279" w:lineRule="auto"/>
        <w:rPr>
          <w:sz w:val="20"/>
          <w:szCs w:val="20"/>
          <w:color w:val="auto"/>
        </w:rPr>
      </w:pPr>
      <w:r>
        <w:rPr>
          <w:rFonts w:ascii="Arial" w:cs="Arial" w:eastAsia="Arial" w:hAnsi="Arial"/>
          <w:sz w:val="20"/>
          <w:szCs w:val="20"/>
          <w:color w:val="auto"/>
        </w:rPr>
        <w:t>Cybin is a leading ethical biotechnology company, working with a network of world-class partners and internationally recognized scientists, on a mission to create safe and effective therapeutics for patients to address a multitude of mental health issues. Headquartered in Canada and founded in 2019, Cybin is operational in Canada, the United States, the United Kingdom, the Netherlands and Ireland. The Company is focused on progressing Psychedelics to Therapeutics by engineering proprietary drug discovery platforms, innovative drug delivery systems, novel formulation approaches and treatment regimens for mental health disorders.</w:t>
      </w:r>
    </w:p>
    <w:p>
      <w:pPr>
        <w:spacing w:after="0" w:line="21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Investor &amp; Media Contact:</w:t>
      </w:r>
    </w:p>
    <w:p>
      <w:pPr>
        <w:spacing w:after="0" w:line="43" w:lineRule="exact"/>
        <w:rPr>
          <w:sz w:val="20"/>
          <w:szCs w:val="20"/>
          <w:color w:val="auto"/>
        </w:rPr>
      </w:pPr>
    </w:p>
    <w:p>
      <w:pPr>
        <w:spacing w:after="0"/>
        <w:rPr>
          <w:sz w:val="20"/>
          <w:szCs w:val="20"/>
          <w:color w:val="auto"/>
        </w:rPr>
      </w:pPr>
      <w:r>
        <w:rPr>
          <w:rFonts w:ascii="Arial" w:cs="Arial" w:eastAsia="Arial" w:hAnsi="Arial"/>
          <w:sz w:val="20"/>
          <w:szCs w:val="20"/>
          <w:color w:val="auto"/>
        </w:rPr>
        <w:t>Leah Gibson</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Vice President, Investor Relations &amp; Strategic Communications</w:t>
      </w:r>
    </w:p>
    <w:p>
      <w:pPr>
        <w:spacing w:after="0" w:line="54" w:lineRule="exact"/>
        <w:rPr>
          <w:sz w:val="20"/>
          <w:szCs w:val="20"/>
          <w:color w:val="auto"/>
        </w:rPr>
      </w:pPr>
    </w:p>
    <w:p>
      <w:pPr>
        <w:spacing w:after="0"/>
        <w:rPr>
          <w:sz w:val="20"/>
          <w:szCs w:val="20"/>
          <w:color w:val="auto"/>
        </w:rPr>
      </w:pPr>
      <w:r>
        <w:rPr>
          <w:rFonts w:ascii="Arial" w:cs="Arial" w:eastAsia="Arial" w:hAnsi="Arial"/>
          <w:sz w:val="20"/>
          <w:szCs w:val="20"/>
          <w:color w:val="auto"/>
        </w:rPr>
        <w:t>Cybin Inc.</w:t>
      </w:r>
    </w:p>
    <w:p>
      <w:pPr>
        <w:spacing w:after="0" w:line="40" w:lineRule="exact"/>
        <w:rPr>
          <w:sz w:val="20"/>
          <w:szCs w:val="20"/>
          <w:color w:val="auto"/>
        </w:rPr>
      </w:pPr>
    </w:p>
    <w:p>
      <w:pPr>
        <w:spacing w:after="0"/>
        <w:rPr>
          <w:sz w:val="20"/>
          <w:szCs w:val="20"/>
          <w:color w:val="auto"/>
        </w:rPr>
      </w:pPr>
      <w:r>
        <w:rPr>
          <w:rFonts w:ascii="Arial" w:cs="Arial" w:eastAsia="Arial" w:hAnsi="Arial"/>
          <w:sz w:val="20"/>
          <w:szCs w:val="20"/>
          <w:u w:val="single" w:color="auto"/>
          <w:color w:val="0000FF"/>
        </w:rPr>
        <w:t>irteam@cybin.com</w:t>
      </w:r>
      <w:r>
        <w:rPr>
          <w:rFonts w:ascii="Arial" w:cs="Arial" w:eastAsia="Arial" w:hAnsi="Arial"/>
          <w:sz w:val="20"/>
          <w:szCs w:val="20"/>
          <w:color w:val="0000FF"/>
        </w:rPr>
        <w:t xml:space="preserve"> </w:t>
      </w:r>
      <w:r>
        <w:rPr>
          <w:rFonts w:ascii="Arial" w:cs="Arial" w:eastAsia="Arial" w:hAnsi="Arial"/>
          <w:sz w:val="20"/>
          <w:szCs w:val="20"/>
          <w:color w:val="000000"/>
        </w:rPr>
        <w:t>– or –</w:t>
      </w:r>
      <w:r>
        <w:rPr>
          <w:rFonts w:ascii="Arial" w:cs="Arial" w:eastAsia="Arial" w:hAnsi="Arial"/>
          <w:sz w:val="20"/>
          <w:szCs w:val="20"/>
          <w:color w:val="0000FF"/>
        </w:rPr>
        <w:t xml:space="preserve"> </w:t>
      </w:r>
      <w:r>
        <w:rPr>
          <w:rFonts w:ascii="Arial" w:cs="Arial" w:eastAsia="Arial" w:hAnsi="Arial"/>
          <w:sz w:val="20"/>
          <w:szCs w:val="20"/>
          <w:u w:val="single" w:color="auto"/>
          <w:color w:val="0000FF"/>
        </w:rPr>
        <w:t>media@cybin.com</w:t>
      </w:r>
    </w:p>
    <w:p>
      <w:pPr>
        <w:spacing w:after="0" w:line="297" w:lineRule="exact"/>
        <w:rPr>
          <w:sz w:val="20"/>
          <w:szCs w:val="20"/>
          <w:color w:val="auto"/>
        </w:rPr>
      </w:pPr>
    </w:p>
    <w:p>
      <w:pPr>
        <w:spacing w:after="0"/>
        <w:rPr>
          <w:sz w:val="20"/>
          <w:szCs w:val="20"/>
          <w:color w:val="auto"/>
        </w:rPr>
      </w:pPr>
      <w:r>
        <w:rPr>
          <w:rFonts w:ascii="Arial" w:cs="Arial" w:eastAsia="Arial" w:hAnsi="Arial"/>
          <w:sz w:val="20"/>
          <w:szCs w:val="20"/>
          <w:color w:val="auto"/>
        </w:rPr>
        <w:t>Gabriel Fahel</w:t>
      </w:r>
    </w:p>
    <w:p>
      <w:pPr>
        <w:spacing w:after="0" w:line="40" w:lineRule="exact"/>
        <w:rPr>
          <w:sz w:val="20"/>
          <w:szCs w:val="20"/>
          <w:color w:val="auto"/>
        </w:rPr>
      </w:pPr>
    </w:p>
    <w:p>
      <w:pPr>
        <w:spacing w:after="0"/>
        <w:rPr>
          <w:sz w:val="20"/>
          <w:szCs w:val="20"/>
          <w:color w:val="auto"/>
        </w:rPr>
      </w:pPr>
      <w:r>
        <w:rPr>
          <w:rFonts w:ascii="Arial" w:cs="Arial" w:eastAsia="Arial" w:hAnsi="Arial"/>
          <w:sz w:val="20"/>
          <w:szCs w:val="20"/>
          <w:color w:val="auto"/>
        </w:rPr>
        <w:t>Chief Legal Officer</w:t>
      </w:r>
    </w:p>
    <w:p>
      <w:pPr>
        <w:spacing w:after="0" w:line="40" w:lineRule="exact"/>
        <w:rPr>
          <w:sz w:val="20"/>
          <w:szCs w:val="20"/>
          <w:color w:val="auto"/>
        </w:rPr>
      </w:pPr>
    </w:p>
    <w:p>
      <w:pPr>
        <w:spacing w:after="0"/>
        <w:rPr>
          <w:sz w:val="20"/>
          <w:szCs w:val="20"/>
          <w:color w:val="auto"/>
        </w:rPr>
      </w:pPr>
      <w:r>
        <w:rPr>
          <w:rFonts w:ascii="Arial" w:cs="Arial" w:eastAsia="Arial" w:hAnsi="Arial"/>
          <w:sz w:val="20"/>
          <w:szCs w:val="20"/>
          <w:color w:val="auto"/>
        </w:rPr>
        <w:t>Cybin Inc.</w:t>
      </w:r>
    </w:p>
    <w:p>
      <w:pPr>
        <w:spacing w:after="0" w:line="54" w:lineRule="exact"/>
        <w:rPr>
          <w:sz w:val="20"/>
          <w:szCs w:val="20"/>
          <w:color w:val="auto"/>
        </w:rPr>
      </w:pPr>
    </w:p>
    <w:p>
      <w:pPr>
        <w:spacing w:after="0"/>
        <w:rPr>
          <w:sz w:val="20"/>
          <w:szCs w:val="20"/>
          <w:color w:val="auto"/>
        </w:rPr>
      </w:pPr>
      <w:r>
        <w:rPr>
          <w:rFonts w:ascii="Arial" w:cs="Arial" w:eastAsia="Arial" w:hAnsi="Arial"/>
          <w:sz w:val="20"/>
          <w:szCs w:val="20"/>
          <w:color w:val="auto"/>
        </w:rPr>
        <w:t>1-866-292-4601</w:t>
      </w: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2022-09-21T13:48:24Z</dcterms:created>
  <dcterms:modified xsi:type="dcterms:W3CDTF">2022-09-21T13:48:24Z</dcterms:modified>
</cp:coreProperties>
</file>