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1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1" w:lineRule="exact"/>
        <w:rPr>
          <w:sz w:val="24"/>
          <w:szCs w:val="24"/>
          <w:color w:val="auto"/>
        </w:rPr>
      </w:pPr>
    </w:p>
    <w:p>
      <w:pPr>
        <w:jc w:val="center"/>
        <w:ind w:right="-21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21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227330</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26" w:lineRule="exact"/>
        <w:rPr>
          <w:sz w:val="24"/>
          <w:szCs w:val="24"/>
          <w:color w:val="auto"/>
        </w:rPr>
      </w:pPr>
    </w:p>
    <w:p>
      <w:pPr>
        <w:jc w:val="center"/>
        <w:ind w:right="-219"/>
        <w:spacing w:after="0"/>
        <w:rPr>
          <w:sz w:val="20"/>
          <w:szCs w:val="20"/>
          <w:color w:val="auto"/>
        </w:rPr>
      </w:pPr>
      <w:r>
        <w:rPr>
          <w:rFonts w:ascii="Arial" w:cs="Arial" w:eastAsia="Arial" w:hAnsi="Arial"/>
          <w:sz w:val="32"/>
          <w:szCs w:val="32"/>
          <w:b w:val="1"/>
          <w:bCs w:val="1"/>
          <w:color w:val="auto"/>
        </w:rPr>
        <w:t>Form 6-K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247015</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71" w:lineRule="exact"/>
        <w:rPr>
          <w:sz w:val="24"/>
          <w:szCs w:val="24"/>
          <w:color w:val="auto"/>
        </w:rPr>
      </w:pPr>
    </w:p>
    <w:p>
      <w:pPr>
        <w:jc w:val="center"/>
        <w:ind w:right="-219"/>
        <w:spacing w:after="0"/>
        <w:rPr>
          <w:sz w:val="20"/>
          <w:szCs w:val="20"/>
          <w:color w:val="auto"/>
        </w:rPr>
      </w:pPr>
      <w:r>
        <w:rPr>
          <w:rFonts w:ascii="Arial" w:cs="Arial" w:eastAsia="Arial" w:hAnsi="Arial"/>
          <w:sz w:val="22"/>
          <w:szCs w:val="22"/>
          <w:b w:val="1"/>
          <w:bCs w:val="1"/>
          <w:color w:val="auto"/>
        </w:rPr>
        <w:t>REPORT OF FOREIGN PRIVATE ISSUER</w:t>
      </w:r>
    </w:p>
    <w:p>
      <w:pPr>
        <w:spacing w:after="0" w:line="4" w:lineRule="exact"/>
        <w:rPr>
          <w:sz w:val="24"/>
          <w:szCs w:val="24"/>
          <w:color w:val="auto"/>
        </w:rPr>
      </w:pPr>
    </w:p>
    <w:p>
      <w:pPr>
        <w:jc w:val="center"/>
        <w:ind w:right="-219"/>
        <w:spacing w:after="0"/>
        <w:rPr>
          <w:sz w:val="20"/>
          <w:szCs w:val="20"/>
          <w:color w:val="auto"/>
        </w:rPr>
      </w:pPr>
      <w:r>
        <w:rPr>
          <w:rFonts w:ascii="Arial" w:cs="Arial" w:eastAsia="Arial" w:hAnsi="Arial"/>
          <w:sz w:val="22"/>
          <w:szCs w:val="22"/>
          <w:b w:val="1"/>
          <w:bCs w:val="1"/>
          <w:color w:val="auto"/>
        </w:rPr>
        <w:t>PURSUANT TO RULE 13a-16 OR 15d-16</w:t>
      </w:r>
    </w:p>
    <w:p>
      <w:pPr>
        <w:jc w:val="center"/>
        <w:ind w:right="-219"/>
        <w:spacing w:after="0"/>
        <w:rPr>
          <w:sz w:val="20"/>
          <w:szCs w:val="20"/>
          <w:color w:val="auto"/>
        </w:rPr>
      </w:pPr>
      <w:r>
        <w:rPr>
          <w:rFonts w:ascii="Arial" w:cs="Arial" w:eastAsia="Arial" w:hAnsi="Arial"/>
          <w:sz w:val="22"/>
          <w:szCs w:val="22"/>
          <w:b w:val="1"/>
          <w:bCs w:val="1"/>
          <w:color w:val="auto"/>
        </w:rPr>
        <w:t>UNDER THE SECURITIES EXCHANGE ACT OF 1934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218440</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36" w:lineRule="exact"/>
        <w:rPr>
          <w:sz w:val="24"/>
          <w:szCs w:val="24"/>
          <w:color w:val="auto"/>
        </w:rPr>
      </w:pPr>
    </w:p>
    <w:p>
      <w:pPr>
        <w:jc w:val="center"/>
        <w:ind w:right="-219"/>
        <w:spacing w:after="0"/>
        <w:rPr>
          <w:sz w:val="20"/>
          <w:szCs w:val="20"/>
          <w:color w:val="auto"/>
        </w:rPr>
      </w:pPr>
      <w:r>
        <w:rPr>
          <w:rFonts w:ascii="Arial" w:cs="Arial" w:eastAsia="Arial" w:hAnsi="Arial"/>
          <w:sz w:val="18"/>
          <w:szCs w:val="18"/>
          <w:b w:val="1"/>
          <w:bCs w:val="1"/>
          <w:color w:val="auto"/>
        </w:rPr>
        <w:t>For the month of November, 2021.</w:t>
      </w:r>
    </w:p>
    <w:p>
      <w:pPr>
        <w:spacing w:after="0" w:line="225" w:lineRule="exact"/>
        <w:rPr>
          <w:sz w:val="24"/>
          <w:szCs w:val="24"/>
          <w:color w:val="auto"/>
        </w:rPr>
      </w:pPr>
    </w:p>
    <w:p>
      <w:pPr>
        <w:jc w:val="center"/>
        <w:ind w:right="-219"/>
        <w:spacing w:after="0"/>
        <w:rPr>
          <w:sz w:val="20"/>
          <w:szCs w:val="20"/>
          <w:color w:val="auto"/>
        </w:rPr>
      </w:pPr>
      <w:r>
        <w:rPr>
          <w:rFonts w:ascii="Arial" w:cs="Arial" w:eastAsia="Arial" w:hAnsi="Arial"/>
          <w:sz w:val="18"/>
          <w:szCs w:val="18"/>
          <w:b w:val="1"/>
          <w:bCs w:val="1"/>
          <w:color w:val="auto"/>
        </w:rPr>
        <w:t>Commission File Number: 001-40673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248920</wp:posOffset>
            </wp:positionV>
            <wp:extent cx="14744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58" w:lineRule="exact"/>
        <w:rPr>
          <w:sz w:val="24"/>
          <w:szCs w:val="24"/>
          <w:color w:val="auto"/>
        </w:rPr>
      </w:pPr>
    </w:p>
    <w:p>
      <w:pPr>
        <w:jc w:val="center"/>
        <w:ind w:right="-219"/>
        <w:spacing w:after="0"/>
        <w:rPr>
          <w:sz w:val="20"/>
          <w:szCs w:val="20"/>
          <w:color w:val="auto"/>
        </w:rPr>
      </w:pPr>
      <w:r>
        <w:rPr>
          <w:rFonts w:ascii="Arial" w:cs="Arial" w:eastAsia="Arial" w:hAnsi="Arial"/>
          <w:sz w:val="43"/>
          <w:szCs w:val="43"/>
          <w:b w:val="1"/>
          <w:bCs w:val="1"/>
          <w:color w:val="auto"/>
        </w:rPr>
        <w:t>Cybin Inc.</w:t>
      </w:r>
    </w:p>
    <w:p>
      <w:pPr>
        <w:spacing w:after="0" w:line="50" w:lineRule="exact"/>
        <w:rPr>
          <w:sz w:val="24"/>
          <w:szCs w:val="24"/>
          <w:color w:val="auto"/>
        </w:rPr>
      </w:pPr>
    </w:p>
    <w:p>
      <w:pPr>
        <w:jc w:val="center"/>
        <w:ind w:right="-219"/>
        <w:spacing w:after="0"/>
        <w:rPr>
          <w:sz w:val="20"/>
          <w:szCs w:val="20"/>
          <w:color w:val="auto"/>
        </w:rPr>
      </w:pPr>
      <w:r>
        <w:rPr>
          <w:rFonts w:ascii="Arial" w:cs="Arial" w:eastAsia="Arial" w:hAnsi="Arial"/>
          <w:sz w:val="18"/>
          <w:szCs w:val="18"/>
          <w:b w:val="1"/>
          <w:bCs w:val="1"/>
          <w:color w:val="auto"/>
        </w:rPr>
        <w:t>(Exact Name of Registrant as Specified in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227330</wp:posOffset>
            </wp:positionV>
            <wp:extent cx="147447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50" w:lineRule="exact"/>
        <w:rPr>
          <w:sz w:val="24"/>
          <w:szCs w:val="24"/>
          <w:color w:val="auto"/>
        </w:rPr>
      </w:pPr>
    </w:p>
    <w:p>
      <w:pPr>
        <w:jc w:val="center"/>
        <w:ind w:right="-219"/>
        <w:spacing w:after="0"/>
        <w:rPr>
          <w:sz w:val="20"/>
          <w:szCs w:val="20"/>
          <w:color w:val="auto"/>
        </w:rPr>
      </w:pPr>
      <w:r>
        <w:rPr>
          <w:rFonts w:ascii="Arial" w:cs="Arial" w:eastAsia="Arial" w:hAnsi="Arial"/>
          <w:sz w:val="18"/>
          <w:szCs w:val="18"/>
          <w:b w:val="1"/>
          <w:bCs w:val="1"/>
          <w:color w:val="auto"/>
        </w:rPr>
        <w:t>100 King Street West, Suite 5600, Toronto, Ontario, M5X 1C9</w:t>
      </w:r>
    </w:p>
    <w:p>
      <w:pPr>
        <w:spacing w:after="0" w:line="21" w:lineRule="exact"/>
        <w:rPr>
          <w:sz w:val="24"/>
          <w:szCs w:val="24"/>
          <w:color w:val="auto"/>
        </w:rPr>
      </w:pPr>
    </w:p>
    <w:p>
      <w:pPr>
        <w:jc w:val="center"/>
        <w:ind w:right="-219"/>
        <w:spacing w:after="0"/>
        <w:rPr>
          <w:sz w:val="20"/>
          <w:szCs w:val="20"/>
          <w:color w:val="auto"/>
        </w:rPr>
      </w:pPr>
      <w:r>
        <w:rPr>
          <w:rFonts w:ascii="Arial" w:cs="Arial" w:eastAsia="Arial" w:hAnsi="Arial"/>
          <w:sz w:val="14"/>
          <w:szCs w:val="14"/>
          <w:b w:val="1"/>
          <w:bCs w:val="1"/>
          <w:color w:val="auto"/>
        </w:rPr>
        <w:t>(Address of principal executive offices)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219075</wp:posOffset>
            </wp:positionV>
            <wp:extent cx="147447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340" w:lineRule="exact"/>
        <w:rPr>
          <w:sz w:val="24"/>
          <w:szCs w:val="24"/>
          <w:color w:val="auto"/>
        </w:rPr>
      </w:pPr>
    </w:p>
    <w:p>
      <w:pPr>
        <w:spacing w:after="0"/>
        <w:rPr>
          <w:sz w:val="20"/>
          <w:szCs w:val="20"/>
          <w:color w:val="auto"/>
        </w:rPr>
      </w:pPr>
      <w:r>
        <w:rPr>
          <w:rFonts w:ascii="Arial" w:cs="Arial" w:eastAsia="Arial" w:hAnsi="Arial"/>
          <w:sz w:val="18"/>
          <w:szCs w:val="18"/>
          <w:color w:val="auto"/>
        </w:rPr>
        <w:t>Indicate by check mark whether the registrant files or will file annual reports under cover Form 20-F or Form 40-F.</w:t>
      </w:r>
    </w:p>
    <w:p>
      <w:pPr>
        <w:spacing w:after="0" w:line="300" w:lineRule="exact"/>
        <w:rPr>
          <w:sz w:val="24"/>
          <w:szCs w:val="24"/>
          <w:color w:val="auto"/>
        </w:rPr>
      </w:pPr>
    </w:p>
    <w:p>
      <w:pPr>
        <w:ind w:left="4120"/>
        <w:spacing w:after="0" w:line="207" w:lineRule="exact"/>
        <w:tabs>
          <w:tab w:leader="none" w:pos="5840" w:val="left"/>
        </w:tabs>
        <w:rPr>
          <w:sz w:val="20"/>
          <w:szCs w:val="20"/>
          <w:color w:val="auto"/>
        </w:rPr>
      </w:pPr>
      <w:r>
        <w:rPr>
          <w:rFonts w:ascii="Arial" w:cs="Arial" w:eastAsia="Arial" w:hAnsi="Arial"/>
          <w:sz w:val="18"/>
          <w:szCs w:val="18"/>
          <w:color w:val="auto"/>
        </w:rPr>
        <w:t xml:space="preserve">Form 20-F </w:t>
      </w:r>
      <w:r>
        <w:rPr>
          <w:rFonts w:ascii="MS PGothic" w:cs="MS PGothic" w:eastAsia="MS PGothic" w:hAnsi="MS PGothic"/>
          <w:sz w:val="18"/>
          <w:szCs w:val="18"/>
          <w:color w:val="auto"/>
        </w:rPr>
        <w:t>☐</w:t>
      </w:r>
      <w:r>
        <w:rPr>
          <w:sz w:val="20"/>
          <w:szCs w:val="20"/>
          <w:color w:val="auto"/>
        </w:rPr>
        <w:tab/>
      </w:r>
      <w:r>
        <w:rPr>
          <w:rFonts w:ascii="Arial" w:cs="Arial" w:eastAsia="Arial" w:hAnsi="Arial"/>
          <w:sz w:val="17"/>
          <w:szCs w:val="17"/>
          <w:color w:val="auto"/>
        </w:rPr>
        <w:t xml:space="preserve">Form 40-F </w:t>
      </w:r>
      <w:r>
        <w:rPr>
          <w:rFonts w:ascii="MS PGothic" w:cs="MS PGothic" w:eastAsia="MS PGothic" w:hAnsi="MS PGothic"/>
          <w:sz w:val="17"/>
          <w:szCs w:val="17"/>
          <w:color w:val="auto"/>
        </w:rPr>
        <w:t>☒</w:t>
      </w:r>
    </w:p>
    <w:p>
      <w:pPr>
        <w:spacing w:after="0" w:line="225"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Indicate by check mark if the registrant is submitting the Form 6-K in paper as permitted by Regulation S-T Rule 101(b)(1): </w:t>
      </w:r>
      <w:r>
        <w:rPr>
          <w:rFonts w:ascii="MS PGothic" w:cs="MS PGothic" w:eastAsia="MS PGothic" w:hAnsi="MS PGothic"/>
          <w:sz w:val="18"/>
          <w:szCs w:val="18"/>
          <w:color w:val="auto"/>
        </w:rPr>
        <w:t>☐</w:t>
      </w:r>
    </w:p>
    <w:p>
      <w:pPr>
        <w:spacing w:after="0" w:line="254" w:lineRule="exact"/>
        <w:rPr>
          <w:sz w:val="24"/>
          <w:szCs w:val="24"/>
          <w:color w:val="auto"/>
        </w:rPr>
      </w:pPr>
    </w:p>
    <w:p>
      <w:pPr>
        <w:ind w:right="120"/>
        <w:spacing w:after="0" w:line="282" w:lineRule="auto"/>
        <w:rPr>
          <w:sz w:val="20"/>
          <w:szCs w:val="20"/>
          <w:color w:val="auto"/>
        </w:rPr>
      </w:pPr>
      <w:r>
        <w:rPr>
          <w:rFonts w:ascii="Arial" w:cs="Arial" w:eastAsia="Arial" w:hAnsi="Arial"/>
          <w:sz w:val="18"/>
          <w:szCs w:val="18"/>
          <w:b w:val="1"/>
          <w:bCs w:val="1"/>
          <w:color w:val="auto"/>
        </w:rPr>
        <w:t>Note</w:t>
      </w:r>
      <w:r>
        <w:rPr>
          <w:rFonts w:ascii="Arial" w:cs="Arial" w:eastAsia="Arial" w:hAnsi="Arial"/>
          <w:sz w:val="18"/>
          <w:szCs w:val="18"/>
          <w:color w:val="auto"/>
        </w:rPr>
        <w:t>: Regulation S-T Rule 101(b)(1) only permits the submission in paper of a Form 6-K if submitted solely to provide an attached annual report to</w:t>
      </w:r>
      <w:r>
        <w:rPr>
          <w:rFonts w:ascii="Arial" w:cs="Arial" w:eastAsia="Arial" w:hAnsi="Arial"/>
          <w:sz w:val="18"/>
          <w:szCs w:val="18"/>
          <w:b w:val="1"/>
          <w:bCs w:val="1"/>
          <w:color w:val="auto"/>
        </w:rPr>
        <w:t xml:space="preserve"> </w:t>
      </w:r>
      <w:r>
        <w:rPr>
          <w:rFonts w:ascii="Arial" w:cs="Arial" w:eastAsia="Arial" w:hAnsi="Arial"/>
          <w:sz w:val="18"/>
          <w:szCs w:val="18"/>
          <w:color w:val="auto"/>
        </w:rPr>
        <w:t>security holders.</w:t>
      </w:r>
    </w:p>
    <w:p>
      <w:pPr>
        <w:spacing w:after="0" w:line="133"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Indicate by check mark if the registrant is submitting the Form 6-K in paper as permitted by Regulation S-T Rule 101(b)(7): </w:t>
      </w:r>
      <w:r>
        <w:rPr>
          <w:rFonts w:ascii="MS PGothic" w:cs="MS PGothic" w:eastAsia="MS PGothic" w:hAnsi="MS PGothic"/>
          <w:sz w:val="18"/>
          <w:szCs w:val="18"/>
          <w:color w:val="auto"/>
        </w:rPr>
        <w:t>☐</w:t>
      </w:r>
    </w:p>
    <w:p>
      <w:pPr>
        <w:spacing w:after="0" w:line="254" w:lineRule="exact"/>
        <w:rPr>
          <w:sz w:val="24"/>
          <w:szCs w:val="24"/>
          <w:color w:val="auto"/>
        </w:rPr>
      </w:pPr>
    </w:p>
    <w:p>
      <w:pPr>
        <w:spacing w:after="0" w:line="298" w:lineRule="auto"/>
        <w:rPr>
          <w:sz w:val="20"/>
          <w:szCs w:val="20"/>
          <w:color w:val="auto"/>
        </w:rPr>
      </w:pPr>
      <w:r>
        <w:rPr>
          <w:rFonts w:ascii="Arial" w:cs="Arial" w:eastAsia="Arial" w:hAnsi="Arial"/>
          <w:sz w:val="16"/>
          <w:szCs w:val="16"/>
          <w:b w:val="1"/>
          <w:bCs w:val="1"/>
          <w:color w:val="auto"/>
        </w:rPr>
        <w:t>Note</w:t>
      </w:r>
      <w:r>
        <w:rPr>
          <w:rFonts w:ascii="Arial" w:cs="Arial" w:eastAsia="Arial" w:hAnsi="Arial"/>
          <w:sz w:val="16"/>
          <w:szCs w:val="16"/>
          <w:color w:val="auto"/>
        </w:rPr>
        <w:t>: Regulation S-T Rule 101(b)(7) only permits the submission in paper of a Form 6-K if submitted to furnish a report or other document that the</w:t>
      </w:r>
      <w:r>
        <w:rPr>
          <w:rFonts w:ascii="Arial" w:cs="Arial" w:eastAsia="Arial" w:hAnsi="Arial"/>
          <w:sz w:val="16"/>
          <w:szCs w:val="16"/>
          <w:b w:val="1"/>
          <w:bCs w:val="1"/>
          <w:color w:val="auto"/>
        </w:rPr>
        <w:t xml:space="preserve"> </w:t>
      </w:r>
      <w:r>
        <w:rPr>
          <w:rFonts w:ascii="Arial" w:cs="Arial" w:eastAsia="Arial" w:hAnsi="Arial"/>
          <w:sz w:val="16"/>
          <w:szCs w:val="16"/>
          <w:color w:val="auto"/>
        </w:rPr>
        <w:t>registrant foreign private issuer must furnish and make public under the laws of the jurisdiction in which the registrant is incorporated, domiciled or legally organized (the registrant’s “home country”), or under the rules of the home country exchange on which the registrant’s securities are traded, as long as the report or other document is not a press release, is not required to be and has not been distributed to the registrant’s security holders, and, if discussing a material event, has already been the subject of a Form 6-K submission or other Commission filing on EDGAR.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118110</wp:posOffset>
            </wp:positionV>
            <wp:extent cx="699516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160655</wp:posOffset>
            </wp:positionV>
            <wp:extent cx="699516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ectPr>
          <w:pgSz w:w="11900" w:h="16838" w:orient="portrait"/>
          <w:cols w:equalWidth="0" w:num="1">
            <w:col w:w="10780"/>
          </w:cols>
          <w:pgMar w:left="440" w:top="368" w:right="679" w:bottom="1440" w:gutter="0" w:footer="0" w:header="0"/>
        </w:sectPr>
      </w:pPr>
    </w:p>
    <w:bookmarkStart w:id="1" w:name="page2"/>
    <w:bookmarkEnd w:id="1"/>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SIGNATURE</w:t>
      </w:r>
    </w:p>
    <w:p>
      <w:pPr>
        <w:spacing w:after="0" w:line="229" w:lineRule="exact"/>
        <w:rPr>
          <w:sz w:val="20"/>
          <w:szCs w:val="20"/>
          <w:color w:val="auto"/>
        </w:rPr>
      </w:pPr>
    </w:p>
    <w:p>
      <w:pPr>
        <w:ind w:right="320" w:firstLine="440"/>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3640" w:type="dxa"/>
            <w:vAlign w:val="bottom"/>
          </w:tcPr>
          <w:p>
            <w:pPr>
              <w:spacing w:after="0"/>
              <w:rPr>
                <w:sz w:val="19"/>
                <w:szCs w:val="19"/>
                <w:color w:val="auto"/>
              </w:rPr>
            </w:pPr>
          </w:p>
        </w:tc>
        <w:tc>
          <w:tcPr>
            <w:tcW w:w="7380" w:type="dxa"/>
            <w:vAlign w:val="bottom"/>
            <w:gridSpan w:val="2"/>
          </w:tcPr>
          <w:p>
            <w:pPr>
              <w:ind w:left="1880"/>
              <w:spacing w:after="0"/>
              <w:rPr>
                <w:sz w:val="20"/>
                <w:szCs w:val="20"/>
                <w:color w:val="auto"/>
              </w:rPr>
            </w:pPr>
            <w:r>
              <w:rPr>
                <w:rFonts w:ascii="Arial" w:cs="Arial" w:eastAsia="Arial" w:hAnsi="Arial"/>
                <w:sz w:val="18"/>
                <w:szCs w:val="18"/>
                <w:b w:val="1"/>
                <w:bCs w:val="1"/>
                <w:color w:val="auto"/>
              </w:rPr>
              <w:t>CYBIN INC.</w:t>
            </w:r>
          </w:p>
        </w:tc>
      </w:tr>
      <w:tr>
        <w:trPr>
          <w:trHeight w:val="230"/>
        </w:trPr>
        <w:tc>
          <w:tcPr>
            <w:tcW w:w="3640" w:type="dxa"/>
            <w:vAlign w:val="bottom"/>
          </w:tcPr>
          <w:p>
            <w:pPr>
              <w:spacing w:after="0"/>
              <w:rPr>
                <w:sz w:val="20"/>
                <w:szCs w:val="20"/>
                <w:color w:val="auto"/>
              </w:rPr>
            </w:pPr>
          </w:p>
        </w:tc>
        <w:tc>
          <w:tcPr>
            <w:tcW w:w="7380" w:type="dxa"/>
            <w:vAlign w:val="bottom"/>
            <w:gridSpan w:val="2"/>
          </w:tcPr>
          <w:p>
            <w:pPr>
              <w:ind w:left="1880"/>
              <w:spacing w:after="0"/>
              <w:rPr>
                <w:sz w:val="20"/>
                <w:szCs w:val="20"/>
                <w:color w:val="auto"/>
              </w:rPr>
            </w:pPr>
            <w:r>
              <w:rPr>
                <w:rFonts w:ascii="Arial" w:cs="Arial" w:eastAsia="Arial" w:hAnsi="Arial"/>
                <w:sz w:val="18"/>
                <w:szCs w:val="18"/>
                <w:color w:val="auto"/>
              </w:rPr>
              <w:t>(Registrant)</w:t>
            </w:r>
          </w:p>
        </w:tc>
      </w:tr>
      <w:tr>
        <w:trPr>
          <w:trHeight w:val="432"/>
        </w:trPr>
        <w:tc>
          <w:tcPr>
            <w:tcW w:w="3640" w:type="dxa"/>
            <w:vAlign w:val="bottom"/>
          </w:tcPr>
          <w:p>
            <w:pPr>
              <w:spacing w:after="0"/>
              <w:rPr>
                <w:sz w:val="20"/>
                <w:szCs w:val="20"/>
                <w:color w:val="auto"/>
              </w:rPr>
            </w:pPr>
            <w:r>
              <w:rPr>
                <w:rFonts w:ascii="Arial" w:cs="Arial" w:eastAsia="Arial" w:hAnsi="Arial"/>
                <w:sz w:val="18"/>
                <w:szCs w:val="18"/>
                <w:color w:val="auto"/>
              </w:rPr>
              <w:t>Date: November 9, 2021</w:t>
            </w:r>
          </w:p>
        </w:tc>
        <w:tc>
          <w:tcPr>
            <w:tcW w:w="2520" w:type="dxa"/>
            <w:vAlign w:val="bottom"/>
          </w:tcPr>
          <w:p>
            <w:pPr>
              <w:ind w:left="1880"/>
              <w:spacing w:after="0"/>
              <w:rPr>
                <w:sz w:val="20"/>
                <w:szCs w:val="20"/>
                <w:color w:val="auto"/>
              </w:rPr>
            </w:pPr>
            <w:r>
              <w:rPr>
                <w:rFonts w:ascii="Arial" w:cs="Arial" w:eastAsia="Arial" w:hAnsi="Arial"/>
                <w:sz w:val="18"/>
                <w:szCs w:val="18"/>
                <w:color w:val="auto"/>
              </w:rPr>
              <w:t>By:</w:t>
            </w:r>
          </w:p>
        </w:tc>
        <w:tc>
          <w:tcPr>
            <w:tcW w:w="4860" w:type="dxa"/>
            <w:vAlign w:val="bottom"/>
            <w:tcBorders>
              <w:bottom w:val="single" w:sz="8" w:color="auto"/>
            </w:tcBorders>
          </w:tcPr>
          <w:p>
            <w:pPr>
              <w:spacing w:after="0"/>
              <w:rPr>
                <w:sz w:val="20"/>
                <w:szCs w:val="20"/>
                <w:color w:val="auto"/>
              </w:rPr>
            </w:pPr>
            <w:r>
              <w:rPr>
                <w:rFonts w:ascii="Arial" w:cs="Arial" w:eastAsia="Arial" w:hAnsi="Arial"/>
                <w:sz w:val="18"/>
                <w:szCs w:val="18"/>
                <w:i w:val="1"/>
                <w:iCs w:val="1"/>
                <w:color w:val="auto"/>
              </w:rPr>
              <w:t>/s/ Doug Drysdale</w:t>
            </w:r>
          </w:p>
        </w:tc>
      </w:tr>
      <w:tr>
        <w:trPr>
          <w:trHeight w:val="209"/>
        </w:trPr>
        <w:tc>
          <w:tcPr>
            <w:tcW w:w="3640" w:type="dxa"/>
            <w:vAlign w:val="bottom"/>
          </w:tcPr>
          <w:p>
            <w:pPr>
              <w:spacing w:after="0"/>
              <w:rPr>
                <w:sz w:val="18"/>
                <w:szCs w:val="18"/>
                <w:color w:val="auto"/>
              </w:rPr>
            </w:pPr>
          </w:p>
        </w:tc>
        <w:tc>
          <w:tcPr>
            <w:tcW w:w="2520" w:type="dxa"/>
            <w:vAlign w:val="bottom"/>
          </w:tcPr>
          <w:p>
            <w:pPr>
              <w:ind w:left="1880"/>
              <w:spacing w:after="0"/>
              <w:rPr>
                <w:sz w:val="20"/>
                <w:szCs w:val="20"/>
                <w:color w:val="auto"/>
              </w:rPr>
            </w:pPr>
            <w:r>
              <w:rPr>
                <w:rFonts w:ascii="Arial" w:cs="Arial" w:eastAsia="Arial" w:hAnsi="Arial"/>
                <w:sz w:val="18"/>
                <w:szCs w:val="18"/>
                <w:color w:val="auto"/>
              </w:rPr>
              <w:t>Name:</w:t>
            </w:r>
          </w:p>
        </w:tc>
        <w:tc>
          <w:tcPr>
            <w:tcW w:w="4860" w:type="dxa"/>
            <w:vAlign w:val="bottom"/>
          </w:tcPr>
          <w:p>
            <w:pPr>
              <w:spacing w:after="0"/>
              <w:rPr>
                <w:sz w:val="20"/>
                <w:szCs w:val="20"/>
                <w:color w:val="auto"/>
              </w:rPr>
            </w:pPr>
            <w:r>
              <w:rPr>
                <w:rFonts w:ascii="Arial" w:cs="Arial" w:eastAsia="Arial" w:hAnsi="Arial"/>
                <w:sz w:val="18"/>
                <w:szCs w:val="18"/>
                <w:color w:val="auto"/>
              </w:rPr>
              <w:t>Doug Drysdale</w:t>
            </w:r>
          </w:p>
        </w:tc>
      </w:tr>
      <w:tr>
        <w:trPr>
          <w:trHeight w:val="230"/>
        </w:trPr>
        <w:tc>
          <w:tcPr>
            <w:tcW w:w="3640" w:type="dxa"/>
            <w:vAlign w:val="bottom"/>
          </w:tcPr>
          <w:p>
            <w:pPr>
              <w:spacing w:after="0"/>
              <w:rPr>
                <w:sz w:val="20"/>
                <w:szCs w:val="20"/>
                <w:color w:val="auto"/>
              </w:rPr>
            </w:pPr>
          </w:p>
        </w:tc>
        <w:tc>
          <w:tcPr>
            <w:tcW w:w="2520" w:type="dxa"/>
            <w:vAlign w:val="bottom"/>
          </w:tcPr>
          <w:p>
            <w:pPr>
              <w:ind w:left="1880"/>
              <w:spacing w:after="0"/>
              <w:rPr>
                <w:sz w:val="20"/>
                <w:szCs w:val="20"/>
                <w:color w:val="auto"/>
              </w:rPr>
            </w:pPr>
            <w:r>
              <w:rPr>
                <w:rFonts w:ascii="Arial" w:cs="Arial" w:eastAsia="Arial" w:hAnsi="Arial"/>
                <w:sz w:val="18"/>
                <w:szCs w:val="18"/>
                <w:color w:val="auto"/>
              </w:rPr>
              <w:t>Title:</w:t>
            </w:r>
          </w:p>
        </w:tc>
        <w:tc>
          <w:tcPr>
            <w:tcW w:w="4860" w:type="dxa"/>
            <w:vAlign w:val="bottom"/>
          </w:tcPr>
          <w:p>
            <w:pPr>
              <w:spacing w:after="0"/>
              <w:rPr>
                <w:sz w:val="20"/>
                <w:szCs w:val="20"/>
                <w:color w:val="auto"/>
              </w:rPr>
            </w:pPr>
            <w:r>
              <w:rPr>
                <w:rFonts w:ascii="Arial" w:cs="Arial" w:eastAsia="Arial" w:hAnsi="Arial"/>
                <w:sz w:val="18"/>
                <w:szCs w:val="18"/>
                <w:color w:val="auto"/>
              </w:rPr>
              <w:t>Chief Executive Officer</w:t>
            </w:r>
          </w:p>
        </w:tc>
      </w:tr>
    </w:tbl>
    <w:p>
      <w:pPr>
        <w:sectPr>
          <w:pgSz w:w="11900" w:h="16838" w:orient="portrait"/>
          <w:cols w:equalWidth="0" w:num="1">
            <w:col w:w="11020"/>
          </w:cols>
          <w:pgMar w:left="440" w:top="270" w:right="439" w:bottom="1440" w:gutter="0" w:footer="0" w:header="0"/>
        </w:sectPr>
      </w:pPr>
    </w:p>
    <w:bookmarkStart w:id="2" w:name="page3"/>
    <w:bookmarkEnd w:id="2"/>
    <w:p>
      <w:pPr>
        <w:jc w:val="right"/>
        <w:ind w:right="3819"/>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EXHIBIT INDEX</w:t>
      </w:r>
    </w:p>
    <w:p>
      <w:pPr>
        <w:spacing w:after="0" w:line="256" w:lineRule="exact"/>
        <w:rPr>
          <w:sz w:val="20"/>
          <w:szCs w:val="20"/>
          <w:color w:val="auto"/>
        </w:rPr>
      </w:pPr>
    </w:p>
    <w:p>
      <w:pPr>
        <w:spacing w:after="0"/>
        <w:tabs>
          <w:tab w:leader="none" w:pos="640" w:val="left"/>
        </w:tabs>
        <w:rPr>
          <w:rFonts w:ascii="Arial" w:cs="Arial" w:eastAsia="Arial" w:hAnsi="Arial"/>
          <w:sz w:val="16"/>
          <w:szCs w:val="16"/>
          <w:u w:val="single" w:color="auto"/>
          <w:color w:val="0000EE"/>
        </w:rPr>
      </w:pPr>
      <w:r>
        <w:rPr>
          <w:rFonts w:ascii="Arial" w:cs="Arial" w:eastAsia="Arial" w:hAnsi="Arial"/>
          <w:sz w:val="18"/>
          <w:szCs w:val="18"/>
          <w:color w:val="auto"/>
        </w:rPr>
        <w:t>99.1</w:t>
      </w:r>
      <w:r>
        <w:rPr>
          <w:sz w:val="20"/>
          <w:szCs w:val="20"/>
          <w:color w:val="auto"/>
        </w:rPr>
        <w:tab/>
      </w:r>
      <w:hyperlink w:anchor="page4">
        <w:r>
          <w:rPr>
            <w:rFonts w:ascii="Arial" w:cs="Arial" w:eastAsia="Arial" w:hAnsi="Arial"/>
            <w:sz w:val="16"/>
            <w:szCs w:val="16"/>
            <w:u w:val="single" w:color="auto"/>
            <w:color w:val="0000EE"/>
          </w:rPr>
          <w:t>News Release dated November 9, 2021</w:t>
        </w:r>
      </w:hyperlink>
    </w:p>
    <w:p>
      <w:pPr>
        <w:sectPr>
          <w:pgSz w:w="11900" w:h="16838" w:orient="portrait"/>
          <w:cols w:equalWidth="0" w:num="1">
            <w:col w:w="10019"/>
          </w:cols>
          <w:pgMar w:left="440" w:top="270" w:right="1440" w:bottom="1440" w:gutter="0" w:footer="0" w:header="0"/>
        </w:sectPr>
      </w:pPr>
    </w:p>
    <w:bookmarkStart w:id="3" w:name="page4"/>
    <w:bookmarkEnd w:id="3"/>
    <w:p>
      <w:pPr>
        <w:jc w:val="right"/>
        <w:spacing w:after="0"/>
        <w:rPr>
          <w:sz w:val="20"/>
          <w:szCs w:val="20"/>
          <w:color w:val="auto"/>
        </w:rPr>
      </w:pPr>
      <w:r>
        <w:rPr>
          <w:rFonts w:ascii="Arial" w:cs="Arial" w:eastAsia="Arial" w:hAnsi="Arial"/>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2251710</wp:posOffset>
            </wp:positionH>
            <wp:positionV relativeFrom="paragraph">
              <wp:posOffset>171450</wp:posOffset>
            </wp:positionV>
            <wp:extent cx="2494280" cy="180022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2494280" cy="18002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Cybin to Announce Second Quarter FY2021 Financial Results and Business Update on November 15, 2021</w:t>
      </w:r>
    </w:p>
    <w:p>
      <w:pPr>
        <w:spacing w:after="0" w:line="225" w:lineRule="exact"/>
        <w:rPr>
          <w:sz w:val="20"/>
          <w:szCs w:val="20"/>
          <w:color w:val="auto"/>
        </w:rPr>
      </w:pPr>
    </w:p>
    <w:p>
      <w:pPr>
        <w:ind w:right="20"/>
        <w:spacing w:after="0" w:line="266" w:lineRule="auto"/>
        <w:rPr>
          <w:sz w:val="20"/>
          <w:szCs w:val="20"/>
          <w:color w:val="auto"/>
        </w:rPr>
      </w:pPr>
      <w:r>
        <w:rPr>
          <w:rFonts w:ascii="Arial" w:cs="Arial" w:eastAsia="Arial" w:hAnsi="Arial"/>
          <w:sz w:val="18"/>
          <w:szCs w:val="18"/>
          <w:b w:val="1"/>
          <w:bCs w:val="1"/>
          <w:color w:val="auto"/>
        </w:rPr>
        <w:t xml:space="preserve">TORONTO, CANADA </w:t>
      </w:r>
      <w:r>
        <w:rPr>
          <w:rFonts w:ascii="Arial" w:cs="Arial" w:eastAsia="Arial" w:hAnsi="Arial"/>
          <w:sz w:val="18"/>
          <w:szCs w:val="18"/>
          <w:color w:val="auto"/>
        </w:rPr>
        <w:t>– November 9, 2021 –</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Cybin Inc.</w:t>
      </w:r>
      <w:r>
        <w:rPr>
          <w:rFonts w:ascii="Arial" w:cs="Arial" w:eastAsia="Arial" w:hAnsi="Arial"/>
          <w:sz w:val="18"/>
          <w:szCs w:val="18"/>
          <w:b w:val="1"/>
          <w:bCs w:val="1"/>
          <w:color w:val="auto"/>
        </w:rPr>
        <w:t xml:space="preserve"> </w:t>
      </w:r>
      <w:r>
        <w:rPr>
          <w:rFonts w:ascii="Arial" w:cs="Arial" w:eastAsia="Arial" w:hAnsi="Arial"/>
          <w:sz w:val="18"/>
          <w:szCs w:val="18"/>
          <w:color w:val="auto"/>
        </w:rPr>
        <w:t>(</w:t>
      </w:r>
      <w:r>
        <w:rPr>
          <w:rFonts w:ascii="Arial" w:cs="Arial" w:eastAsia="Arial" w:hAnsi="Arial"/>
          <w:sz w:val="18"/>
          <w:szCs w:val="18"/>
          <w:u w:val="single" w:color="auto"/>
          <w:color w:val="auto"/>
        </w:rPr>
        <w:t>NEO:CYBN</w:t>
      </w:r>
      <w:r>
        <w:rPr>
          <w:rFonts w:ascii="Arial" w:cs="Arial" w:eastAsia="Arial" w:hAnsi="Arial"/>
          <w:sz w:val="18"/>
          <w:szCs w:val="18"/>
          <w:color w:val="auto"/>
        </w:rPr>
        <w:t>) (</w:t>
      </w:r>
      <w:r>
        <w:rPr>
          <w:rFonts w:ascii="Arial" w:cs="Arial" w:eastAsia="Arial" w:hAnsi="Arial"/>
          <w:sz w:val="18"/>
          <w:szCs w:val="18"/>
          <w:u w:val="single" w:color="auto"/>
          <w:color w:val="auto"/>
        </w:rPr>
        <w:t>NYSE American:CYBN</w:t>
      </w:r>
      <w:r>
        <w:rPr>
          <w:rFonts w:ascii="Arial" w:cs="Arial" w:eastAsia="Arial" w:hAnsi="Arial"/>
          <w:sz w:val="18"/>
          <w:szCs w:val="18"/>
          <w:color w:val="auto"/>
        </w:rPr>
        <w:t>) (“</w:t>
      </w:r>
      <w:r>
        <w:rPr>
          <w:rFonts w:ascii="Arial" w:cs="Arial" w:eastAsia="Arial" w:hAnsi="Arial"/>
          <w:sz w:val="18"/>
          <w:szCs w:val="18"/>
          <w:b w:val="1"/>
          <w:bCs w:val="1"/>
          <w:color w:val="auto"/>
        </w:rPr>
        <w:t>Cybin</w:t>
      </w:r>
      <w:r>
        <w:rPr>
          <w:rFonts w:ascii="Arial" w:cs="Arial" w:eastAsia="Arial" w:hAnsi="Arial"/>
          <w:sz w:val="18"/>
          <w:szCs w:val="18"/>
          <w:color w:val="auto"/>
        </w:rPr>
        <w:t>” or the “</w:t>
      </w:r>
      <w:r>
        <w:rPr>
          <w:rFonts w:ascii="Arial" w:cs="Arial" w:eastAsia="Arial" w:hAnsi="Arial"/>
          <w:sz w:val="18"/>
          <w:szCs w:val="18"/>
          <w:b w:val="1"/>
          <w:bCs w:val="1"/>
          <w:color w:val="auto"/>
        </w:rPr>
        <w:t>Company</w:t>
      </w:r>
      <w:r>
        <w:rPr>
          <w:rFonts w:ascii="Arial" w:cs="Arial" w:eastAsia="Arial" w:hAnsi="Arial"/>
          <w:sz w:val="18"/>
          <w:szCs w:val="18"/>
          <w:color w:val="auto"/>
        </w:rPr>
        <w:t>”), a</w:t>
      </w:r>
      <w:r>
        <w:rPr>
          <w:rFonts w:ascii="Arial" w:cs="Arial" w:eastAsia="Arial" w:hAnsi="Arial"/>
          <w:sz w:val="18"/>
          <w:szCs w:val="18"/>
          <w:b w:val="1"/>
          <w:bCs w:val="1"/>
          <w:color w:val="auto"/>
        </w:rPr>
        <w:t xml:space="preserve"> </w:t>
      </w:r>
      <w:r>
        <w:rPr>
          <w:rFonts w:ascii="Arial" w:cs="Arial" w:eastAsia="Arial" w:hAnsi="Arial"/>
          <w:sz w:val="18"/>
          <w:szCs w:val="18"/>
          <w:color w:val="auto"/>
        </w:rPr>
        <w:t>biopharmaceutical company focused on progressing “Psychedelics to Therapeutics</w:t>
      </w:r>
      <w:r>
        <w:rPr>
          <w:rFonts w:ascii="Arial" w:cs="Arial" w:eastAsia="Arial" w:hAnsi="Arial"/>
          <w:sz w:val="15"/>
          <w:szCs w:val="15"/>
          <w:color w:val="auto"/>
        </w:rPr>
        <w:t>TM</w:t>
      </w:r>
      <w:r>
        <w:rPr>
          <w:rFonts w:ascii="Arial" w:cs="Arial" w:eastAsia="Arial" w:hAnsi="Arial"/>
          <w:sz w:val="18"/>
          <w:szCs w:val="18"/>
          <w:color w:val="auto"/>
        </w:rPr>
        <w:t>” today announced that it will report financial results for its second quarter of fiscal 2021 ended September 30, 2021 on Monday, November 15, 2021.</w:t>
      </w:r>
    </w:p>
    <w:p>
      <w:pPr>
        <w:spacing w:after="0" w:line="180" w:lineRule="exact"/>
        <w:rPr>
          <w:sz w:val="20"/>
          <w:szCs w:val="20"/>
          <w:color w:val="auto"/>
        </w:rPr>
      </w:pPr>
    </w:p>
    <w:p>
      <w:pPr>
        <w:ind w:right="300"/>
        <w:spacing w:after="0" w:line="263" w:lineRule="auto"/>
        <w:rPr>
          <w:sz w:val="20"/>
          <w:szCs w:val="20"/>
          <w:color w:val="auto"/>
        </w:rPr>
      </w:pPr>
      <w:r>
        <w:rPr>
          <w:rFonts w:ascii="Arial" w:cs="Arial" w:eastAsia="Arial" w:hAnsi="Arial"/>
          <w:sz w:val="18"/>
          <w:szCs w:val="18"/>
          <w:color w:val="auto"/>
        </w:rPr>
        <w:t>A conference call will be held on the same day at 4:30 p.m. (EST) to discuss the results and recent business updates. The call will be hosted by Doug Drysdale, Cybin’s Chief Executive Officer. Mr. Drysdale and other members of the management team will be available to answer questions from participants following the prepared remarks.</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CONFERENCE CALL DETAILS:</w:t>
      </w:r>
    </w:p>
    <w:p>
      <w:pPr>
        <w:spacing w:after="0" w:line="25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540" w:type="dxa"/>
            <w:vAlign w:val="bottom"/>
          </w:tcPr>
          <w:p>
            <w:pPr>
              <w:spacing w:after="0"/>
              <w:rPr>
                <w:sz w:val="20"/>
                <w:szCs w:val="20"/>
                <w:color w:val="auto"/>
              </w:rPr>
            </w:pPr>
            <w:r>
              <w:rPr>
                <w:rFonts w:ascii="Arial" w:cs="Arial" w:eastAsia="Arial" w:hAnsi="Arial"/>
                <w:sz w:val="18"/>
                <w:szCs w:val="18"/>
                <w:color w:val="auto"/>
              </w:rPr>
              <w:t>DATE:</w:t>
            </w:r>
          </w:p>
        </w:tc>
        <w:tc>
          <w:tcPr>
            <w:tcW w:w="5000" w:type="dxa"/>
            <w:vAlign w:val="bottom"/>
            <w:gridSpan w:val="2"/>
          </w:tcPr>
          <w:p>
            <w:pPr>
              <w:spacing w:after="0"/>
              <w:rPr>
                <w:sz w:val="20"/>
                <w:szCs w:val="20"/>
                <w:color w:val="auto"/>
              </w:rPr>
            </w:pPr>
            <w:r>
              <w:rPr>
                <w:rFonts w:ascii="Arial" w:cs="Arial" w:eastAsia="Arial" w:hAnsi="Arial"/>
                <w:sz w:val="18"/>
                <w:szCs w:val="18"/>
                <w:color w:val="auto"/>
              </w:rPr>
              <w:t>Monday, November 15, 2021</w:t>
            </w:r>
          </w:p>
        </w:tc>
      </w:tr>
      <w:tr>
        <w:trPr>
          <w:trHeight w:val="324"/>
        </w:trPr>
        <w:tc>
          <w:tcPr>
            <w:tcW w:w="1540" w:type="dxa"/>
            <w:vAlign w:val="bottom"/>
          </w:tcPr>
          <w:p>
            <w:pPr>
              <w:spacing w:after="0"/>
              <w:rPr>
                <w:sz w:val="20"/>
                <w:szCs w:val="20"/>
                <w:color w:val="auto"/>
              </w:rPr>
            </w:pPr>
            <w:r>
              <w:rPr>
                <w:rFonts w:ascii="Arial" w:cs="Arial" w:eastAsia="Arial" w:hAnsi="Arial"/>
                <w:sz w:val="18"/>
                <w:szCs w:val="18"/>
                <w:color w:val="auto"/>
              </w:rPr>
              <w:t>TIME:</w:t>
            </w:r>
          </w:p>
        </w:tc>
        <w:tc>
          <w:tcPr>
            <w:tcW w:w="5000" w:type="dxa"/>
            <w:vAlign w:val="bottom"/>
            <w:gridSpan w:val="2"/>
          </w:tcPr>
          <w:p>
            <w:pPr>
              <w:spacing w:after="0"/>
              <w:rPr>
                <w:sz w:val="20"/>
                <w:szCs w:val="20"/>
                <w:color w:val="auto"/>
              </w:rPr>
            </w:pPr>
            <w:r>
              <w:rPr>
                <w:rFonts w:ascii="Arial" w:cs="Arial" w:eastAsia="Arial" w:hAnsi="Arial"/>
                <w:sz w:val="18"/>
                <w:szCs w:val="18"/>
                <w:color w:val="auto"/>
              </w:rPr>
              <w:t>4:30 p.m. (EST)</w:t>
            </w:r>
          </w:p>
        </w:tc>
      </w:tr>
      <w:tr>
        <w:trPr>
          <w:trHeight w:val="324"/>
        </w:trPr>
        <w:tc>
          <w:tcPr>
            <w:tcW w:w="1540" w:type="dxa"/>
            <w:vAlign w:val="bottom"/>
          </w:tcPr>
          <w:p>
            <w:pPr>
              <w:spacing w:after="0"/>
              <w:rPr>
                <w:sz w:val="20"/>
                <w:szCs w:val="20"/>
                <w:color w:val="auto"/>
              </w:rPr>
            </w:pPr>
            <w:r>
              <w:rPr>
                <w:rFonts w:ascii="Arial" w:cs="Arial" w:eastAsia="Arial" w:hAnsi="Arial"/>
                <w:sz w:val="18"/>
                <w:szCs w:val="18"/>
                <w:color w:val="auto"/>
              </w:rPr>
              <w:t>DIAL-IN</w:t>
            </w:r>
          </w:p>
        </w:tc>
        <w:tc>
          <w:tcPr>
            <w:tcW w:w="5000" w:type="dxa"/>
            <w:vAlign w:val="bottom"/>
            <w:gridSpan w:val="2"/>
          </w:tcPr>
          <w:p>
            <w:pPr>
              <w:spacing w:after="0"/>
              <w:rPr>
                <w:sz w:val="20"/>
                <w:szCs w:val="20"/>
                <w:color w:val="auto"/>
              </w:rPr>
            </w:pPr>
            <w:r>
              <w:rPr>
                <w:rFonts w:ascii="Arial" w:cs="Arial" w:eastAsia="Arial" w:hAnsi="Arial"/>
                <w:sz w:val="18"/>
                <w:szCs w:val="18"/>
                <w:color w:val="auto"/>
                <w:w w:val="91"/>
              </w:rPr>
              <w:t>1-844-200-6205 (U.S. toll free) or 1-833-950-0062 (Canada toll free)</w:t>
            </w:r>
          </w:p>
        </w:tc>
      </w:tr>
      <w:tr>
        <w:trPr>
          <w:trHeight w:val="324"/>
        </w:trPr>
        <w:tc>
          <w:tcPr>
            <w:tcW w:w="1540" w:type="dxa"/>
            <w:vAlign w:val="bottom"/>
          </w:tcPr>
          <w:p>
            <w:pPr>
              <w:spacing w:after="0"/>
              <w:rPr>
                <w:sz w:val="20"/>
                <w:szCs w:val="20"/>
                <w:color w:val="auto"/>
              </w:rPr>
            </w:pPr>
            <w:r>
              <w:rPr>
                <w:rFonts w:ascii="Arial" w:cs="Arial" w:eastAsia="Arial" w:hAnsi="Arial"/>
                <w:sz w:val="18"/>
                <w:szCs w:val="18"/>
                <w:color w:val="auto"/>
              </w:rPr>
              <w:t>CODE</w:t>
            </w:r>
          </w:p>
        </w:tc>
        <w:tc>
          <w:tcPr>
            <w:tcW w:w="3280" w:type="dxa"/>
            <w:vAlign w:val="bottom"/>
          </w:tcPr>
          <w:p>
            <w:pPr>
              <w:spacing w:after="0"/>
              <w:rPr>
                <w:sz w:val="20"/>
                <w:szCs w:val="20"/>
                <w:color w:val="auto"/>
              </w:rPr>
            </w:pPr>
            <w:r>
              <w:rPr>
                <w:rFonts w:ascii="Arial" w:cs="Arial" w:eastAsia="Arial" w:hAnsi="Arial"/>
                <w:sz w:val="18"/>
                <w:szCs w:val="18"/>
                <w:color w:val="auto"/>
              </w:rPr>
              <w:t>727873</w:t>
            </w:r>
          </w:p>
        </w:tc>
        <w:tc>
          <w:tcPr>
            <w:tcW w:w="1720" w:type="dxa"/>
            <w:vAlign w:val="bottom"/>
          </w:tcPr>
          <w:p>
            <w:pPr>
              <w:spacing w:after="0"/>
              <w:rPr>
                <w:sz w:val="24"/>
                <w:szCs w:val="24"/>
                <w:color w:val="auto"/>
              </w:rPr>
            </w:pPr>
          </w:p>
        </w:tc>
      </w:tr>
      <w:tr>
        <w:trPr>
          <w:trHeight w:val="283"/>
        </w:trPr>
        <w:tc>
          <w:tcPr>
            <w:tcW w:w="1540" w:type="dxa"/>
            <w:vAlign w:val="bottom"/>
          </w:tcPr>
          <w:p>
            <w:pPr>
              <w:spacing w:after="0"/>
              <w:rPr>
                <w:sz w:val="20"/>
                <w:szCs w:val="20"/>
                <w:color w:val="auto"/>
              </w:rPr>
            </w:pPr>
            <w:r>
              <w:rPr>
                <w:rFonts w:ascii="Arial" w:cs="Arial" w:eastAsia="Arial" w:hAnsi="Arial"/>
                <w:sz w:val="18"/>
                <w:szCs w:val="18"/>
                <w:color w:val="auto"/>
              </w:rPr>
              <w:t>WEBCAST</w:t>
            </w:r>
          </w:p>
        </w:tc>
        <w:tc>
          <w:tcPr>
            <w:tcW w:w="328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89"/>
              </w:rPr>
              <w:t>https://events.q4inc.com/attendee/747515026</w:t>
            </w:r>
          </w:p>
        </w:tc>
        <w:tc>
          <w:tcPr>
            <w:tcW w:w="1720" w:type="dxa"/>
            <w:vAlign w:val="bottom"/>
          </w:tcPr>
          <w:p>
            <w:pPr>
              <w:spacing w:after="0"/>
              <w:rPr>
                <w:sz w:val="24"/>
                <w:szCs w:val="24"/>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An archived webcast will also be available on the Company’s Investor Relations site under the Events &amp; Presentations page.</w:t>
      </w:r>
    </w:p>
    <w:p>
      <w:pPr>
        <w:sectPr>
          <w:pgSz w:w="11900" w:h="16838" w:orient="portrait"/>
          <w:cols w:equalWidth="0" w:num="1">
            <w:col w:w="11020"/>
          </w:cols>
          <w:pgMar w:left="440" w:top="121" w:right="439" w:bottom="1440" w:gutter="0" w:footer="0" w:header="0"/>
        </w:sectPr>
      </w:pPr>
    </w:p>
    <w:bookmarkStart w:id="4" w:name="page5"/>
    <w:bookmarkEnd w:id="4"/>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About Cybin</w:t>
      </w:r>
    </w:p>
    <w:p>
      <w:pPr>
        <w:spacing w:after="0" w:line="121"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Cybin is a leading ethical biopharmaceutical company, working with a network of world-class partners and internationally recognized scientists, on a mission to create safe and effective therapeutics for patients to address a multitude of mental health issues. Headquartered in Canada and founded in 2019, Cybin is operational in the United States, United Kingdom and Ireland. The Company is focused on progressing Psychedelics to Therapeutics by engineering proprietary drug discovery platforms, innovative drug delivery systems, novel formulation approaches and treatment regimens for mental health disorders.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Investor &amp; Media Contacts: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Leah Gibson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Vice President, Investor Relations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Cybin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leah@cybin.com</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Tim Regan/Scott Eckstein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KCSA Strategic Communications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cybin@kcsa.com</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Lisa M. Wilson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In-Site Communications,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lwilson@insitecony.com</w:t>
      </w:r>
    </w:p>
    <w:sectPr>
      <w:pgSz w:w="11900" w:h="16838" w:orient="portrait"/>
      <w:cols w:equalWidth="0" w:num="1">
        <w:col w:w="10880"/>
      </w:cols>
      <w:pgMar w:left="440" w:top="270" w:right="5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jpeg"/><Relationship Id="rId21" Type="http://schemas.openxmlformats.org/officeDocument/2006/relationships/image" Target="media/image1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2021-11-09T12:23:24Z</dcterms:created>
  <dcterms:modified xsi:type="dcterms:W3CDTF">2021-11-09T12:23:24Z</dcterms:modified>
</cp:coreProperties>
</file>