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 the month of August, 2021.</w:t>
      </w:r>
    </w:p>
    <w:p>
      <w:pPr>
        <w:spacing w:after="0" w:line="20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spacing w:after="0" w:line="207" w:lineRule="exact"/>
        <w:tabs>
          <w:tab w:leader="none" w:pos="15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19"/>
                <w:szCs w:val="19"/>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Arial" w:cs="Arial" w:eastAsia="Arial" w:hAnsi="Arial"/>
                <w:sz w:val="18"/>
                <w:szCs w:val="18"/>
                <w:color w:val="auto"/>
              </w:rPr>
              <w:t>(Registrant)</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19, 2021</w:t>
            </w:r>
          </w:p>
        </w:tc>
        <w:tc>
          <w:tcPr>
            <w:tcW w:w="2580" w:type="dxa"/>
            <w:vAlign w:val="bottom"/>
          </w:tcPr>
          <w:p>
            <w:pPr>
              <w:ind w:left="19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58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August 19,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Files Two Additional International Patent Applications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 of the Company’s Research Phase Programs</w:t>
      </w:r>
    </w:p>
    <w:p>
      <w:pPr>
        <w:spacing w:after="0" w:line="207"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August 19,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progressing psychedelic therapeutics, today announced that it has filed two additional international patent applications that bring the potential to obtain patent coverage in 153 countries for each of the patent applications.</w:t>
      </w:r>
    </w:p>
    <w:p>
      <w:pPr>
        <w:spacing w:after="0" w:line="180"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application, governed by the Patent Cooperation Treaty (“PCT”), grants the Company the right to file future national applications into treaty member jurisdictions, including important potential markets for the Company. The PCTs claim a library of phenethylamine and derivative drug development candidates and methods of use.</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One of the PCT applications claims a group of proprietary compounds identified by the Company’s research data as being important for further evaluation toward selection as potential therapeutics. The other PCT application includes claims and disclosures toward several other proprietary novel psychedelic compounds, including compounds with positive research data, meeting the Company’s internal research metrics. The Company believes these applications will further strengthen the CYB005 program, directed to therapy resistant psychiatric disorders, and provide compositions for further evaluation in additional future research programs.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continues to execute upon its three-pillar drug development strategy to create: (a) a novel drug discovery platform and research on the potential efficacy of psychedelic molecules to address unmet mental health needs; (b) efficient drug delivery to enhance dosing control; and (c) a potential novel treatment regimen. These PCT applications are intended to provide broad international patent protection of key intellectual property in support of the Company’s strategic objectives.</w:t>
      </w:r>
    </w:p>
    <w:p>
      <w:pPr>
        <w:sectPr>
          <w:pgSz w:w="11900" w:h="16838" w:orient="portrait"/>
          <w:cols w:equalWidth="0" w:num="1">
            <w:col w:w="11020"/>
          </w:cols>
          <w:pgMar w:left="440" w:top="121" w:right="439" w:bottom="1440" w:gutter="0" w:footer="0" w:header="0"/>
        </w:sectPr>
      </w:pPr>
    </w:p>
    <w:bookmarkStart w:id="4" w:name="page5"/>
    <w:bookmarkEnd w:id="4"/>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Company’s current indications include major depressive disorder (CYB001), alcohol use disorder (CYB003) and anxiety disorders (CYB004). In addition, two programs in the research phase (CYB005 and CYB006) involved synthesis and testing of more than 50 novel compounds coupled with extensive </w:t>
      </w:r>
      <w:r>
        <w:rPr>
          <w:rFonts w:ascii="Arial" w:cs="Arial" w:eastAsia="Arial" w:hAnsi="Arial"/>
          <w:sz w:val="18"/>
          <w:szCs w:val="18"/>
          <w:i w:val="1"/>
          <w:iCs w:val="1"/>
          <w:color w:val="auto"/>
        </w:rPr>
        <w:t>in-vitro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in-vivo</w:t>
      </w:r>
      <w:r>
        <w:rPr>
          <w:rFonts w:ascii="Arial" w:cs="Arial" w:eastAsia="Arial" w:hAnsi="Arial"/>
          <w:sz w:val="18"/>
          <w:szCs w:val="18"/>
          <w:color w:val="auto"/>
        </w:rPr>
        <w:t xml:space="preserve"> pharmacokinetic, receptor binding, behavioral and safety evaluations.</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“Cybin is dedicated to finding treatments for therapy resistant psychiatric indications as we believe these will provide patients and their medical providers with new avenues to address this significant unmet need. We appreciate the continued dedication of our team to identify and progress our research phase programs toward pre-clinical evaluation,” said Doug Drysdale, CEO.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Cybin is a leading biotechnology company focused on progressing psychedelic therapeutics by utilizing proprietary drug discovery platforms, innovative drug delivery systems, novel formulation approaches and treatment regimens for psychiatric disorders.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new strategic brand messaging campaign, and psychedelic drug development programs to potentially treat mental health disorders. There are numerous risks and uncertainties that could cause actual results and Cybin’s plans and objectives to differ materially from those expressed in the forward-looking information. Actual results and future events could differ materially from those anticipated in such information. These and all subsequent written and oral forward-looking information are based on estimates and opinions of management on the dates they are made and are expressly qualified in their entirety by this notice. Except as required by law, the Company does not intend to update these forward-looking statements.</w:t>
      </w:r>
    </w:p>
    <w:p>
      <w:pPr>
        <w:spacing w:after="0" w:line="16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have not been confirmed by approved research. There is no assurance that the use of psilocybin, psychedelic tryptamine, tryptamine derivatives or other psychedelic compounds or nutraceuticals</w:t>
      </w:r>
    </w:p>
    <w:p>
      <w:pPr>
        <w:sectPr>
          <w:pgSz w:w="11900" w:h="16838" w:orient="portrait"/>
          <w:cols w:equalWidth="0" w:num="1">
            <w:col w:w="10960"/>
          </w:cols>
          <w:pgMar w:left="440" w:top="274" w:right="49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NEO Exchange has neither approved nor disapproved the contents of this news release and is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 Regan/Scott Eckstein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Cybin@kcsa.com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Lisa M.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In-Site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lwilson@insitecony.com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Kanakis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John@cybin.com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2021-08-19T11:58:01Z</dcterms:created>
  <dcterms:modified xsi:type="dcterms:W3CDTF">2021-08-19T11:58:01Z</dcterms:modified>
</cp:coreProperties>
</file>