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October, 2025</w:t>
      </w:r>
      <w:r>
        <w:rPr>
          <w:rFonts w:ascii="Times New Roman" w:cs="Times New Roman" w:eastAsia="Times New Roman" w:hAnsi="Times New Roman"/>
          <w:sz w:val="22"/>
          <w:szCs w:val="22"/>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100 King Street West, Suite 5600, Toronto, Ontario, M5X 1C9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260"/>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4"/>
          <w:szCs w:val="24"/>
          <w:color w:val="auto"/>
        </w:rPr>
      </w:pPr>
    </w:p>
    <w:p>
      <w:pPr>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 99.1, 99.2, 99.3, 99.4 and 99.5 of this Form 6-K of Cybin Inc. (the "Company") are hereby incorporated by reference into the Registration Statement on Form F-10 (</w:t>
      </w:r>
      <w:hyperlink r:id="rId9">
        <w:r>
          <w:rPr>
            <w:rFonts w:ascii="Times New Roman" w:cs="Times New Roman" w:eastAsia="Times New Roman" w:hAnsi="Times New Roman"/>
            <w:sz w:val="22"/>
            <w:szCs w:val="22"/>
            <w:u w:val="single" w:color="auto"/>
            <w:color w:val="0000EE"/>
          </w:rPr>
          <w:t>File No. 333-289139</w:t>
        </w:r>
      </w:hyperlink>
      <w:r>
        <w:rPr>
          <w:rFonts w:ascii="Times New Roman" w:cs="Times New Roman" w:eastAsia="Times New Roman" w:hAnsi="Times New Roman"/>
          <w:sz w:val="22"/>
          <w:szCs w:val="22"/>
          <w:color w:val="auto"/>
        </w:rPr>
        <w:t>) of the Company, as amended or supplemented.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416" w:right="35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6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CYBIN INC.</w:t>
            </w:r>
          </w:p>
        </w:tc>
        <w:tc>
          <w:tcPr>
            <w:tcW w:w="40" w:type="dxa"/>
            <w:vAlign w:val="bottom"/>
          </w:tcPr>
          <w:p>
            <w:pPr>
              <w:spacing w:after="0"/>
              <w:rPr>
                <w:sz w:val="19"/>
                <w:szCs w:val="19"/>
                <w:color w:val="auto"/>
              </w:rPr>
            </w:pPr>
          </w:p>
        </w:tc>
      </w:tr>
      <w:tr>
        <w:trPr>
          <w:trHeight w:val="234"/>
        </w:trPr>
        <w:tc>
          <w:tcPr>
            <w:tcW w:w="360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(Registrant)</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24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Greg Cavers</w:t>
            </w:r>
          </w:p>
        </w:tc>
        <w:tc>
          <w:tcPr>
            <w:tcW w:w="4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6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 Cavers</w:t>
            </w:r>
          </w:p>
        </w:tc>
        <w:tc>
          <w:tcPr>
            <w:tcW w:w="4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p>
        </w:tc>
        <w:tc>
          <w:tcPr>
            <w:tcW w:w="24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3600" w:type="dxa"/>
            <w:vAlign w:val="bottom"/>
            <w:shd w:val="clear" w:color="auto" w:fill="000000"/>
          </w:tcPr>
          <w:p>
            <w:pPr>
              <w:spacing w:after="0"/>
              <w:rPr>
                <w:sz w:val="6"/>
                <w:szCs w:val="6"/>
                <w:color w:val="auto"/>
              </w:rPr>
            </w:pPr>
          </w:p>
        </w:tc>
        <w:tc>
          <w:tcPr>
            <w:tcW w:w="2460" w:type="dxa"/>
            <w:vAlign w:val="bottom"/>
            <w:shd w:val="clear" w:color="auto" w:fill="000000"/>
          </w:tcPr>
          <w:p>
            <w:pPr>
              <w:spacing w:after="0"/>
              <w:rPr>
                <w:sz w:val="6"/>
                <w:szCs w:val="6"/>
                <w:color w:val="auto"/>
              </w:rPr>
            </w:pPr>
          </w:p>
        </w:tc>
        <w:tc>
          <w:tcPr>
            <w:tcW w:w="51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17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Form of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u w:val="single" w:color="auto"/>
          <w:color w:val="0000EE"/>
        </w:rPr>
        <w:t>Form of Warrant</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99.4</w:t>
      </w:r>
      <w:r>
        <w:rPr>
          <w:sz w:val="20"/>
          <w:szCs w:val="20"/>
          <w:color w:val="auto"/>
        </w:rPr>
        <w:tab/>
      </w:r>
      <w:r>
        <w:rPr>
          <w:rFonts w:ascii="Times New Roman" w:cs="Times New Roman" w:eastAsia="Times New Roman" w:hAnsi="Times New Roman"/>
          <w:sz w:val="17"/>
          <w:szCs w:val="17"/>
          <w:u w:val="single" w:color="auto"/>
          <w:color w:val="0000EE"/>
        </w:rPr>
        <w:t>Placement Agency Agreement dated 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99.5</w:t>
      </w:r>
      <w:r>
        <w:rPr>
          <w:sz w:val="20"/>
          <w:szCs w:val="20"/>
          <w:color w:val="auto"/>
        </w:rPr>
        <w:tab/>
      </w:r>
      <w:r>
        <w:rPr>
          <w:rFonts w:ascii="Times New Roman" w:cs="Times New Roman" w:eastAsia="Times New Roman" w:hAnsi="Times New Roman"/>
          <w:sz w:val="17"/>
          <w:szCs w:val="17"/>
          <w:u w:val="single" w:color="auto"/>
          <w:color w:val="0000EE"/>
        </w:rPr>
        <w:t>Consent of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3275" cy="27940"/>
                    </a:xfrm>
                    <a:prstGeom prst="rect">
                      <a:avLst/>
                    </a:prstGeom>
                    <a:noFill/>
                  </pic:spPr>
                </pic:pic>
              </a:graphicData>
            </a:graphic>
          </wp:anchor>
        </w:drawing>
        <w:t>Execution Version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PURCHASE AGREEMENT</w:t>
      </w:r>
    </w:p>
    <w:p>
      <w:pPr>
        <w:spacing w:after="0" w:line="16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dated as of October 28, 2025, by and between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ybin</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incorporated under the laws of the Province of Ontario, Canada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each purchaser identified on the signature pages hereto (each, including its successors and assigns, a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Purchasers</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subject to the terms and conditions set forth in this Agreement and pursuant to a short form base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Canadian Securities Laws (as defined below) and an effective registration statement under the U.S. Securities Act (as defined below), the Company desires to issue and sell to each Purchaser, and each Purchaser, severally and not jointly, desires to purchase from the Company, securities of the Company as more fully described in this Agreement (the "</w:t>
      </w:r>
      <w:r>
        <w:rPr>
          <w:rFonts w:ascii="Times New Roman" w:cs="Times New Roman" w:eastAsia="Times New Roman" w:hAnsi="Times New Roman"/>
          <w:sz w:val="22"/>
          <w:szCs w:val="22"/>
          <w:b w:val="1"/>
          <w:bCs w:val="1"/>
          <w:i w:val="1"/>
          <w:iCs w:val="1"/>
          <w:color w:val="auto"/>
        </w:rPr>
        <w:t>Offering</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mutual covenants contained in this Agreement,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adequacy of which are hereby acknowledged, the Company and each Purchaser agree as follows: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6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In addition to the terms defined elsewhere in this Agreement, for all purposes of this Agreement, the following terms have the meanings set forth in this Section 1.1:</w:t>
      </w:r>
    </w:p>
    <w:p>
      <w:pPr>
        <w:spacing w:after="0" w:line="121"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any Person that, directly or indirectly through one or more intermediaries, controls or is controlled by or is under common control with a Person, as such terms are used in and construed under Rule 405 under the U.S. Securities Act.</w:t>
      </w:r>
    </w:p>
    <w:p>
      <w:pPr>
        <w:spacing w:after="0" w:line="8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Laws</w:t>
      </w:r>
      <w:r>
        <w:rPr>
          <w:rFonts w:ascii="Times New Roman" w:cs="Times New Roman" w:eastAsia="Times New Roman" w:hAnsi="Times New Roman"/>
          <w:sz w:val="22"/>
          <w:szCs w:val="22"/>
          <w:color w:val="auto"/>
        </w:rPr>
        <w:t>" means, in relation to any person or persons, the Applicable Securities Laws and all other statutes, regulations, rules, orders, by-laws, codes, ordinances, decrees, the terms and conditions of any grant of approval, permission, authority or license, or any judgment, order, decision, ruling, award, policy or guidance document, of any Governmental Authority that are applicable to such person or persons or its or their business, undertaking, property or securities and emanate from a Governmental Authority, having jurisdiction over the person or persons or its or their business, undertaking, property or securities.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Securities Laws</w:t>
      </w:r>
      <w:r>
        <w:rPr>
          <w:rFonts w:ascii="Times New Roman" w:cs="Times New Roman" w:eastAsia="Times New Roman" w:hAnsi="Times New Roman"/>
          <w:sz w:val="22"/>
          <w:szCs w:val="22"/>
          <w:color w:val="auto"/>
        </w:rPr>
        <w:t>" means, collectively, Canadian Securities Laws and U.S. Securities Laws.</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Authorization</w:t>
      </w:r>
      <w:r>
        <w:rPr>
          <w:rFonts w:ascii="Times New Roman" w:cs="Times New Roman" w:eastAsia="Times New Roman" w:hAnsi="Times New Roman"/>
          <w:sz w:val="22"/>
          <w:szCs w:val="22"/>
          <w:color w:val="auto"/>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license under the FDR-J, ethical review board approval or other authorization for a study, or other authorizations related to the Business.</w:t>
      </w:r>
    </w:p>
    <w:p>
      <w:pPr>
        <w:spacing w:after="0" w:line="13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development of a psychotherapy model, or other contexts within the pharmaceutical, biotechnology, and medical device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xml:space="preserve">" means any day other than Saturday, Sunday or other day (excluding Lincoln's Birthday (February 12) and Election Day) on which commercial banks in The City of New York are authorized or required by law or other governmental action to remain closed;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Base Prospectus</w:t>
      </w:r>
      <w:r>
        <w:rPr>
          <w:rFonts w:ascii="Times New Roman" w:cs="Times New Roman" w:eastAsia="Times New Roman" w:hAnsi="Times New Roman"/>
          <w:sz w:val="22"/>
          <w:szCs w:val="22"/>
          <w:color w:val="auto"/>
        </w:rPr>
        <w:t>" has the meaning ascribed to such term in Section 3.1(ii)(B).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Base Shelf Prospectus</w:t>
      </w:r>
      <w:r>
        <w:rPr>
          <w:rFonts w:ascii="Times New Roman" w:cs="Times New Roman" w:eastAsia="Times New Roman" w:hAnsi="Times New Roman"/>
          <w:sz w:val="22"/>
          <w:szCs w:val="22"/>
          <w:color w:val="auto"/>
        </w:rPr>
        <w:t>" has the meaning ascribed to such term in Section 3.1(ii)(B).</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Company Counsel</w:t>
      </w:r>
      <w:r>
        <w:rPr>
          <w:rFonts w:ascii="Times New Roman" w:cs="Times New Roman" w:eastAsia="Times New Roman" w:hAnsi="Times New Roman"/>
          <w:sz w:val="22"/>
          <w:szCs w:val="22"/>
          <w:color w:val="auto"/>
        </w:rPr>
        <w:t>" means Aird &amp; Berlis LLP.</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Jurisdictions</w:t>
      </w:r>
      <w:r>
        <w:rPr>
          <w:rFonts w:ascii="Times New Roman" w:cs="Times New Roman" w:eastAsia="Times New Roman" w:hAnsi="Times New Roman"/>
          <w:sz w:val="22"/>
          <w:szCs w:val="22"/>
          <w:color w:val="auto"/>
        </w:rPr>
        <w:t>" means each of the provinces and territories of Canada.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Prospectus</w:t>
      </w:r>
      <w:r>
        <w:rPr>
          <w:rFonts w:ascii="Times New Roman" w:cs="Times New Roman" w:eastAsia="Times New Roman" w:hAnsi="Times New Roman"/>
          <w:sz w:val="22"/>
          <w:szCs w:val="22"/>
          <w:color w:val="auto"/>
        </w:rPr>
        <w:t>" has the meaning ascribed to such term in Section 3.1(ii)(B).</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Prospectus Supplement</w:t>
      </w:r>
      <w:r>
        <w:rPr>
          <w:rFonts w:ascii="Times New Roman" w:cs="Times New Roman" w:eastAsia="Times New Roman" w:hAnsi="Times New Roman"/>
          <w:sz w:val="22"/>
          <w:szCs w:val="22"/>
          <w:color w:val="auto"/>
        </w:rPr>
        <w:t>" has the meaning ascribed to such term in Section 3.1(ii)(B).</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Qualifying Authorities</w:t>
      </w:r>
      <w:r>
        <w:rPr>
          <w:rFonts w:ascii="Times New Roman" w:cs="Times New Roman" w:eastAsia="Times New Roman" w:hAnsi="Times New Roman"/>
          <w:sz w:val="22"/>
          <w:szCs w:val="22"/>
          <w:color w:val="auto"/>
        </w:rPr>
        <w:t>" has the meaning ascribed to such term in Section 3.1(ii)(B).</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Securities Laws</w:t>
      </w:r>
      <w:r>
        <w:rPr>
          <w:rFonts w:ascii="Times New Roman" w:cs="Times New Roman" w:eastAsia="Times New Roman" w:hAnsi="Times New Roman"/>
          <w:sz w:val="22"/>
          <w:szCs w:val="22"/>
          <w:color w:val="auto"/>
        </w:rPr>
        <w:t>" means all Applicable Securities Laws of each of the Canadian Jurisdictions and the respective rules and regulations under such laws together with applicable published national, multilateral and local policy statements, instruments, notices, blanket orders and rulings of the Securities Commissions in the Canadian Jurisdictions.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Cboe</w:t>
      </w:r>
      <w:r>
        <w:rPr>
          <w:rFonts w:ascii="Times New Roman" w:cs="Times New Roman" w:eastAsia="Times New Roman" w:hAnsi="Times New Roman"/>
          <w:sz w:val="22"/>
          <w:szCs w:val="22"/>
          <w:color w:val="auto"/>
        </w:rPr>
        <w:t>" means Cboe Canada Inc.</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CDS</w:t>
      </w:r>
      <w:r>
        <w:rPr>
          <w:rFonts w:ascii="Times New Roman" w:cs="Times New Roman" w:eastAsia="Times New Roman" w:hAnsi="Times New Roman"/>
          <w:sz w:val="22"/>
          <w:szCs w:val="22"/>
          <w:color w:val="auto"/>
        </w:rPr>
        <w:t>" means CDS Clearing and Depository Services Inc.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CDSA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Controlled Drugs and Substances Act</w:t>
      </w:r>
      <w:r>
        <w:rPr>
          <w:rFonts w:ascii="Times New Roman" w:cs="Times New Roman" w:eastAsia="Times New Roman" w:hAnsi="Times New Roman"/>
          <w:sz w:val="22"/>
          <w:szCs w:val="22"/>
          <w:color w:val="auto"/>
        </w:rPr>
        <w:t xml:space="preserve"> (Canada).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Clinical Trials</w:t>
      </w:r>
      <w:r>
        <w:rPr>
          <w:rFonts w:ascii="Times New Roman" w:cs="Times New Roman" w:eastAsia="Times New Roman" w:hAnsi="Times New Roman"/>
          <w:sz w:val="22"/>
          <w:szCs w:val="22"/>
          <w:color w:val="auto"/>
        </w:rPr>
        <w:t>" has the meaning ascribed to such term in Section 3.1(pp)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means the closing of the purchase and sale of the Securities pursuant to Section 2.1.</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xml:space="preserve"> means October 31, 2025, or any other such date as is agreed to by the Purchaser and the Company in writing, provided that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has the meaning ascribed to such term in Section 3.1(kk) of this Agreement.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Shares</w:t>
      </w:r>
      <w:r>
        <w:rPr>
          <w:rFonts w:ascii="Times New Roman" w:cs="Times New Roman" w:eastAsia="Times New Roman" w:hAnsi="Times New Roman"/>
          <w:sz w:val="22"/>
          <w:szCs w:val="22"/>
          <w:color w:val="auto"/>
        </w:rPr>
        <w:t>" means common shares in the capital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Company’s Auditors</w:t>
      </w:r>
      <w:r>
        <w:rPr>
          <w:rFonts w:ascii="Times New Roman" w:cs="Times New Roman" w:eastAsia="Times New Roman" w:hAnsi="Times New Roman"/>
          <w:sz w:val="22"/>
          <w:szCs w:val="22"/>
          <w:color w:val="auto"/>
        </w:rPr>
        <w:t>” means Zeifmans LLP.</w:t>
      </w:r>
    </w:p>
    <w:p>
      <w:pPr>
        <w:spacing w:after="0" w:line="16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Continuous Disclosure Materials</w:t>
      </w:r>
      <w:r>
        <w:rPr>
          <w:rFonts w:ascii="Times New Roman" w:cs="Times New Roman" w:eastAsia="Times New Roman" w:hAnsi="Times New Roman"/>
          <w:sz w:val="22"/>
          <w:szCs w:val="22"/>
          <w:color w:val="auto"/>
        </w:rPr>
        <w:t>" means the Registration Statement, the Prospectuses and the documents incorporated by reference therein.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Criminal Code</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Cybin Entity</w:t>
      </w:r>
      <w:r>
        <w:rPr>
          <w:rFonts w:ascii="Times New Roman" w:cs="Times New Roman" w:eastAsia="Times New Roman" w:hAnsi="Times New Roman"/>
          <w:sz w:val="22"/>
          <w:szCs w:val="22"/>
          <w:color w:val="auto"/>
        </w:rPr>
        <w:t>" means the Company and each Subsidiary.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DEA</w:t>
      </w:r>
      <w:r>
        <w:rPr>
          <w:rFonts w:ascii="Times New Roman" w:cs="Times New Roman" w:eastAsia="Times New Roman" w:hAnsi="Times New Roman"/>
          <w:sz w:val="22"/>
          <w:szCs w:val="22"/>
          <w:color w:val="auto"/>
        </w:rPr>
        <w:t>” means United States Drug Enforcement Agency.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Decision Document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the meaning ascribed to such term in Section 3.1(ii)(B).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Disclosed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 agent or trustee for a principal.</w:t>
      </w:r>
    </w:p>
    <w:p>
      <w:pPr>
        <w:spacing w:after="0" w:line="16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Disclosure Time</w:t>
      </w:r>
      <w:r>
        <w:rPr>
          <w:rFonts w:ascii="Times New Roman" w:cs="Times New Roman" w:eastAsia="Times New Roman" w:hAnsi="Times New Roman"/>
          <w:sz w:val="22"/>
          <w:szCs w:val="22"/>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Agents, and (ii) if this Agreement is signed between midnight (New York City time) and 9:00 a.m. (New York City time) on any Trading Day, no later than 9:01 a.m. (New York City time) on the date hereof, unless otherwise instructed as to an earlier time by the Placement Agents.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DMT</w:t>
      </w:r>
      <w:r>
        <w:rPr>
          <w:rFonts w:ascii="Times New Roman" w:cs="Times New Roman" w:eastAsia="Times New Roman" w:hAnsi="Times New Roman"/>
          <w:sz w:val="22"/>
          <w:szCs w:val="22"/>
          <w:color w:val="auto"/>
        </w:rPr>
        <w:t>" means N,N-Dimethyltryptamine.</w:t>
      </w:r>
    </w:p>
    <w:p>
      <w:pPr>
        <w:spacing w:after="0" w:line="1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Drug Product</w:t>
      </w:r>
      <w:r>
        <w:rPr>
          <w:rFonts w:ascii="Times New Roman" w:cs="Times New Roman" w:eastAsia="Times New Roman" w:hAnsi="Times New Roman"/>
          <w:sz w:val="21"/>
          <w:szCs w:val="21"/>
          <w:color w:val="auto"/>
        </w:rPr>
        <w:t>" means any drug product regulated for sale or use under supervision of a health care practitioners and that includes an active pharmaceutical ingredient that is psilocin, psilocybin, DMT, psilocybin analogues, and a range of tryptamines and phenylethylamines, and other restricted drugs or controlled substances in the jurisdictions in which the Company operates.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 Plans</w:t>
      </w:r>
      <w:r>
        <w:rPr>
          <w:rFonts w:ascii="Times New Roman" w:cs="Times New Roman" w:eastAsia="Times New Roman" w:hAnsi="Times New Roman"/>
          <w:sz w:val="22"/>
          <w:szCs w:val="22"/>
          <w:color w:val="auto"/>
        </w:rPr>
        <w:t>” has the meaning ascribed to such term in Section 3.1(bbb)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Engagement Letter”</w:t>
      </w:r>
      <w:r>
        <w:rPr>
          <w:rFonts w:ascii="Times New Roman" w:cs="Times New Roman" w:eastAsia="Times New Roman" w:hAnsi="Times New Roman"/>
          <w:sz w:val="22"/>
          <w:szCs w:val="22"/>
          <w:color w:val="auto"/>
        </w:rPr>
        <w:t xml:space="preserve"> shall have the meaning set forth in Section 5.20(b).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has the meaning ascribed to such term in Section 3.1(ss)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Permits</w:t>
      </w:r>
      <w:r>
        <w:rPr>
          <w:rFonts w:ascii="Times New Roman" w:cs="Times New Roman" w:eastAsia="Times New Roman" w:hAnsi="Times New Roman"/>
          <w:sz w:val="22"/>
          <w:szCs w:val="22"/>
          <w:color w:val="auto"/>
        </w:rPr>
        <w:t>" has the meaning ascribed to such term in Section 3.1(ss)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Exchanges</w:t>
      </w:r>
      <w:r>
        <w:rPr>
          <w:rFonts w:ascii="Times New Roman" w:cs="Times New Roman" w:eastAsia="Times New Roman" w:hAnsi="Times New Roman"/>
          <w:sz w:val="22"/>
          <w:szCs w:val="22"/>
          <w:color w:val="auto"/>
        </w:rPr>
        <w:t>" means, together, Cboe and NYSE American.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FCPA</w:t>
      </w:r>
      <w:r>
        <w:rPr>
          <w:rFonts w:ascii="Times New Roman" w:cs="Times New Roman" w:eastAsia="Times New Roman" w:hAnsi="Times New Roman"/>
          <w:sz w:val="22"/>
          <w:szCs w:val="22"/>
          <w:color w:val="auto"/>
        </w:rPr>
        <w:t>" means the Foreign Corrupt Practices Act of 1977, as amended.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FDA (Canada)</w:t>
      </w:r>
      <w:r>
        <w:rPr>
          <w:rFonts w:ascii="Times New Roman" w:cs="Times New Roman" w:eastAsia="Times New Roman" w:hAnsi="Times New Roman"/>
          <w:sz w:val="22"/>
          <w:szCs w:val="22"/>
          <w:color w:val="auto"/>
        </w:rPr>
        <w:t>" means the Food and Drugs Act (Canada).</w:t>
      </w:r>
    </w:p>
    <w:p>
      <w:pPr>
        <w:spacing w:after="0" w:line="1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FDA (US)</w:t>
      </w:r>
      <w:r>
        <w:rPr>
          <w:rFonts w:ascii="Times New Roman" w:cs="Times New Roman" w:eastAsia="Times New Roman" w:hAnsi="Times New Roman"/>
          <w:sz w:val="22"/>
          <w:szCs w:val="22"/>
          <w:color w:val="auto"/>
        </w:rPr>
        <w:t>" means the United States Food and Drug Administration.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FDR-C</w:t>
      </w:r>
      <w:r>
        <w:rPr>
          <w:rFonts w:ascii="Times New Roman" w:cs="Times New Roman" w:eastAsia="Times New Roman" w:hAnsi="Times New Roman"/>
          <w:sz w:val="22"/>
          <w:szCs w:val="22"/>
          <w:color w:val="auto"/>
        </w:rPr>
        <w:t>" means part C of the Food and Drugs Regulations (Canada) of the FDA (Canada).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FDR-J</w:t>
      </w:r>
      <w:r>
        <w:rPr>
          <w:rFonts w:ascii="Times New Roman" w:cs="Times New Roman" w:eastAsia="Times New Roman" w:hAnsi="Times New Roman"/>
          <w:sz w:val="22"/>
          <w:szCs w:val="22"/>
          <w:color w:val="auto"/>
        </w:rPr>
        <w:t>" means part J of the Food and Drugs Regulations (Canada) of the CDSA.</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"Governmental Authority" </w:t>
      </w:r>
      <w:r>
        <w:rPr>
          <w:rFonts w:ascii="Times New Roman" w:cs="Times New Roman" w:eastAsia="Times New Roman" w:hAnsi="Times New Roman"/>
          <w:sz w:val="22"/>
          <w:szCs w:val="22"/>
          <w:color w:val="auto"/>
        </w:rPr>
        <w:t>means and includes, without limitation, any national or federal government, province, state,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territory, municipality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Hazardous Substances</w:t>
      </w:r>
      <w:r>
        <w:rPr>
          <w:rFonts w:ascii="Times New Roman" w:cs="Times New Roman" w:eastAsia="Times New Roman" w:hAnsi="Times New Roman"/>
          <w:sz w:val="22"/>
          <w:szCs w:val="22"/>
          <w:color w:val="auto"/>
        </w:rPr>
        <w:t>" has the meaning ascribed to such term in Section 3.1(ss) of this Agreement.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Intellectual Property</w:t>
      </w:r>
      <w:r>
        <w:rPr>
          <w:rFonts w:ascii="Times New Roman" w:cs="Times New Roman" w:eastAsia="Times New Roman" w:hAnsi="Times New Roman"/>
          <w:sz w:val="21"/>
          <w:szCs w:val="21"/>
          <w:color w:val="auto"/>
        </w:rPr>
        <w:t>" means collectively, all intellectual property rights of whatsoever nature, kind or description, including all: (a) trademarks, service marks, trade-mark and service mark registrations, trade-mark and service mark applications, rights under registered user agreements, trade names and other trade-mark and service mark rights, including associated goodwill;</w:t>
      </w:r>
    </w:p>
    <w:p>
      <w:pPr>
        <w:spacing w:after="0" w:line="1" w:lineRule="exact"/>
        <w:rPr>
          <w:sz w:val="20"/>
          <w:szCs w:val="20"/>
          <w:color w:val="auto"/>
        </w:rPr>
      </w:pPr>
    </w:p>
    <w:p>
      <w:pPr>
        <w:jc w:val="both"/>
        <w:ind w:firstLine="8"/>
        <w:spacing w:after="0" w:line="232" w:lineRule="auto"/>
        <w:tabs>
          <w:tab w:leader="none" w:pos="31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copyrights and applications therefor, including all computer software and rights related thereto and any associated waivers of moral rights; (c) all foreign and domestic patents and patent applications (including all provisional, divisional, substitution, continuation and continuation in-part applications, and all foreign counterparts thereof) and all foreign and domestic patents (including extensions, reissues re-examinations, renewals, inventors certificates and foreign counterparts thereof); (d) trade secrets and proprietary and confidential information; (e) industrial designs and registrations thereof and applications therefor; (f) renewals, modifications, developments and extensions of any of the items listed in clauses (a) through (e) above; and (g) patterns, plans, designs, research data, other proprietary know-how, processes, drawings, technology, inventions, formulae, specifications, performance data, quality control information, unpatented blue prints, flow sheets, equipment and parts lists, instructions, manuals, records and procedures, and all licenses, agreements and other contracts and commitments relating to any of the foregoing.</w:t>
      </w:r>
    </w:p>
    <w:p>
      <w:pPr>
        <w:spacing w:after="0" w:line="13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 Rights</w:t>
      </w:r>
      <w:r>
        <w:rPr>
          <w:rFonts w:ascii="Times New Roman" w:cs="Times New Roman" w:eastAsia="Times New Roman" w:hAnsi="Times New Roman"/>
          <w:sz w:val="22"/>
          <w:szCs w:val="22"/>
          <w:color w:val="auto"/>
        </w:rPr>
        <w:t>" 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 and other confidential or proprietary information; and (e) all industrial and other intellectual property rights, and all rights, interests and protections that are associated with, equivalent or similar to, or required for the exercise of, any of the foregoing, however arising, in each case whether registered or unregistered, such registered rights including patent, registered plant breeders' rights, trademark, industrial design, copyright, and including all registrations and applications for, and renewals or extensions of, such rights or forms of protection under the Applicable Law of any jurisdiction in any part of the world.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Leased Premises</w:t>
      </w:r>
      <w:r>
        <w:rPr>
          <w:rFonts w:ascii="Times New Roman" w:cs="Times New Roman" w:eastAsia="Times New Roman" w:hAnsi="Times New Roman"/>
          <w:sz w:val="22"/>
          <w:szCs w:val="22"/>
          <w:color w:val="auto"/>
        </w:rPr>
        <w:t>" means the premises which the Company and any Cybin Entity occupy as a tenant, as the case may be, which are material to the Company and any Cybin Entity, as the case may be.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Licenses</w:t>
      </w:r>
      <w:r>
        <w:rPr>
          <w:rFonts w:ascii="Times New Roman" w:cs="Times New Roman" w:eastAsia="Times New Roman" w:hAnsi="Times New Roman"/>
          <w:sz w:val="22"/>
          <w:szCs w:val="22"/>
          <w:color w:val="auto"/>
        </w:rPr>
        <w:t>" has the meaning ascribed to such term in Section 3.1(g) of this Agreement</w:t>
      </w:r>
    </w:p>
    <w:p>
      <w:pPr>
        <w:spacing w:after="0" w:line="1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Liens</w:t>
      </w:r>
      <w:r>
        <w:rPr>
          <w:rFonts w:ascii="Times New Roman" w:cs="Times New Roman" w:eastAsia="Times New Roman" w:hAnsi="Times New Roman"/>
          <w:sz w:val="22"/>
          <w:szCs w:val="22"/>
          <w:color w:val="auto"/>
        </w:rPr>
        <w:t>" means a lien, charge, pledge, security interest, encumbrance, right of first refusal, preemptive right or other restriction.</w:t>
      </w:r>
    </w:p>
    <w:p>
      <w:pPr>
        <w:spacing w:after="0" w:line="1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Adverse Effect</w:t>
      </w:r>
      <w:r>
        <w:rPr>
          <w:rFonts w:ascii="Times New Roman" w:cs="Times New Roman" w:eastAsia="Times New Roman" w:hAnsi="Times New Roman"/>
          <w:sz w:val="21"/>
          <w:szCs w:val="21"/>
          <w:color w:val="auto"/>
        </w:rPr>
        <w:t>” means the effect (i) resulting from any event, fact, or change that is materially adverse to the business, assets (including intangible assets), affairs, operations, earnings, liabilities (contingent or otherwise), capital, properties, condition (financial or otherwise), prospects or results of operations of the Company and any of the Subsidiaries, taken as a whole, whether or not arising in the Ordinary Course of business, (ii) that would result from any of the Transaction Documents containing a misrepresentation within the meaning of Applicable Securities Laws or (iii) which materially delays or materially impairs the ability of the Company to comply, or prevents the Company from timely complying, with its obligations under this Agreement, the other Transaction Documents, or with respect to the Closing, or would reasonably be expected to do so.</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Subsidiaries</w:t>
      </w:r>
      <w:r>
        <w:rPr>
          <w:rFonts w:ascii="Times New Roman" w:cs="Times New Roman" w:eastAsia="Times New Roman" w:hAnsi="Times New Roman"/>
          <w:sz w:val="22"/>
          <w:szCs w:val="22"/>
          <w:color w:val="auto"/>
        </w:rPr>
        <w:t>" means those Subsidiaries listed in Exhibit 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Member</w:t>
      </w:r>
      <w:r>
        <w:rPr>
          <w:rFonts w:ascii="Times New Roman" w:cs="Times New Roman" w:eastAsia="Times New Roman" w:hAnsi="Times New Roman"/>
          <w:sz w:val="22"/>
          <w:szCs w:val="22"/>
          <w:color w:val="auto"/>
        </w:rPr>
        <w:t>" has the meaning ascribed to such term in Section 3.1(hhh)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Money Laundering Laws</w:t>
      </w:r>
      <w:r>
        <w:rPr>
          <w:rFonts w:ascii="Times New Roman" w:cs="Times New Roman" w:eastAsia="Times New Roman" w:hAnsi="Times New Roman"/>
          <w:sz w:val="22"/>
          <w:szCs w:val="22"/>
          <w:color w:val="auto"/>
        </w:rPr>
        <w:t>" has the meaning ascribed to such term in Section 3.1(ggg)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NHPR</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Natural Health Product Regulations</w:t>
      </w:r>
      <w:r>
        <w:rPr>
          <w:rFonts w:ascii="Times New Roman" w:cs="Times New Roman" w:eastAsia="Times New Roman" w:hAnsi="Times New Roman"/>
          <w:sz w:val="22"/>
          <w:szCs w:val="22"/>
          <w:color w:val="auto"/>
        </w:rPr>
        <w:t xml:space="preserve"> (Canada) of the FDA (Canada).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NI 44-101</w:t>
      </w:r>
      <w:r>
        <w:rPr>
          <w:rFonts w:ascii="Times New Roman" w:cs="Times New Roman" w:eastAsia="Times New Roman" w:hAnsi="Times New Roman"/>
          <w:sz w:val="22"/>
          <w:szCs w:val="22"/>
          <w:color w:val="auto"/>
        </w:rPr>
        <w:t>" has the meaning ascribed to such term in Section 3.1(ii)(B).</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NI 51-102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National Instrument 51-102</w:t>
      </w:r>
      <w:r>
        <w:rPr>
          <w:rFonts w:ascii="Times New Roman" w:cs="Times New Roman" w:eastAsia="Times New Roman" w:hAnsi="Times New Roman"/>
          <w:sz w:val="22"/>
          <w:szCs w:val="22"/>
          <w:i w:val="1"/>
          <w:iCs w:val="1"/>
          <w:color w:val="auto"/>
        </w:rPr>
        <w:t xml:space="preserve"> Continuous Disclosure Obligations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NYSE American</w:t>
      </w:r>
      <w:r>
        <w:rPr>
          <w:rFonts w:ascii="Times New Roman" w:cs="Times New Roman" w:eastAsia="Times New Roman" w:hAnsi="Times New Roman"/>
          <w:sz w:val="22"/>
          <w:szCs w:val="22"/>
          <w:color w:val="auto"/>
        </w:rPr>
        <w:t>" means NYSE American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"Offering" </w:t>
      </w:r>
      <w:r>
        <w:rPr>
          <w:rFonts w:ascii="Times New Roman" w:cs="Times New Roman" w:eastAsia="Times New Roman" w:hAnsi="Times New Roman"/>
          <w:sz w:val="22"/>
          <w:szCs w:val="22"/>
          <w:color w:val="auto"/>
        </w:rPr>
        <w:t>shall have the meaning ascribed to such term on the face page of this Agreement.</w:t>
      </w:r>
    </w:p>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Ordinary Course</w:t>
      </w:r>
      <w:r>
        <w:rPr>
          <w:rFonts w:ascii="Times New Roman" w:cs="Times New Roman" w:eastAsia="Times New Roman" w:hAnsi="Times New Roman"/>
          <w:sz w:val="22"/>
          <w:szCs w:val="22"/>
          <w:color w:val="auto"/>
        </w:rPr>
        <w:t>" 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OSC Rule 72-503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OSC Rule 72-503 -</w:t>
      </w:r>
      <w:r>
        <w:rPr>
          <w:rFonts w:ascii="Times New Roman" w:cs="Times New Roman" w:eastAsia="Times New Roman" w:hAnsi="Times New Roman"/>
          <w:sz w:val="22"/>
          <w:szCs w:val="22"/>
          <w:i w:val="1"/>
          <w:iCs w:val="1"/>
          <w:color w:val="auto"/>
        </w:rPr>
        <w:t xml:space="preserve"> Distributions Outside Canada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PATRIOT Act</w:t>
      </w:r>
      <w:r>
        <w:rPr>
          <w:rFonts w:ascii="Times New Roman" w:cs="Times New Roman" w:eastAsia="Times New Roman" w:hAnsi="Times New Roman"/>
          <w:sz w:val="22"/>
          <w:szCs w:val="22"/>
          <w:color w:val="auto"/>
        </w:rPr>
        <w:t>" has the meaning ascribed to such term in Section 3.2(n)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PCMLTFA</w:t>
      </w:r>
      <w:r>
        <w:rPr>
          <w:rFonts w:ascii="Times New Roman" w:cs="Times New Roman" w:eastAsia="Times New Roman" w:hAnsi="Times New Roman"/>
          <w:sz w:val="22"/>
          <w:szCs w:val="22"/>
          <w:color w:val="auto"/>
        </w:rPr>
        <w:t>" has the meaning ascribed to such term in Section 3.2(n)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 Pre-funded Warrant Purchase Price</w:t>
      </w:r>
      <w:r>
        <w:rPr>
          <w:rFonts w:ascii="Times New Roman" w:cs="Times New Roman" w:eastAsia="Times New Roman" w:hAnsi="Times New Roman"/>
          <w:sz w:val="22"/>
          <w:szCs w:val="22"/>
          <w:color w:val="auto"/>
        </w:rPr>
        <w:t>" equals the Per Share Purchase Price less $0.00001.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 Share Purchase Price</w:t>
      </w:r>
      <w:r>
        <w:rPr>
          <w:rFonts w:ascii="Times New Roman" w:cs="Times New Roman" w:eastAsia="Times New Roman" w:hAnsi="Times New Roman"/>
          <w:sz w:val="22"/>
          <w:szCs w:val="22"/>
          <w:color w:val="auto"/>
        </w:rPr>
        <w:t>" equals $6.51.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ind w:right="20"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Personal Data</w:t>
      </w:r>
      <w:r>
        <w:rPr>
          <w:rFonts w:ascii="Times New Roman" w:cs="Times New Roman" w:eastAsia="Times New Roman" w:hAnsi="Times New Roman"/>
          <w:sz w:val="22"/>
          <w:szCs w:val="22"/>
          <w:color w:val="auto"/>
        </w:rPr>
        <w:t>" has the meaning ascribed to such term in Section 3.1(ss) of this Agreement.</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Placement Agents</w:t>
      </w:r>
      <w:r>
        <w:rPr>
          <w:rFonts w:ascii="Times New Roman" w:cs="Times New Roman" w:eastAsia="Times New Roman" w:hAnsi="Times New Roman"/>
          <w:sz w:val="22"/>
          <w:szCs w:val="22"/>
          <w:color w:val="auto"/>
        </w:rPr>
        <w:t>" means, collectively, Jefferies LLC, TD Securities (USA) LLC, Bloom Burton Securities Inc. and Cantor Fitzgerald &amp; Co.</w:t>
      </w:r>
    </w:p>
    <w:p>
      <w:pPr>
        <w:spacing w:after="0" w:line="10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Pre-funded Warrants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the pre-funded warrants, in the form of Exhibit A attached hereto, issued to each Purchaser pursuant to this Agreement.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Pre-funded Warrant Shares</w:t>
      </w:r>
      <w:r>
        <w:rPr>
          <w:rFonts w:ascii="Times New Roman" w:cs="Times New Roman" w:eastAsia="Times New Roman" w:hAnsi="Times New Roman"/>
          <w:sz w:val="22"/>
          <w:szCs w:val="22"/>
          <w:color w:val="auto"/>
        </w:rPr>
        <w:t>" means the Common Shares issuable upon exercise of the Pre-funded Warrants.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Prospectuses"</w:t>
      </w:r>
      <w:r>
        <w:rPr>
          <w:rFonts w:ascii="Times New Roman" w:cs="Times New Roman" w:eastAsia="Times New Roman" w:hAnsi="Times New Roman"/>
          <w:sz w:val="22"/>
          <w:szCs w:val="22"/>
          <w:color w:val="auto"/>
        </w:rPr>
        <w:t xml:space="preserve"> has the meaning ascribed to such term in Section 3.1(ii)(C).</w:t>
      </w:r>
    </w:p>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Proceeding</w:t>
      </w:r>
      <w:r>
        <w:rPr>
          <w:rFonts w:ascii="Times New Roman" w:cs="Times New Roman" w:eastAsia="Times New Roman" w:hAnsi="Times New Roman"/>
          <w:sz w:val="22"/>
          <w:szCs w:val="22"/>
          <w:color w:val="auto"/>
        </w:rPr>
        <w:t>" means an action, claim, suit, arbitration, hearing, investigation, notice of violation, inquiry or proceeding (including an informal investigation or partial proceeding, such as a deposition), whether commenced or threatened in writing or (to the Company's knowledge) otherwise.</w:t>
      </w:r>
    </w:p>
    <w:p>
      <w:pPr>
        <w:spacing w:after="0" w:line="12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 the meaning ascribed to such term on the face page of this Agreement, and shall include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Disclosed Principal.</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Purchaser Party</w:t>
      </w:r>
      <w:r>
        <w:rPr>
          <w:rFonts w:ascii="Times New Roman" w:cs="Times New Roman" w:eastAsia="Times New Roman" w:hAnsi="Times New Roman"/>
          <w:sz w:val="22"/>
          <w:szCs w:val="22"/>
          <w:color w:val="auto"/>
        </w:rPr>
        <w:t>" shall have the meaning ascribed to such term in Section 4.8 of this Agreement.</w:t>
      </w:r>
    </w:p>
    <w:p>
      <w:pPr>
        <w:spacing w:after="0" w:line="16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Institutional Buyer</w:t>
      </w:r>
      <w:r>
        <w:rPr>
          <w:rFonts w:ascii="Times New Roman" w:cs="Times New Roman" w:eastAsia="Times New Roman" w:hAnsi="Times New Roman"/>
          <w:sz w:val="22"/>
          <w:szCs w:val="22"/>
          <w:color w:val="auto"/>
        </w:rPr>
        <w:t>" means a "qualified institutional buyer" as defined in Rule 144A under the U.S. Securities Act that is also a U.S. Accredited Investor.</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has the meaning ascribed to such term in Section 3.1(ii)(C).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Regulation S</w:t>
      </w:r>
      <w:r>
        <w:rPr>
          <w:rFonts w:ascii="Times New Roman" w:cs="Times New Roman" w:eastAsia="Times New Roman" w:hAnsi="Times New Roman"/>
          <w:sz w:val="22"/>
          <w:szCs w:val="22"/>
          <w:color w:val="auto"/>
        </w:rPr>
        <w:t>" means Regulation S under the U.S. Securities Act.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Reviewing Authority</w:t>
      </w:r>
      <w:r>
        <w:rPr>
          <w:rFonts w:ascii="Times New Roman" w:cs="Times New Roman" w:eastAsia="Times New Roman" w:hAnsi="Times New Roman"/>
          <w:sz w:val="22"/>
          <w:szCs w:val="22"/>
          <w:color w:val="auto"/>
        </w:rPr>
        <w:t>" has the meaning ascribed to such term in Section 3.1(ii)(B).</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Rules and Regulations</w:t>
      </w:r>
      <w:r>
        <w:rPr>
          <w:rFonts w:ascii="Times New Roman" w:cs="Times New Roman" w:eastAsia="Times New Roman" w:hAnsi="Times New Roman"/>
          <w:sz w:val="22"/>
          <w:szCs w:val="22"/>
          <w:color w:val="auto"/>
        </w:rPr>
        <w:t>" has the meaning ascribed to such term in Section 3.1(ii)(C).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Sanctioned Countries</w:t>
      </w:r>
      <w:r>
        <w:rPr>
          <w:rFonts w:ascii="Times New Roman" w:cs="Times New Roman" w:eastAsia="Times New Roman" w:hAnsi="Times New Roman"/>
          <w:sz w:val="22"/>
          <w:szCs w:val="22"/>
          <w:color w:val="auto"/>
        </w:rPr>
        <w:t>" has the meaning ascribed to such term in Section 3.1(hhh)(i)(B)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has the meaning ascribed to such term in Section 3.1(hhh)(i)(A)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Securities</w:t>
      </w:r>
      <w:r>
        <w:rPr>
          <w:rFonts w:ascii="Times New Roman" w:cs="Times New Roman" w:eastAsia="Times New Roman" w:hAnsi="Times New Roman"/>
          <w:sz w:val="21"/>
          <w:szCs w:val="21"/>
          <w:color w:val="auto"/>
        </w:rPr>
        <w:t>" means the Shares, the Pre-funded Warrants, the Warrants, the Pre-funded Warrant Shares and Warrant Shares.</w:t>
      </w:r>
    </w:p>
    <w:p>
      <w:pPr>
        <w:spacing w:after="0" w:line="17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Commissions</w:t>
      </w:r>
      <w:r>
        <w:rPr>
          <w:rFonts w:ascii="Times New Roman" w:cs="Times New Roman" w:eastAsia="Times New Roman" w:hAnsi="Times New Roman"/>
          <w:sz w:val="22"/>
          <w:szCs w:val="22"/>
          <w:color w:val="auto"/>
        </w:rPr>
        <w:t>" means the applicable securities commission or regulatory authority in each of the Canadian Jurisdictions and "</w:t>
      </w:r>
      <w:r>
        <w:rPr>
          <w:rFonts w:ascii="Times New Roman" w:cs="Times New Roman" w:eastAsia="Times New Roman" w:hAnsi="Times New Roman"/>
          <w:sz w:val="22"/>
          <w:szCs w:val="22"/>
          <w:b w:val="1"/>
          <w:bCs w:val="1"/>
          <w:color w:val="auto"/>
        </w:rPr>
        <w:t>Securities Commissions</w:t>
      </w:r>
      <w:r>
        <w:rPr>
          <w:rFonts w:ascii="Times New Roman" w:cs="Times New Roman" w:eastAsia="Times New Roman" w:hAnsi="Times New Roman"/>
          <w:sz w:val="22"/>
          <w:szCs w:val="22"/>
          <w:color w:val="auto"/>
        </w:rPr>
        <w:t>" means all of them;</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means the Common Shares issued to each Purchaser pursuant to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Shelf Procedures</w:t>
      </w:r>
      <w:r>
        <w:rPr>
          <w:rFonts w:ascii="Times New Roman" w:cs="Times New Roman" w:eastAsia="Times New Roman" w:hAnsi="Times New Roman"/>
          <w:sz w:val="22"/>
          <w:szCs w:val="22"/>
          <w:color w:val="auto"/>
        </w:rPr>
        <w:t>" has the meaning ascribed to such term in Section 3.1(ii)(B).</w:t>
      </w:r>
    </w:p>
    <w:p>
      <w:pPr>
        <w:spacing w:after="0" w:line="16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Short Sales</w:t>
      </w:r>
      <w:r>
        <w:rPr>
          <w:rFonts w:ascii="Times New Roman" w:cs="Times New Roman" w:eastAsia="Times New Roman" w:hAnsi="Times New Roman"/>
          <w:sz w:val="22"/>
          <w:szCs w:val="22"/>
          <w:color w:val="auto"/>
        </w:rPr>
        <w:t>" means all "short sales" as defined in Rule 200 of Regulation SHO under the U.S. Exchange Act (but shall not be deemed to include locating and/or borrowing Common Shares).</w:t>
      </w:r>
    </w:p>
    <w:p>
      <w:pPr>
        <w:spacing w:after="0" w:line="11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Subscription Amount</w:t>
      </w:r>
      <w:r>
        <w:rPr>
          <w:rFonts w:ascii="Times New Roman" w:cs="Times New Roman" w:eastAsia="Times New Roman" w:hAnsi="Times New Roman"/>
          <w:sz w:val="22"/>
          <w:szCs w:val="22"/>
          <w:color w:val="auto"/>
        </w:rPr>
        <w:t>" means, as to each Purchaser, the aggregate amount to be paid for Shares and Pre-funded Warrants purchased hereunder as specified below such Purchaser's name on the signature page of this Agreement and next to the heading "Subscription Amount," in United States dollars and in immediately available funds.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those entities listed in Exhibit C, and "</w:t>
      </w:r>
      <w:r>
        <w:rPr>
          <w:rFonts w:ascii="Times New Roman" w:cs="Times New Roman" w:eastAsia="Times New Roman" w:hAnsi="Times New Roman"/>
          <w:sz w:val="22"/>
          <w:szCs w:val="22"/>
          <w:b w:val="1"/>
          <w:bCs w:val="1"/>
          <w:i w:val="1"/>
          <w:iCs w:val="1"/>
          <w:color w:val="auto"/>
        </w:rPr>
        <w:t>Subsidiaries</w:t>
      </w:r>
      <w:r>
        <w:rPr>
          <w:rFonts w:ascii="Times New Roman" w:cs="Times New Roman" w:eastAsia="Times New Roman" w:hAnsi="Times New Roman"/>
          <w:sz w:val="22"/>
          <w:szCs w:val="22"/>
          <w:color w:val="auto"/>
        </w:rPr>
        <w:t>" means all of them.</w:t>
      </w:r>
    </w:p>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Act</w:t>
      </w:r>
      <w:r>
        <w:rPr>
          <w:rFonts w:ascii="Times New Roman" w:cs="Times New Roman" w:eastAsia="Times New Roman" w:hAnsi="Times New Roman"/>
          <w:sz w:val="22"/>
          <w:szCs w:val="22"/>
          <w:color w:val="auto"/>
        </w:rPr>
        <w:t>" means the Income Tax Act (Canada) and the regulations thereunder, both as amended from time to time and any proposed amendments thereto announced publicly by or on behalf of the Minister of Finance (Canada) on or prior to the date of this Agreement.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has the meaning ascribed to such term in Section 3.1(hh)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Trade Sanctions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the meaning ascribed to such term in Section 3.2(j)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a day on which the NYSE American is open for trading.</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Market</w:t>
      </w:r>
      <w:r>
        <w:rPr>
          <w:rFonts w:ascii="Times New Roman" w:cs="Times New Roman" w:eastAsia="Times New Roman" w:hAnsi="Times New Roman"/>
          <w:sz w:val="22"/>
          <w:szCs w:val="22"/>
          <w:color w:val="auto"/>
        </w:rPr>
        <w:t>" means any of the following markets or exchanges on which the Common Shares are listed or quoted for trading on the date in question: the NYSE American, the Nasdaq Capital Market, the Nasdaq Global Market, the Nasdaq Global Select Market, the New York Stock Exchange, the Toronto Stock Exchange, TSX Venture Exchange or Cboe (or any successors to any of the foregoing).</w:t>
      </w:r>
    </w:p>
    <w:p>
      <w:pPr>
        <w:spacing w:after="0" w:line="13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 Documents</w:t>
      </w:r>
      <w:r>
        <w:rPr>
          <w:rFonts w:ascii="Times New Roman" w:cs="Times New Roman" w:eastAsia="Times New Roman" w:hAnsi="Times New Roman"/>
          <w:sz w:val="22"/>
          <w:szCs w:val="22"/>
          <w:color w:val="auto"/>
        </w:rPr>
        <w:t>" means this Agreement, the Warrants, the Pre-funded Warrants and the Placement Agency Agreement, all exhibits and schedules thereto and hereto and any other documents or agreements executed in connection with the transactions contemplated hereunder and thereunder.</w:t>
      </w:r>
    </w:p>
    <w:p>
      <w:pPr>
        <w:spacing w:after="0" w:line="123" w:lineRule="exact"/>
        <w:rPr>
          <w:sz w:val="20"/>
          <w:szCs w:val="20"/>
          <w:color w:val="auto"/>
        </w:rPr>
      </w:pPr>
    </w:p>
    <w:p>
      <w:pPr>
        <w:ind w:left="80" w:firstLine="583"/>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 Agent</w:t>
      </w:r>
      <w:r>
        <w:rPr>
          <w:rFonts w:ascii="Times New Roman" w:cs="Times New Roman" w:eastAsia="Times New Roman" w:hAnsi="Times New Roman"/>
          <w:sz w:val="22"/>
          <w:szCs w:val="22"/>
          <w:color w:val="auto"/>
        </w:rPr>
        <w:t>" means Odyssey Trust Company, at its principal office in Calgary, Alberta, and any successor transfer agent of the Company.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Accredited Investor</w:t>
      </w:r>
      <w:r>
        <w:rPr>
          <w:rFonts w:ascii="Times New Roman" w:cs="Times New Roman" w:eastAsia="Times New Roman" w:hAnsi="Times New Roman"/>
          <w:sz w:val="22"/>
          <w:szCs w:val="22"/>
          <w:color w:val="auto"/>
        </w:rPr>
        <w:t>" means an "accredited investor" as defined in Rule 501(a) under the U.S. Securities Act.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Base Prospectus</w:t>
      </w:r>
      <w:r>
        <w:rPr>
          <w:rFonts w:ascii="Times New Roman" w:cs="Times New Roman" w:eastAsia="Times New Roman" w:hAnsi="Times New Roman"/>
          <w:sz w:val="22"/>
          <w:szCs w:val="22"/>
          <w:color w:val="auto"/>
        </w:rPr>
        <w:t>" has the meaning ascribed to such term in Section 3.1(ii)(C)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Company Counsel</w:t>
      </w:r>
      <w:r>
        <w:rPr>
          <w:rFonts w:ascii="Times New Roman" w:cs="Times New Roman" w:eastAsia="Times New Roman" w:hAnsi="Times New Roman"/>
          <w:sz w:val="22"/>
          <w:szCs w:val="22"/>
          <w:color w:val="auto"/>
        </w:rPr>
        <w:t>" means Dorsey &amp; Whitney LLP.</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Exchange Act</w:t>
      </w:r>
      <w:r>
        <w:rPr>
          <w:rFonts w:ascii="Times New Roman" w:cs="Times New Roman" w:eastAsia="Times New Roman" w:hAnsi="Times New Roman"/>
          <w:sz w:val="22"/>
          <w:szCs w:val="22"/>
          <w:color w:val="auto"/>
        </w:rPr>
        <w:t>" means the United States Securities Exchange Act of 1934, as amended.</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Person</w:t>
      </w:r>
      <w:r>
        <w:rPr>
          <w:rFonts w:ascii="Times New Roman" w:cs="Times New Roman" w:eastAsia="Times New Roman" w:hAnsi="Times New Roman"/>
          <w:sz w:val="22"/>
          <w:szCs w:val="22"/>
          <w:color w:val="auto"/>
        </w:rPr>
        <w:t>" means a "U.S. person" as such term is defined in Regulation 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Prospectus</w:t>
      </w:r>
      <w:r>
        <w:rPr>
          <w:rFonts w:ascii="Times New Roman" w:cs="Times New Roman" w:eastAsia="Times New Roman" w:hAnsi="Times New Roman"/>
          <w:sz w:val="22"/>
          <w:szCs w:val="22"/>
          <w:color w:val="auto"/>
        </w:rPr>
        <w:t>" shall have the meaning ascribed to such term in Section 3.1(ii)(C).</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Prospectus Supplement</w:t>
      </w:r>
      <w:r>
        <w:rPr>
          <w:rFonts w:ascii="Times New Roman" w:cs="Times New Roman" w:eastAsia="Times New Roman" w:hAnsi="Times New Roman"/>
          <w:sz w:val="22"/>
          <w:szCs w:val="22"/>
          <w:color w:val="auto"/>
        </w:rPr>
        <w:t>" shall have the meaning ascribed to such term in Section 3.1(ii)(C).</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Securities Act</w:t>
      </w:r>
      <w:r>
        <w:rPr>
          <w:rFonts w:ascii="Times New Roman" w:cs="Times New Roman" w:eastAsia="Times New Roman" w:hAnsi="Times New Roman"/>
          <w:sz w:val="22"/>
          <w:szCs w:val="22"/>
          <w:color w:val="auto"/>
        </w:rPr>
        <w:t>" means the United States Securities Act of 1933, as amended.</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Securities Laws</w:t>
      </w:r>
      <w:r>
        <w:rPr>
          <w:rFonts w:ascii="Times New Roman" w:cs="Times New Roman" w:eastAsia="Times New Roman" w:hAnsi="Times New Roman"/>
          <w:sz w:val="22"/>
          <w:szCs w:val="22"/>
          <w:color w:val="auto"/>
        </w:rPr>
        <w:t>" means all Applicable Securities Laws in the United States, including, without limitation, the U.S. Securities Act, the U.S. Exchange Act and the rules and regulations promulgated thereunder, and any applicable state securities laws.</w:t>
      </w:r>
    </w:p>
    <w:p>
      <w:pPr>
        <w:spacing w:after="0" w:line="12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w:t>
      </w:r>
      <w:r>
        <w:rPr>
          <w:rFonts w:ascii="Times New Roman" w:cs="Times New Roman" w:eastAsia="Times New Roman" w:hAnsi="Times New Roman"/>
          <w:sz w:val="22"/>
          <w:szCs w:val="22"/>
          <w:color w:val="auto"/>
        </w:rPr>
        <w:t>" means the common share purchase warrants, in the form of Exhibit B attached hereto, issued to each Purchaser pursuant to this Agreement.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Shares</w:t>
      </w:r>
      <w:r>
        <w:rPr>
          <w:rFonts w:ascii="Times New Roman" w:cs="Times New Roman" w:eastAsia="Times New Roman" w:hAnsi="Times New Roman"/>
          <w:sz w:val="22"/>
          <w:szCs w:val="22"/>
          <w:color w:val="auto"/>
        </w:rPr>
        <w:t>" means the Common Shares issuable upon exercise of the Warrants.</w:t>
      </w:r>
    </w:p>
    <w:p>
      <w:pPr>
        <w:spacing w:after="0" w:line="18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6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On the Closing Date, upon the terms and subject to the conditions set forth herein, the Company agrees to sell, and the Purchasers, severally and not jointly, agree to purchase, an aggregate of [●] Shares, each at the Per Share Purchase Price, and [●] Pre-funded Warrants, each at the Per Pre-funded Warrant Purchase Price. Each Share and Pre-funded Warrant will be accompanied by 0.35 of one Warrant. On the Closing Date, each Purchaser shall deliver to the Company, via wire transfer, immediately available funds equal to such Purchaser’s Subscription Amount as set forth on the signature page hereto executed by such Purchaser and the Company shall deliver to each Purchaser its respective Shares and/or Pre-funded Warrants and Warrants and the Company and each Purchaser shall deliver the other items set forth in Section 2.2 deliverable at the Closing. Upon satisfaction of the covenants and conditions set forth in Sections 2.2 and 2.3, the Closing shall occur at the offices of Canadian Company Counsel or such other location (including remotely by electronic transmission) as the parties shall mutually agree in writing. In the event the Closing does not occur within two Business Days after the expected Closing Date, unless otherwise agreed by the Company and such Purchaser in writing, the Company shall promptly (but not later than one Business Day thereafter) return the previously wired Purchaser’s Subscription Amount to each respective Purchaser by wire transfer of United States dollars in immediately available funds to the account specified by each Purchaser, and any book entries for the Shares shall be deemed cancelled.</w:t>
      </w:r>
    </w:p>
    <w:p>
      <w:pPr>
        <w:spacing w:after="0" w:line="13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Deliveries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ind w:right="20" w:firstLine="644"/>
        <w:spacing w:after="0" w:line="259" w:lineRule="auto"/>
        <w:tabs>
          <w:tab w:leader="none" w:pos="131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Company shall deliver or cause to be delivered to the Placement Agents and each Purchaser, the following:</w:t>
      </w:r>
    </w:p>
    <w:p>
      <w:pPr>
        <w:spacing w:after="0" w:line="116"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duly executed by the Company;</w:t>
      </w:r>
    </w:p>
    <w:p>
      <w:pPr>
        <w:spacing w:after="0" w:line="179" w:lineRule="exact"/>
        <w:rPr>
          <w:rFonts w:ascii="Times New Roman" w:cs="Times New Roman" w:eastAsia="Times New Roman" w:hAnsi="Times New Roman"/>
          <w:sz w:val="22"/>
          <w:szCs w:val="22"/>
          <w:color w:val="auto"/>
        </w:rPr>
      </w:pPr>
    </w:p>
    <w:p>
      <w:pPr>
        <w:ind w:left="640" w:firstLine="652"/>
        <w:spacing w:after="0" w:line="258" w:lineRule="auto"/>
        <w:tabs>
          <w:tab w:leader="none" w:pos="1949"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legal opinion of U.S. Company Counsel, dated as of the Closing Date, directed to the Placement Agents and the Purchasers, in form and substance reasonably acceptable to the Placement Agents;</w:t>
      </w:r>
    </w:p>
    <w:p>
      <w:pPr>
        <w:spacing w:after="0" w:line="117" w:lineRule="exact"/>
        <w:rPr>
          <w:rFonts w:ascii="Times New Roman" w:cs="Times New Roman" w:eastAsia="Times New Roman" w:hAnsi="Times New Roman"/>
          <w:sz w:val="22"/>
          <w:szCs w:val="22"/>
          <w:color w:val="auto"/>
        </w:rPr>
      </w:pPr>
    </w:p>
    <w:p>
      <w:pPr>
        <w:ind w:left="640" w:firstLine="652"/>
        <w:spacing w:after="0" w:line="258" w:lineRule="auto"/>
        <w:tabs>
          <w:tab w:leader="none" w:pos="1963"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legal opinion of Canadian Company Counsel, dated as of the Closing Date, directed to the Placement Agents and the Purchasers, in form and substance reasonably acceptable to the Placement Agents;</w:t>
      </w:r>
    </w:p>
    <w:p>
      <w:pPr>
        <w:spacing w:after="0" w:line="117" w:lineRule="exact"/>
        <w:rPr>
          <w:rFonts w:ascii="Times New Roman" w:cs="Times New Roman" w:eastAsia="Times New Roman" w:hAnsi="Times New Roman"/>
          <w:sz w:val="22"/>
          <w:szCs w:val="22"/>
          <w:color w:val="auto"/>
        </w:rPr>
      </w:pPr>
    </w:p>
    <w:p>
      <w:pPr>
        <w:jc w:val="both"/>
        <w:ind w:left="640" w:firstLine="652"/>
        <w:spacing w:after="0" w:line="238" w:lineRule="auto"/>
        <w:tabs>
          <w:tab w:leader="none" w:pos="1953"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irrevocable instructions to the Transfer Agent instructing the Transfer Agent to deliver on an expedited basis via The Depository Trust Company Deposit or Withdrawal at Custodian system Shares, if any Shares are being purchased, equal to each Purchaser’s Subscription Amount applicable to the Shares divided by the Per Share Purchase Price, registered in the name of such Purchaser and free and clear of all restrictive and other legends;</w:t>
      </w:r>
    </w:p>
    <w:p>
      <w:pPr>
        <w:spacing w:after="0" w:line="149" w:lineRule="exact"/>
        <w:rPr>
          <w:rFonts w:ascii="Times New Roman" w:cs="Times New Roman" w:eastAsia="Times New Roman" w:hAnsi="Times New Roman"/>
          <w:sz w:val="22"/>
          <w:szCs w:val="22"/>
          <w:color w:val="auto"/>
        </w:rPr>
      </w:pPr>
    </w:p>
    <w:p>
      <w:pPr>
        <w:jc w:val="both"/>
        <w:ind w:left="640" w:firstLine="652"/>
        <w:spacing w:after="0" w:line="244" w:lineRule="auto"/>
        <w:tabs>
          <w:tab w:leader="none" w:pos="1957"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two (2) Business Days prior to the Closing Date, the Company’s wire instructions on Company letterhead and executed by the Chief Executive Officer or Chief Financial Officer, unless otherwise instructed by the Placement Agents;</w:t>
      </w:r>
    </w:p>
    <w:p>
      <w:pPr>
        <w:spacing w:after="0" w:line="132" w:lineRule="exact"/>
        <w:rPr>
          <w:rFonts w:ascii="Times New Roman" w:cs="Times New Roman" w:eastAsia="Times New Roman" w:hAnsi="Times New Roman"/>
          <w:sz w:val="22"/>
          <w:szCs w:val="22"/>
          <w:color w:val="auto"/>
        </w:rPr>
      </w:pPr>
    </w:p>
    <w:p>
      <w:pPr>
        <w:ind w:left="640" w:firstLine="652"/>
        <w:spacing w:after="0" w:line="258" w:lineRule="auto"/>
        <w:tabs>
          <w:tab w:leader="none" w:pos="1962"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Prospectus and U.S. Prospectus Supplement (which may be delivered in accordance with Rule 172 under the U.S. Securities Act); and</w:t>
      </w:r>
    </w:p>
    <w:p>
      <w:pPr>
        <w:spacing w:after="0" w:line="117" w:lineRule="exact"/>
        <w:rPr>
          <w:rFonts w:ascii="Times New Roman" w:cs="Times New Roman" w:eastAsia="Times New Roman" w:hAnsi="Times New Roman"/>
          <w:sz w:val="22"/>
          <w:szCs w:val="22"/>
          <w:color w:val="auto"/>
        </w:rPr>
      </w:pPr>
    </w:p>
    <w:p>
      <w:pPr>
        <w:jc w:val="both"/>
        <w:ind w:left="640" w:firstLine="652"/>
        <w:spacing w:after="0" w:line="244" w:lineRule="auto"/>
        <w:tabs>
          <w:tab w:leader="none" w:pos="1981"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a signed Pre-funded Warrant to purchase up to a number of Common Shares equal to the portion of such Purchaser’s Subscription Amount applicable to Pre-funded Warrants registered as directed by the Purchaser</w:t>
      </w:r>
    </w:p>
    <w:p>
      <w:pPr>
        <w:spacing w:after="0" w:line="146" w:lineRule="exact"/>
        <w:rPr>
          <w:rFonts w:ascii="Times New Roman" w:cs="Times New Roman" w:eastAsia="Times New Roman" w:hAnsi="Times New Roman"/>
          <w:sz w:val="22"/>
          <w:szCs w:val="22"/>
          <w:color w:val="auto"/>
        </w:rPr>
      </w:pPr>
    </w:p>
    <w:p>
      <w:pPr>
        <w:jc w:val="both"/>
        <w:ind w:left="640" w:firstLine="652"/>
        <w:spacing w:after="0" w:line="244" w:lineRule="auto"/>
        <w:tabs>
          <w:tab w:leader="none" w:pos="1996"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signed Warrant to purchase up to a number of Common Shares equal to 35% of the sum of the number of Common Shares and Pre-funded Warrants stated on such Purchaser’s signature page hereto registered as directed by the Purchaser.</w:t>
      </w:r>
    </w:p>
    <w:p>
      <w:pPr>
        <w:spacing w:after="0" w:line="132" w:lineRule="exact"/>
        <w:rPr>
          <w:rFonts w:ascii="Times New Roman" w:cs="Times New Roman" w:eastAsia="Times New Roman" w:hAnsi="Times New Roman"/>
          <w:sz w:val="22"/>
          <w:szCs w:val="22"/>
          <w:color w:val="auto"/>
        </w:rPr>
      </w:pPr>
    </w:p>
    <w:p>
      <w:pPr>
        <w:ind w:firstLine="644"/>
        <w:spacing w:after="0" w:line="258" w:lineRule="auto"/>
        <w:tabs>
          <w:tab w:leader="none" w:pos="131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each Purchaser, severally and not jointly, shall deliver or cause to be delivered to the Company (unless otherwise instructed by the Placement Agents) the following:</w:t>
      </w:r>
    </w:p>
    <w:p>
      <w:pPr>
        <w:spacing w:after="0" w:line="117" w:lineRule="exact"/>
        <w:rPr>
          <w:rFonts w:ascii="Times New Roman" w:cs="Times New Roman" w:eastAsia="Times New Roman" w:hAnsi="Times New Roman"/>
          <w:sz w:val="22"/>
          <w:szCs w:val="22"/>
          <w:color w:val="auto"/>
        </w:rPr>
      </w:pPr>
    </w:p>
    <w:p>
      <w:pPr>
        <w:ind w:left="1960" w:hanging="668"/>
        <w:spacing w:after="0"/>
        <w:tabs>
          <w:tab w:leader="none" w:pos="19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this Agreement duly executed by such Purchaser; and</w:t>
      </w:r>
    </w:p>
    <w:p>
      <w:pPr>
        <w:spacing w:after="0" w:line="179" w:lineRule="exact"/>
        <w:rPr>
          <w:rFonts w:ascii="Times New Roman" w:cs="Times New Roman" w:eastAsia="Times New Roman" w:hAnsi="Times New Roman"/>
          <w:sz w:val="22"/>
          <w:szCs w:val="22"/>
          <w:color w:val="auto"/>
        </w:rPr>
      </w:pPr>
    </w:p>
    <w:p>
      <w:pPr>
        <w:jc w:val="both"/>
        <w:ind w:left="640" w:firstLine="652"/>
        <w:spacing w:after="0" w:line="244" w:lineRule="auto"/>
        <w:tabs>
          <w:tab w:leader="none" w:pos="1958"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Purchaser’s Subscription Amount by wire transfer to the account specified in writing by the Company (which account shall not be an escrow account), which shall be made available for “Delivery Versus Payment” settlement with the Company or its designee.</w:t>
      </w:r>
    </w:p>
    <w:p>
      <w:pPr>
        <w:spacing w:after="0" w:line="1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b w:val="1"/>
          <w:bCs w:val="1"/>
          <w:color w:val="auto"/>
        </w:rPr>
        <w:t>Closing Conditions</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firstLine="644"/>
        <w:spacing w:after="0" w:line="258" w:lineRule="auto"/>
        <w:tabs>
          <w:tab w:leader="none" w:pos="13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hereunder in connection with the Closing are subject to the following conditions being satisfied or waived by the Company:</w:t>
      </w:r>
    </w:p>
    <w:p>
      <w:pPr>
        <w:spacing w:after="0" w:line="131" w:lineRule="exact"/>
        <w:rPr>
          <w:rFonts w:ascii="Times New Roman" w:cs="Times New Roman" w:eastAsia="Times New Roman" w:hAnsi="Times New Roman"/>
          <w:sz w:val="22"/>
          <w:szCs w:val="22"/>
          <w:color w:val="auto"/>
        </w:rPr>
      </w:pPr>
    </w:p>
    <w:p>
      <w:pPr>
        <w:jc w:val="both"/>
        <w:ind w:left="640" w:firstLine="652"/>
        <w:spacing w:after="0" w:line="238" w:lineRule="auto"/>
        <w:tabs>
          <w:tab w:leader="none" w:pos="195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accuracy in all material respects (or, to the extent representations or warranties are qualified by materiality,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in all respects) as of such date);</w:t>
      </w:r>
    </w:p>
    <w:p>
      <w:pPr>
        <w:spacing w:after="0" w:line="13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120650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12" w:name="page13"/>
    <w:bookmarkEnd w:id="12"/>
    <w:p>
      <w:pPr>
        <w:ind w:left="640" w:firstLine="652"/>
        <w:spacing w:after="0" w:line="259" w:lineRule="auto"/>
        <w:tabs>
          <w:tab w:leader="none" w:pos="195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covenants and agreements of each Purchaser required to be performed at or prior to the Closing Date shall have been performed; and</w:t>
      </w:r>
    </w:p>
    <w:p>
      <w:pPr>
        <w:spacing w:after="0" w:line="116" w:lineRule="exact"/>
        <w:rPr>
          <w:rFonts w:ascii="Times New Roman" w:cs="Times New Roman" w:eastAsia="Times New Roman" w:hAnsi="Times New Roman"/>
          <w:sz w:val="22"/>
          <w:szCs w:val="22"/>
          <w:color w:val="auto"/>
        </w:rPr>
      </w:pPr>
    </w:p>
    <w:p>
      <w:pPr>
        <w:ind w:left="1960" w:hanging="668"/>
        <w:spacing w:after="0"/>
        <w:tabs>
          <w:tab w:leader="none" w:pos="19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delivery by each Purchaser of the items set forth in Section 2.2(b).</w:t>
      </w:r>
    </w:p>
    <w:p>
      <w:pPr>
        <w:spacing w:after="0" w:line="179" w:lineRule="exact"/>
        <w:rPr>
          <w:rFonts w:ascii="Times New Roman" w:cs="Times New Roman" w:eastAsia="Times New Roman" w:hAnsi="Times New Roman"/>
          <w:sz w:val="22"/>
          <w:szCs w:val="22"/>
          <w:color w:val="auto"/>
        </w:rPr>
      </w:pPr>
    </w:p>
    <w:p>
      <w:pPr>
        <w:ind w:firstLine="644"/>
        <w:spacing w:after="0" w:line="258" w:lineRule="auto"/>
        <w:tabs>
          <w:tab w:leader="none" w:pos="131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respective obligations of the Purchasers hereunder in connection with the Closing are subject to the following conditions being satisfied or, severally and not jointly, waived by each Purchaser:</w:t>
      </w:r>
    </w:p>
    <w:p>
      <w:pPr>
        <w:spacing w:after="0" w:line="117" w:lineRule="exact"/>
        <w:rPr>
          <w:rFonts w:ascii="Times New Roman" w:cs="Times New Roman" w:eastAsia="Times New Roman" w:hAnsi="Times New Roman"/>
          <w:sz w:val="22"/>
          <w:szCs w:val="22"/>
          <w:color w:val="auto"/>
        </w:rPr>
      </w:pPr>
    </w:p>
    <w:p>
      <w:pPr>
        <w:jc w:val="both"/>
        <w:ind w:left="640" w:firstLine="652"/>
        <w:spacing w:after="0" w:line="251" w:lineRule="auto"/>
        <w:tabs>
          <w:tab w:leader="none" w:pos="1953"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27" w:lineRule="exact"/>
        <w:rPr>
          <w:rFonts w:ascii="Times New Roman" w:cs="Times New Roman" w:eastAsia="Times New Roman" w:hAnsi="Times New Roman"/>
          <w:sz w:val="21"/>
          <w:szCs w:val="21"/>
          <w:color w:val="auto"/>
        </w:rPr>
      </w:pPr>
    </w:p>
    <w:p>
      <w:pPr>
        <w:ind w:left="640" w:firstLine="652"/>
        <w:spacing w:after="0" w:line="258" w:lineRule="auto"/>
        <w:tabs>
          <w:tab w:leader="none" w:pos="195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all obligations, covenants and agreements of the Company required to be performed at or prior to the Closing Date shall have been performed;</w:t>
      </w:r>
    </w:p>
    <w:p>
      <w:pPr>
        <w:spacing w:after="0" w:line="131" w:lineRule="exact"/>
        <w:rPr>
          <w:rFonts w:ascii="Times New Roman" w:cs="Times New Roman" w:eastAsia="Times New Roman" w:hAnsi="Times New Roman"/>
          <w:sz w:val="22"/>
          <w:szCs w:val="22"/>
          <w:color w:val="auto"/>
        </w:rPr>
      </w:pPr>
    </w:p>
    <w:p>
      <w:pPr>
        <w:ind w:left="1980" w:hanging="688"/>
        <w:spacing w:after="0"/>
        <w:tabs>
          <w:tab w:leader="none" w:pos="19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delivery by the Company of the items set forth in Section 2.2(a);</w:t>
      </w:r>
    </w:p>
    <w:p>
      <w:pPr>
        <w:spacing w:after="0" w:line="165" w:lineRule="exact"/>
        <w:rPr>
          <w:rFonts w:ascii="Times New Roman" w:cs="Times New Roman" w:eastAsia="Times New Roman" w:hAnsi="Times New Roman"/>
          <w:sz w:val="22"/>
          <w:szCs w:val="22"/>
          <w:color w:val="auto"/>
        </w:rPr>
      </w:pPr>
    </w:p>
    <w:p>
      <w:pPr>
        <w:ind w:left="1960" w:hanging="668"/>
        <w:spacing w:after="0"/>
        <w:tabs>
          <w:tab w:leader="none" w:pos="19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there shall have been no Material Adverse Effect with respect to the Company since the date</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41" w:lineRule="exact"/>
        <w:rPr>
          <w:rFonts w:ascii="Times New Roman" w:cs="Times New Roman" w:eastAsia="Times New Roman" w:hAnsi="Times New Roman"/>
          <w:sz w:val="22"/>
          <w:szCs w:val="22"/>
          <w:color w:val="auto"/>
        </w:rPr>
      </w:pPr>
    </w:p>
    <w:p>
      <w:pPr>
        <w:jc w:val="both"/>
        <w:ind w:left="640" w:firstLine="652"/>
        <w:spacing w:after="0" w:line="234" w:lineRule="auto"/>
        <w:tabs>
          <w:tab w:leader="none" w:pos="195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to the Closing Date, trading in the Common Shares shall not have been suspended by the SEC, the Securities Commissions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and</w:t>
      </w:r>
    </w:p>
    <w:p>
      <w:pPr>
        <w:spacing w:after="0" w:line="156" w:lineRule="exact"/>
        <w:rPr>
          <w:rFonts w:ascii="Times New Roman" w:cs="Times New Roman" w:eastAsia="Times New Roman" w:hAnsi="Times New Roman"/>
          <w:sz w:val="22"/>
          <w:szCs w:val="22"/>
          <w:color w:val="auto"/>
        </w:rPr>
      </w:pPr>
    </w:p>
    <w:p>
      <w:pPr>
        <w:jc w:val="both"/>
        <w:ind w:left="640" w:firstLine="652"/>
        <w:spacing w:after="0" w:line="244" w:lineRule="auto"/>
        <w:tabs>
          <w:tab w:leader="none" w:pos="196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the Shares, Pre-funded Warrant Shares and Warrant Shares shall have been (A) authorized for trading on NYSE American, and (B) conditionally approved for listing on Cboe, subject only to the official notice of issuance.</w:t>
      </w:r>
    </w:p>
    <w:p>
      <w:pPr>
        <w:spacing w:after="0" w:line="12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7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128905</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13" w:name="page14"/>
    <w:bookmarkEnd w:id="13"/>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Representations and Warranties of the Company</w:t>
      </w:r>
      <w:r>
        <w:rPr>
          <w:rFonts w:ascii="Times New Roman" w:cs="Times New Roman" w:eastAsia="Times New Roman" w:hAnsi="Times New Roman"/>
          <w:sz w:val="22"/>
          <w:szCs w:val="22"/>
          <w:color w:val="auto"/>
        </w:rPr>
        <w:t xml:space="preserve"> . The Company represents and warrants to the Purchasers as of the date hereof and as of the Closing Date as follows (except in the case of representations and warranties that speak as of a specific date, in which case the Company represents and warrants as of such date and as of the Closing Date), and acknowledges that each of them is relying on such representations and warranties in connection with the purchase by the Purchasers of the Securities, as applicable, that:</w:t>
      </w:r>
    </w:p>
    <w:p>
      <w:pPr>
        <w:spacing w:after="0" w:line="137" w:lineRule="exact"/>
        <w:rPr>
          <w:sz w:val="20"/>
          <w:szCs w:val="20"/>
          <w:color w:val="auto"/>
        </w:rPr>
      </w:pPr>
    </w:p>
    <w:p>
      <w:pPr>
        <w:jc w:val="both"/>
        <w:ind w:left="660" w:firstLine="644"/>
        <w:spacing w:after="0" w:line="236" w:lineRule="auto"/>
        <w:tabs>
          <w:tab w:leader="none" w:pos="197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Continuous Disclosure</w:t>
      </w:r>
      <w:r>
        <w:rPr>
          <w:rFonts w:ascii="Times New Roman" w:cs="Times New Roman" w:eastAsia="Times New Roman" w:hAnsi="Times New Roman"/>
          <w:sz w:val="22"/>
          <w:szCs w:val="22"/>
          <w:color w:val="auto"/>
        </w:rPr>
        <w:t>. Except with respect to the material terms and conditions of the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the Transaction Documents, the Continuous Disclosure Materials do not contain any untrue statement of a material fact or omit to state a material fact that is required to be stated or that is necessary to make the statements therein, in light of the circumstances under which they were made, not misleading as of the date of the statements in the Continuous Disclosure Materials and were prepared in accordance with and comply in all material respects with Applicable Securities Laws and the Company is not in default of its filings under, nor has it failed to file or publish any document required to be filed or published under Applicable Securities Laws.</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45" w:lineRule="auto"/>
        <w:tabs>
          <w:tab w:leader="none" w:pos="1977"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Organization</w:t>
      </w:r>
      <w:r>
        <w:rPr>
          <w:rFonts w:ascii="Times New Roman" w:cs="Times New Roman" w:eastAsia="Times New Roman" w:hAnsi="Times New Roman"/>
          <w:sz w:val="21"/>
          <w:szCs w:val="21"/>
          <w:color w:val="auto"/>
        </w:rPr>
        <w:t>. The Company and each of its Material Subsidiaries are, and will be, duly organized, validly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existing as a corporation and in good standing (where such concept is recognized) under the laws of their respective jurisdictions of organization. The Company and each of the Material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Continuous Disclosure Materials, except where the failure to be so qualified or in good standing or have such power or authority would not, individually or in the aggregate, have a Material Adverse Effect; provided that changes in the market price or trading volume of the Common Shares shall not, in and of itself, constitute a Material Adverse Effect. No Proceeding has been instituted in any such jurisdiction revoking, limiting or curtailing or seeking to revoke, limit or curtail such power and authority or qualification.</w:t>
      </w:r>
    </w:p>
    <w:p>
      <w:pPr>
        <w:spacing w:after="0" w:line="136" w:lineRule="exact"/>
        <w:rPr>
          <w:rFonts w:ascii="Times New Roman" w:cs="Times New Roman" w:eastAsia="Times New Roman" w:hAnsi="Times New Roman"/>
          <w:sz w:val="21"/>
          <w:szCs w:val="21"/>
          <w:color w:val="auto"/>
        </w:rPr>
      </w:pPr>
    </w:p>
    <w:p>
      <w:pPr>
        <w:jc w:val="both"/>
        <w:ind w:left="660" w:firstLine="644"/>
        <w:spacing w:after="0" w:line="241" w:lineRule="auto"/>
        <w:tabs>
          <w:tab w:leader="none" w:pos="197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Interests of Subsidiaries</w:t>
      </w:r>
      <w:r>
        <w:rPr>
          <w:rFonts w:ascii="Times New Roman" w:cs="Times New Roman" w:eastAsia="Times New Roman" w:hAnsi="Times New Roman"/>
          <w:sz w:val="22"/>
          <w:szCs w:val="22"/>
          <w:color w:val="auto"/>
        </w:rPr>
        <w:t>. Except as disclosed in the Continuous Disclosure Materials,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31" w:lineRule="exact"/>
        <w:rPr>
          <w:rFonts w:ascii="Times New Roman" w:cs="Times New Roman" w:eastAsia="Times New Roman" w:hAnsi="Times New Roman"/>
          <w:sz w:val="22"/>
          <w:szCs w:val="22"/>
          <w:color w:val="auto"/>
        </w:rPr>
      </w:pPr>
    </w:p>
    <w:p>
      <w:pPr>
        <w:ind w:left="660" w:right="20" w:firstLine="644"/>
        <w:spacing w:after="0" w:line="262" w:lineRule="auto"/>
        <w:tabs>
          <w:tab w:leader="none" w:pos="19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Fair Market Value of Subsidiaries</w:t>
      </w:r>
      <w:r>
        <w:rPr>
          <w:rFonts w:ascii="Times New Roman" w:cs="Times New Roman" w:eastAsia="Times New Roman" w:hAnsi="Times New Roman"/>
          <w:sz w:val="22"/>
          <w:szCs w:val="22"/>
          <w:color w:val="auto"/>
        </w:rPr>
        <w:t>. No Subsidiary, other than the Material Subsidiaries and Cybin UK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Ltd, owns assets that have an aggregate fair value of more than $50,000 as of March 31, 2025.</w:t>
      </w:r>
    </w:p>
    <w:p>
      <w:pPr>
        <w:spacing w:after="0" w:line="122" w:lineRule="exact"/>
        <w:rPr>
          <w:rFonts w:ascii="Times New Roman" w:cs="Times New Roman" w:eastAsia="Times New Roman" w:hAnsi="Times New Roman"/>
          <w:sz w:val="22"/>
          <w:szCs w:val="22"/>
          <w:color w:val="auto"/>
        </w:rPr>
      </w:pPr>
    </w:p>
    <w:p>
      <w:pPr>
        <w:ind w:left="660" w:right="20" w:firstLine="644"/>
        <w:spacing w:after="0" w:line="262" w:lineRule="auto"/>
        <w:tabs>
          <w:tab w:leader="none" w:pos="197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Investments</w:t>
      </w:r>
      <w:r>
        <w:rPr>
          <w:rFonts w:ascii="Times New Roman" w:cs="Times New Roman" w:eastAsia="Times New Roman" w:hAnsi="Times New Roman"/>
          <w:sz w:val="22"/>
          <w:szCs w:val="22"/>
          <w:color w:val="auto"/>
        </w:rPr>
        <w:t>. The Company has no direct or indirect subsidiary or any investment in any person,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the Subsidiaries or as disclosed in the Continuous Disclosure Materials.</w:t>
      </w:r>
    </w:p>
    <w:p>
      <w:pPr>
        <w:spacing w:after="0" w:line="109"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9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Licenses</w:t>
      </w:r>
      <w:r>
        <w:rPr>
          <w:rFonts w:ascii="Times New Roman" w:cs="Times New Roman" w:eastAsia="Times New Roman" w:hAnsi="Times New Roman"/>
          <w:sz w:val="22"/>
          <w:szCs w:val="22"/>
          <w:color w:val="auto"/>
        </w:rPr>
        <w:t>. Each Cybin Entity (and to the Company's knowledge in respect of Cybin UK Ltd) has conducted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is conducting its business in material compliance with all Applicable Laws of each jurisdiction in which it carries on business. Each Cybin Entity holds all material requisite licenses, registrations, qualifications, permits and consents necessary or appropriate for carrying on its business as currently carried on (collectively, "</w:t>
      </w:r>
      <w:r>
        <w:rPr>
          <w:rFonts w:ascii="Times New Roman" w:cs="Times New Roman" w:eastAsia="Times New Roman" w:hAnsi="Times New Roman"/>
          <w:sz w:val="22"/>
          <w:szCs w:val="22"/>
          <w:b w:val="1"/>
          <w:bCs w:val="1"/>
          <w:i w:val="1"/>
          <w:iCs w:val="1"/>
          <w:color w:val="auto"/>
        </w:rPr>
        <w:t>Licenses</w:t>
      </w:r>
      <w:r>
        <w:rPr>
          <w:rFonts w:ascii="Times New Roman" w:cs="Times New Roman" w:eastAsia="Times New Roman" w:hAnsi="Times New Roman"/>
          <w:sz w:val="22"/>
          <w:szCs w:val="22"/>
          <w:color w:val="auto"/>
        </w:rPr>
        <w:t>") and all such Licenses are valid and subsisting and in good standing in all material respects. Without limiting the generality of the foregoing, to the knowledge of the Company, no Cybin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 have any adverse impact on the Licenses or require a Cybin Entity, as applicable, to obtain any new license or consent or approval thereunder.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jc w:val="both"/>
        <w:ind w:left="4" w:firstLine="644"/>
        <w:spacing w:after="0" w:line="238" w:lineRule="auto"/>
        <w:tabs>
          <w:tab w:leader="none" w:pos="132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Governmental Notices</w:t>
      </w:r>
      <w:r>
        <w:rPr>
          <w:rFonts w:ascii="Times New Roman" w:cs="Times New Roman" w:eastAsia="Times New Roman" w:hAnsi="Times New Roman"/>
          <w:sz w:val="22"/>
          <w:szCs w:val="22"/>
          <w:color w:val="auto"/>
        </w:rPr>
        <w:t>. No legal or governmental proceedings or inquiries are pending to which a Cybin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Entity is a party or to which the property thereof is subject that would result in the revocation or modification of any License that is necessary to conduct the Business now conducted by a Cybin Entity and, to the knowledge of the Company, no such legal or governmental proceedings or inquiries have been threatened against or are contemplated with respect to a Cybin Entity or with respect to the properties or assets thereof.</w:t>
      </w:r>
    </w:p>
    <w:p>
      <w:pPr>
        <w:spacing w:after="0" w:line="136" w:lineRule="exact"/>
        <w:rPr>
          <w:rFonts w:ascii="Times New Roman" w:cs="Times New Roman" w:eastAsia="Times New Roman" w:hAnsi="Times New Roman"/>
          <w:sz w:val="22"/>
          <w:szCs w:val="22"/>
          <w:color w:val="auto"/>
        </w:rPr>
      </w:pPr>
    </w:p>
    <w:p>
      <w:pPr>
        <w:jc w:val="both"/>
        <w:ind w:left="4" w:firstLine="644"/>
        <w:spacing w:after="0" w:line="237" w:lineRule="auto"/>
        <w:tabs>
          <w:tab w:leader="none" w:pos="132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The Company is not aware of any Applicable Law of any 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having lawful jurisdiction over a Cybin Entity presently in force or any publicly disseminated or announced pending or contemplated change to any Applicable Law of any Governmental Authority having lawful jurisdiction over a Cybin Entity presently in force, that the Company anticipates a Cybin Entity will be unable to comply with or which could reasonably be expected to materially adversely affect the Business of a Cybin Entity or the business environment or legal environment under which such entity operates.</w:t>
      </w:r>
    </w:p>
    <w:p>
      <w:pPr>
        <w:spacing w:after="0" w:line="148" w:lineRule="exact"/>
        <w:rPr>
          <w:rFonts w:ascii="Times New Roman" w:cs="Times New Roman" w:eastAsia="Times New Roman" w:hAnsi="Times New Roman"/>
          <w:sz w:val="22"/>
          <w:szCs w:val="22"/>
          <w:color w:val="auto"/>
        </w:rPr>
      </w:pPr>
    </w:p>
    <w:p>
      <w:pPr>
        <w:jc w:val="both"/>
        <w:ind w:left="4" w:firstLine="644"/>
        <w:spacing w:after="0" w:line="236" w:lineRule="auto"/>
        <w:tabs>
          <w:tab w:leader="none" w:pos="131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Absence of Proceedings</w:t>
      </w:r>
      <w:r>
        <w:rPr>
          <w:rFonts w:ascii="Times New Roman" w:cs="Times New Roman" w:eastAsia="Times New Roman" w:hAnsi="Times New Roman"/>
          <w:sz w:val="22"/>
          <w:szCs w:val="22"/>
          <w:color w:val="auto"/>
        </w:rPr>
        <w:t>. There are no material actions, suits, judgments, investigations, inquiries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proceedings of any kind whatsoever outstanding or, to the best of the Company's knowledge, pending or threatened against or affecting any Cybin Entity or its directors, officers or employees, at law or in equity or before or by any commission, board, bureau or agency of any kind whatsoever and, to the best of the Company's knowledge, there is no basis therefor and no Cybin Entity is subject to any judgment, order, writ, injunction, decree, award, rule, policy or regulation of any Governmental Authority, which may have a Material Adverse Effect or that would materially adversely affect the ability of the Company to perform its obligations under the Transaction Documents.</w:t>
      </w:r>
    </w:p>
    <w:p>
      <w:pPr>
        <w:spacing w:after="0" w:line="135" w:lineRule="exact"/>
        <w:rPr>
          <w:rFonts w:ascii="Times New Roman" w:cs="Times New Roman" w:eastAsia="Times New Roman" w:hAnsi="Times New Roman"/>
          <w:sz w:val="22"/>
          <w:szCs w:val="22"/>
          <w:color w:val="auto"/>
        </w:rPr>
      </w:pPr>
    </w:p>
    <w:p>
      <w:pPr>
        <w:jc w:val="both"/>
        <w:ind w:left="4" w:firstLine="644"/>
        <w:spacing w:after="0" w:line="235" w:lineRule="auto"/>
        <w:tabs>
          <w:tab w:leader="none" w:pos="1317"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Material Adverse Effect</w:t>
      </w:r>
      <w:r>
        <w:rPr>
          <w:rFonts w:ascii="Times New Roman" w:cs="Times New Roman" w:eastAsia="Times New Roman" w:hAnsi="Times New Roman"/>
          <w:sz w:val="22"/>
          <w:szCs w:val="22"/>
          <w:color w:val="auto"/>
        </w:rPr>
        <w:t>. Except as has been disclosed in the Continuous Disclosure Materials, there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not been (i) any event, occurrence, or development that has had or that could reasonably be expected to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 stock of the Company or any Subsidiary, other than in each case above in the Ordinary Course or as otherwise disclosed in the Continuous Disclosure Materials.</w:t>
      </w:r>
    </w:p>
    <w:p>
      <w:pPr>
        <w:spacing w:after="0" w:line="137" w:lineRule="exact"/>
        <w:rPr>
          <w:rFonts w:ascii="Times New Roman" w:cs="Times New Roman" w:eastAsia="Times New Roman" w:hAnsi="Times New Roman"/>
          <w:sz w:val="22"/>
          <w:szCs w:val="22"/>
          <w:color w:val="auto"/>
        </w:rPr>
      </w:pPr>
    </w:p>
    <w:p>
      <w:pPr>
        <w:jc w:val="both"/>
        <w:ind w:left="4" w:firstLine="644"/>
        <w:spacing w:after="0" w:line="245" w:lineRule="auto"/>
        <w:tabs>
          <w:tab w:leader="none" w:pos="1321"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Absence of Defaults and Conflicts</w:t>
      </w:r>
      <w:r>
        <w:rPr>
          <w:rFonts w:ascii="Times New Roman" w:cs="Times New Roman" w:eastAsia="Times New Roman" w:hAnsi="Times New Roman"/>
          <w:sz w:val="21"/>
          <w:szCs w:val="21"/>
          <w:color w:val="auto"/>
        </w:rPr>
        <w:t>. Neither the Company nor any Subsidiary is in violation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constating documents or, to the knowledge of the Company, in default in any material respect in the performance or observance of any material obligation, agreement, covenant or condition contained in any contract, indenture, trust deed, mortgage, loan agreement, note, lease, license or other agreement or instrument to which it is a party or by which it or its property or assets may be bound. Each of the execution and delivery of the Transaction Documents, the performance by the Company of its obligations hereunder or thereunder, the issue and sale of the Securities hereunder and the consummation of the transactions contemplated in this Agreement, including the issuance and delivery of the Securities,</w:t>
      </w:r>
    </w:p>
    <w:p>
      <w:pPr>
        <w:spacing w:after="0" w:line="3" w:lineRule="exact"/>
        <w:rPr>
          <w:rFonts w:ascii="Times New Roman" w:cs="Times New Roman" w:eastAsia="Times New Roman" w:hAnsi="Times New Roman"/>
          <w:sz w:val="21"/>
          <w:szCs w:val="21"/>
          <w:color w:val="auto"/>
        </w:rPr>
      </w:pPr>
    </w:p>
    <w:p>
      <w:pPr>
        <w:jc w:val="both"/>
        <w:ind w:left="4" w:hanging="4"/>
        <w:spacing w:after="0" w:line="232" w:lineRule="auto"/>
        <w:tabs>
          <w:tab w:leader="none" w:pos="27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and will not conflict with or result in a breach or violation of any of the terms or provisions of, or constitute a default under (whether after notice or lapse of time or both): (A) any Applicable Law, including, without limitation, the Business Corporations Act (Ontario) and Applicable Securities Laws; (B) the constating documents, by-laws or resolutions of the directors or shareholders of the Company or the Subsidiaries which are in effect at the date hereof; (C) any mortgage, note, indenture, contract, agreement, instrument, lease or other document to which the Company is a party or by which it is bound; or (D) any judgment, decree or order binding the Company or the property or assets of the Company.</w:t>
      </w:r>
    </w:p>
    <w:p>
      <w:pPr>
        <w:spacing w:after="0" w:line="15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120650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08" w:right="339" w:bottom="1440" w:gutter="0" w:footer="0" w:header="0"/>
        </w:sectPr>
      </w:pPr>
    </w:p>
    <w:bookmarkStart w:id="15" w:name="page16"/>
    <w:bookmarkEnd w:id="15"/>
    <w:p>
      <w:pPr>
        <w:jc w:val="both"/>
        <w:ind w:left="-460" w:firstLine="644"/>
        <w:spacing w:after="0" w:line="245" w:lineRule="auto"/>
        <w:tabs>
          <w:tab w:leader="none" w:pos="85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Execution of Agreement. </w:t>
      </w:r>
      <w:r>
        <w:rPr>
          <w:rFonts w:ascii="Times New Roman" w:cs="Times New Roman" w:eastAsia="Times New Roman" w:hAnsi="Times New Roman"/>
          <w:sz w:val="21"/>
          <w:szCs w:val="21"/>
          <w:color w:val="auto"/>
        </w:rPr>
        <w:t>Neither the execution of this Agreement, nor the issuance, offering or sale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Securities, nor the consummation of any of the transactions contemplated herein, nor the compliance by the Company or any Subsidiary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or any Subsidiary pursuant to the terms of any agreements, contracts, arrangements or understandings (written or oral) to which the Company or any Subsidiary may be bound or to which any of the property or assets of the Company or any Subsidiary is subject, except (i) such conflicts, breaches or defaults as may have been waived and (ii) such conflicts, breaches and defaults that would not reasonably be expected to have a Material Adverse Effect; nor will such action result (x) in any violation of the provisions of the organizational or governing documents of the Company or any Subsidiary, or (y) in any violation of the provisions of any statute or any order, rule or regulation applicable to the Company or any Subsidiary or of any Governmental Authority having jurisdiction over the Company or any Subsidiary, except in the case of this clause (y), such violations that would not reasonably be expected to have a Material Adverse Effect, either individually or in the aggregate.</w:t>
      </w:r>
    </w:p>
    <w:p>
      <w:pPr>
        <w:spacing w:after="0" w:line="130" w:lineRule="exact"/>
        <w:rPr>
          <w:rFonts w:ascii="Times New Roman" w:cs="Times New Roman" w:eastAsia="Times New Roman" w:hAnsi="Times New Roman"/>
          <w:sz w:val="21"/>
          <w:szCs w:val="21"/>
          <w:color w:val="auto"/>
        </w:rPr>
      </w:pPr>
    </w:p>
    <w:p>
      <w:pPr>
        <w:jc w:val="both"/>
        <w:ind w:left="-460" w:firstLine="644"/>
        <w:spacing w:after="0" w:line="238" w:lineRule="auto"/>
        <w:tabs>
          <w:tab w:leader="none" w:pos="86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Reports and Documents, etc</w:t>
      </w:r>
      <w:r>
        <w:rPr>
          <w:rFonts w:ascii="Times New Roman" w:cs="Times New Roman" w:eastAsia="Times New Roman" w:hAnsi="Times New Roman"/>
          <w:sz w:val="22"/>
          <w:szCs w:val="22"/>
          <w:color w:val="auto"/>
        </w:rPr>
        <w:t>. There are no reports or information of the Company or, to the knowledge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of any third party, that in accordance with the requirements of Canadian Securities Laws or U.S. Securities Laws must be made publicly available in connection with the Offering of the Securities that have not been made publicly available as required by such laws, other than, as applicable, a Form 72-503F under OSC Rule 72-503, a Form D and any applicable state notice filings.</w:t>
      </w:r>
    </w:p>
    <w:p>
      <w:pPr>
        <w:spacing w:after="0" w:line="149" w:lineRule="exact"/>
        <w:rPr>
          <w:rFonts w:ascii="Times New Roman" w:cs="Times New Roman" w:eastAsia="Times New Roman" w:hAnsi="Times New Roman"/>
          <w:sz w:val="22"/>
          <w:szCs w:val="22"/>
          <w:color w:val="auto"/>
        </w:rPr>
      </w:pPr>
    </w:p>
    <w:p>
      <w:pPr>
        <w:jc w:val="both"/>
        <w:ind w:left="-460" w:firstLine="644"/>
        <w:spacing w:after="0" w:line="241" w:lineRule="auto"/>
        <w:tabs>
          <w:tab w:leader="none" w:pos="85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Consents, Approvals etc</w:t>
      </w:r>
      <w:r>
        <w:rPr>
          <w:rFonts w:ascii="Times New Roman" w:cs="Times New Roman" w:eastAsia="Times New Roman" w:hAnsi="Times New Roman"/>
          <w:sz w:val="22"/>
          <w:szCs w:val="22"/>
          <w:color w:val="auto"/>
        </w:rPr>
        <w:t>. All authorizations, consents, waivers, notices, registrations or filings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required to be made or obtained by the Company necessary for the execution and delivery of the documents with respect to the Offering, and the creation, issuance and sale, as applicable, of the Securities and the consummation of the transactions contemplated hereby will have been made or obtained, as applicable.</w:t>
      </w:r>
    </w:p>
    <w:p>
      <w:pPr>
        <w:spacing w:after="0" w:line="131" w:lineRule="exact"/>
        <w:rPr>
          <w:rFonts w:ascii="Times New Roman" w:cs="Times New Roman" w:eastAsia="Times New Roman" w:hAnsi="Times New Roman"/>
          <w:sz w:val="22"/>
          <w:szCs w:val="22"/>
          <w:color w:val="auto"/>
        </w:rPr>
      </w:pPr>
    </w:p>
    <w:p>
      <w:pPr>
        <w:jc w:val="both"/>
        <w:ind w:left="-460" w:firstLine="644"/>
        <w:spacing w:after="0" w:line="235" w:lineRule="auto"/>
        <w:tabs>
          <w:tab w:leader="none" w:pos="85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Preferential Rights</w:t>
      </w:r>
      <w:r>
        <w:rPr>
          <w:rFonts w:ascii="Times New Roman" w:cs="Times New Roman" w:eastAsia="Times New Roman" w:hAnsi="Times New Roman"/>
          <w:sz w:val="22"/>
          <w:szCs w:val="22"/>
          <w:color w:val="auto"/>
        </w:rPr>
        <w:t>. (i) Except as has been disclosed in the Continuous Disclosure Materials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pursuant to outstanding convertible or exercisable securities of the Company issued and outstanding as of the date hereof or pursuant to awards under the Company's equity incentive plan, no person has the right, contractual or otherwise, to cause the Company to issue or sell to such person any Common Shares or other securities of the Company, (ii) the Company has not granted to any person any pre-emptive rights, resale rights, rights of first refusal, or any other rights (whether pursuant to a "poison pill" provision or otherwise) to purchase any Shares or other securities of the Company, other than the shareholders rights plan of the Company, and (iii) no person has the right to act as an underwriter or financial advisor to the Company in connection with the offer and sale of the Shares.</w:t>
      </w:r>
    </w:p>
    <w:p>
      <w:pPr>
        <w:spacing w:after="0" w:line="1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6" w:name="page17"/>
    <w:bookmarkEnd w:id="16"/>
    <w:p>
      <w:pPr>
        <w:jc w:val="both"/>
        <w:ind w:left="-460" w:firstLine="644"/>
        <w:spacing w:after="0" w:line="238" w:lineRule="auto"/>
        <w:tabs>
          <w:tab w:leader="none" w:pos="85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Forms of Certificates</w:t>
      </w:r>
      <w:r>
        <w:rPr>
          <w:rFonts w:ascii="Times New Roman" w:cs="Times New Roman" w:eastAsia="Times New Roman" w:hAnsi="Times New Roman"/>
          <w:sz w:val="22"/>
          <w:szCs w:val="22"/>
          <w:color w:val="auto"/>
        </w:rPr>
        <w:t>. The forms of the certificates representing the Securities, to the extent that physical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certificates are issued for such securities, will have been duly approved and adopted by the Company and comply in all respects with the applicable requirements of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constating documents of the Company and applicable requirements of Cboe, NYSE American, DTC and CDS or will have been otherwise approved by Cboe and NYSE American, if required.</w:t>
      </w:r>
    </w:p>
    <w:p>
      <w:pPr>
        <w:spacing w:after="0" w:line="136" w:lineRule="exact"/>
        <w:rPr>
          <w:rFonts w:ascii="Times New Roman" w:cs="Times New Roman" w:eastAsia="Times New Roman" w:hAnsi="Times New Roman"/>
          <w:sz w:val="22"/>
          <w:szCs w:val="22"/>
          <w:color w:val="auto"/>
        </w:rPr>
      </w:pPr>
    </w:p>
    <w:p>
      <w:pPr>
        <w:jc w:val="both"/>
        <w:ind w:left="-460" w:firstLine="644"/>
        <w:spacing w:after="0" w:line="235" w:lineRule="auto"/>
        <w:tabs>
          <w:tab w:leader="none" w:pos="85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Valid and Binding Documents</w:t>
      </w:r>
      <w:r>
        <w:rPr>
          <w:rFonts w:ascii="Times New Roman" w:cs="Times New Roman" w:eastAsia="Times New Roman" w:hAnsi="Times New Roman"/>
          <w:sz w:val="22"/>
          <w:szCs w:val="22"/>
          <w:color w:val="auto"/>
        </w:rPr>
        <w:t>. The Company has the power and capacity to enter into and perform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the Transaction Documents and to carry out the transactions contemplated in the Transaction Documents. Each of the Transaction Documents are duly authorized, executed and delivered by the Company and when executed will be legal, valid and binding obligations of the Company and each shall be enforceable against the Company in accordance with its terms, except as enforcement thereof may be limited by bankruptcy, insolvency, reorganization, moratorium and other laws relating to or affecting the rights of creditors generally and except as limited by the application of equitable principles when equitable remedies are sought, and by the fact that rights to indemnity, contribution and waiver, and the ability to sever unenforceable terms, may be limited by Applicable Laws.</w:t>
      </w:r>
    </w:p>
    <w:p>
      <w:pPr>
        <w:spacing w:after="0" w:line="151" w:lineRule="exact"/>
        <w:rPr>
          <w:rFonts w:ascii="Times New Roman" w:cs="Times New Roman" w:eastAsia="Times New Roman" w:hAnsi="Times New Roman"/>
          <w:sz w:val="22"/>
          <w:szCs w:val="22"/>
          <w:color w:val="auto"/>
        </w:rPr>
      </w:pPr>
    </w:p>
    <w:p>
      <w:pPr>
        <w:jc w:val="both"/>
        <w:ind w:left="-460" w:firstLine="644"/>
        <w:spacing w:after="0" w:line="236" w:lineRule="auto"/>
        <w:tabs>
          <w:tab w:leader="none" w:pos="85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Third Party Agreements</w:t>
      </w:r>
      <w:r>
        <w:rPr>
          <w:rFonts w:ascii="Times New Roman" w:cs="Times New Roman" w:eastAsia="Times New Roman" w:hAnsi="Times New Roman"/>
          <w:sz w:val="22"/>
          <w:szCs w:val="22"/>
          <w:color w:val="auto"/>
        </w:rPr>
        <w:t>. All material agreements between the Company and third parties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referenced in the Continuous Disclosure Materials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Company.</w:t>
      </w:r>
    </w:p>
    <w:p>
      <w:pPr>
        <w:spacing w:after="0" w:line="135" w:lineRule="exact"/>
        <w:rPr>
          <w:rFonts w:ascii="Times New Roman" w:cs="Times New Roman" w:eastAsia="Times New Roman" w:hAnsi="Times New Roman"/>
          <w:sz w:val="22"/>
          <w:szCs w:val="22"/>
          <w:color w:val="auto"/>
        </w:rPr>
      </w:pPr>
    </w:p>
    <w:p>
      <w:pPr>
        <w:jc w:val="both"/>
        <w:ind w:left="-460" w:firstLine="644"/>
        <w:spacing w:after="0" w:line="238" w:lineRule="auto"/>
        <w:tabs>
          <w:tab w:leader="none" w:pos="8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Corporate Actions</w:t>
      </w:r>
      <w:r>
        <w:rPr>
          <w:rFonts w:ascii="Times New Roman" w:cs="Times New Roman" w:eastAsia="Times New Roman" w:hAnsi="Times New Roman"/>
          <w:sz w:val="22"/>
          <w:szCs w:val="22"/>
          <w:color w:val="auto"/>
        </w:rPr>
        <w:t>. The Company has taken, or will have taken, all necessary corporate action, to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 the execution, delivery, performance and filing, as applicable, of the Transaction Documents, and (ii) validly issue and sell the Shares, Pre-funded Warrant Shares and Warrant Shares as fully paid and non-assessable Common Shares, free and clear of all Liens imposed by the Company other than restrictions on transfer provided for in the Transaction Documents.</w:t>
      </w:r>
    </w:p>
    <w:p>
      <w:pPr>
        <w:spacing w:after="0" w:line="136" w:lineRule="exact"/>
        <w:rPr>
          <w:rFonts w:ascii="Times New Roman" w:cs="Times New Roman" w:eastAsia="Times New Roman" w:hAnsi="Times New Roman"/>
          <w:sz w:val="22"/>
          <w:szCs w:val="22"/>
          <w:color w:val="auto"/>
        </w:rPr>
      </w:pPr>
    </w:p>
    <w:p>
      <w:pPr>
        <w:ind w:left="-460" w:firstLine="644"/>
        <w:spacing w:after="0" w:line="262" w:lineRule="auto"/>
        <w:tabs>
          <w:tab w:leader="none" w:pos="85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Voting or Control</w:t>
      </w:r>
      <w:r>
        <w:rPr>
          <w:rFonts w:ascii="Times New Roman" w:cs="Times New Roman" w:eastAsia="Times New Roman" w:hAnsi="Times New Roman"/>
          <w:sz w:val="22"/>
          <w:szCs w:val="22"/>
          <w:color w:val="auto"/>
        </w:rPr>
        <w:t>. The Company is not party to any agreement, nor is the Company aware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 in any manner affects the voting or control of any of the securities of the Company.</w:t>
      </w:r>
    </w:p>
    <w:p>
      <w:pPr>
        <w:spacing w:after="0" w:line="122" w:lineRule="exact"/>
        <w:rPr>
          <w:rFonts w:ascii="Times New Roman" w:cs="Times New Roman" w:eastAsia="Times New Roman" w:hAnsi="Times New Roman"/>
          <w:sz w:val="22"/>
          <w:szCs w:val="22"/>
          <w:color w:val="auto"/>
        </w:rPr>
      </w:pPr>
    </w:p>
    <w:p>
      <w:pPr>
        <w:jc w:val="both"/>
        <w:ind w:left="-460" w:firstLine="644"/>
        <w:spacing w:after="0" w:line="241" w:lineRule="auto"/>
        <w:tabs>
          <w:tab w:leader="none" w:pos="85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Restrictions to Compete</w:t>
      </w:r>
      <w:r>
        <w:rPr>
          <w:rFonts w:ascii="Times New Roman" w:cs="Times New Roman" w:eastAsia="Times New Roman" w:hAnsi="Times New Roman"/>
          <w:sz w:val="22"/>
          <w:szCs w:val="22"/>
          <w:color w:val="auto"/>
        </w:rPr>
        <w:t>. Other than the Licenses, no Cybin Entity is affected by any commitment,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document containing any covenant which expressly and materially limits the freedom of the Cybin Entity to compete in any line of business, transfer or move any of its respective assets or operations or which adversely materially affects the business practices, operations or condition of the Cybin Entity.</w:t>
      </w:r>
    </w:p>
    <w:p>
      <w:pPr>
        <w:spacing w:after="0" w:line="131" w:lineRule="exact"/>
        <w:rPr>
          <w:rFonts w:ascii="Times New Roman" w:cs="Times New Roman" w:eastAsia="Times New Roman" w:hAnsi="Times New Roman"/>
          <w:sz w:val="22"/>
          <w:szCs w:val="22"/>
          <w:color w:val="auto"/>
        </w:rPr>
      </w:pPr>
    </w:p>
    <w:p>
      <w:pPr>
        <w:jc w:val="both"/>
        <w:ind w:left="-460" w:firstLine="644"/>
        <w:spacing w:after="0" w:line="234" w:lineRule="auto"/>
        <w:tabs>
          <w:tab w:leader="none" w:pos="85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 Capital of the Company</w:t>
      </w:r>
      <w:r>
        <w:rPr>
          <w:rFonts w:ascii="Times New Roman" w:cs="Times New Roman" w:eastAsia="Times New Roman" w:hAnsi="Times New Roman"/>
          <w:sz w:val="22"/>
          <w:szCs w:val="22"/>
          <w:color w:val="auto"/>
        </w:rPr>
        <w:t>. The authorized capital of the Company consists of an unlimited number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Common Shares and preferred shares, of which, as at the date hereof, 27,616,381 Common Shares are issued and outstanding as fully paid and non-assessable shares in the capital of the Company and no preferred shares are outstanding. Except as disclosed in the Transaction Documents, no securities exchangeable or convertible into Shares or preferred shares are issued and outstanding as of the date hereof, other than (i) an aggregate of 4,187,610 options to purchase 4,187,610 Common Shares under the Company’s equity incentive plan, (ii) an aggregate of 600,000 restricted share units entitling the holder to receive up to 600,000 Common Shares under the Company’s equity incentive plan, and (iii) an aggregate of 106,255,498 warrants to purchase 2,796,197 Common Shares. The rights, privileges, restrictions, conditions and other terms attaching to the Common Shares and preferred shares, respectively, conform in all material respects to the description thereof contained in the Transaction Documents.</w:t>
      </w:r>
    </w:p>
    <w:p>
      <w:pPr>
        <w:spacing w:after="0" w:line="1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7" w:name="page18"/>
    <w:bookmarkEnd w:id="17"/>
    <w:p>
      <w:pPr>
        <w:jc w:val="both"/>
        <w:ind w:left="-460" w:firstLine="644"/>
        <w:spacing w:after="0" w:line="246" w:lineRule="auto"/>
        <w:tabs>
          <w:tab w:leader="none" w:pos="86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Audit Committee</w:t>
      </w:r>
      <w:r>
        <w:rPr>
          <w:rFonts w:ascii="Times New Roman" w:cs="Times New Roman" w:eastAsia="Times New Roman" w:hAnsi="Times New Roman"/>
          <w:sz w:val="22"/>
          <w:szCs w:val="22"/>
          <w:color w:val="auto"/>
        </w:rPr>
        <w:t>. The audit committee of the Company is comprised and operates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requirements of National Instrument 52-110 – </w:t>
      </w:r>
      <w:r>
        <w:rPr>
          <w:rFonts w:ascii="Times New Roman" w:cs="Times New Roman" w:eastAsia="Times New Roman" w:hAnsi="Times New Roman"/>
          <w:sz w:val="22"/>
          <w:szCs w:val="22"/>
          <w:i w:val="1"/>
          <w:iCs w:val="1"/>
          <w:color w:val="auto"/>
        </w:rPr>
        <w:t>Audit Committees</w:t>
      </w:r>
      <w:r>
        <w:rPr>
          <w:rFonts w:ascii="Times New Roman" w:cs="Times New Roman" w:eastAsia="Times New Roman" w:hAnsi="Times New Roman"/>
          <w:sz w:val="22"/>
          <w:szCs w:val="22"/>
          <w:color w:val="auto"/>
        </w:rPr>
        <w:t xml:space="preserve"> and the rules of Cboe and NYSE American that are applicable to the Company and Rule 10A-3 under the U.S. Exchange Act.</w:t>
      </w:r>
    </w:p>
    <w:p>
      <w:pPr>
        <w:spacing w:after="0" w:line="127" w:lineRule="exact"/>
        <w:rPr>
          <w:rFonts w:ascii="Times New Roman" w:cs="Times New Roman" w:eastAsia="Times New Roman" w:hAnsi="Times New Roman"/>
          <w:sz w:val="22"/>
          <w:szCs w:val="22"/>
          <w:color w:val="auto"/>
        </w:rPr>
      </w:pPr>
    </w:p>
    <w:p>
      <w:pPr>
        <w:jc w:val="both"/>
        <w:ind w:left="-460" w:firstLine="644"/>
        <w:spacing w:after="0" w:line="241" w:lineRule="auto"/>
        <w:tabs>
          <w:tab w:leader="none" w:pos="85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 Capital of the Subsidiaries</w:t>
      </w:r>
      <w:r>
        <w:rPr>
          <w:rFonts w:ascii="Times New Roman" w:cs="Times New Roman" w:eastAsia="Times New Roman" w:hAnsi="Times New Roman"/>
          <w:sz w:val="22"/>
          <w:szCs w:val="22"/>
          <w:color w:val="auto"/>
        </w:rPr>
        <w:t>. The authorized capital and issued capital of each Subsidiary is set 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Exhibit C. Except as disclosed in the Transaction Documents or the Continuous Disclosure Materials, there are no outstanding rights, warrants, options, convertible debt or any other securities or rights capable of being converted into, or exchanged or exercised for, any securities or any Subsidiary.</w:t>
      </w:r>
    </w:p>
    <w:p>
      <w:pPr>
        <w:spacing w:after="0" w:line="144" w:lineRule="exact"/>
        <w:rPr>
          <w:rFonts w:ascii="Times New Roman" w:cs="Times New Roman" w:eastAsia="Times New Roman" w:hAnsi="Times New Roman"/>
          <w:sz w:val="22"/>
          <w:szCs w:val="22"/>
          <w:color w:val="auto"/>
        </w:rPr>
      </w:pPr>
    </w:p>
    <w:p>
      <w:pPr>
        <w:jc w:val="both"/>
        <w:ind w:left="-460" w:firstLine="644"/>
        <w:spacing w:after="0" w:line="237" w:lineRule="auto"/>
        <w:tabs>
          <w:tab w:leader="none" w:pos="85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Qualified Investments</w:t>
      </w:r>
      <w:r>
        <w:rPr>
          <w:rFonts w:ascii="Times New Roman" w:cs="Times New Roman" w:eastAsia="Times New Roman" w:hAnsi="Times New Roman"/>
          <w:sz w:val="22"/>
          <w:szCs w:val="22"/>
          <w:color w:val="auto"/>
        </w:rPr>
        <w:t>. Provided that the Common Shares continue to be listed and posted for trading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"designated stock exchange" as defined in the Tax Act (which currently includes the Exchanges), and assuming no change in the relevant provisions of the Tax Act from the date hereof, the Shares when issued will be qualified investments under the Tax Act for trusts governed by registered retirement savings plans, registered retirement income funds, registered education savings plans, deferred profit sharing plans, registered disability savings plans, tax-free savings accounts and "first home savings accounts".</w:t>
      </w:r>
    </w:p>
    <w:p>
      <w:pPr>
        <w:spacing w:after="0" w:line="134" w:lineRule="exact"/>
        <w:rPr>
          <w:rFonts w:ascii="Times New Roman" w:cs="Times New Roman" w:eastAsia="Times New Roman" w:hAnsi="Times New Roman"/>
          <w:sz w:val="22"/>
          <w:szCs w:val="22"/>
          <w:color w:val="auto"/>
        </w:rPr>
      </w:pPr>
    </w:p>
    <w:p>
      <w:pPr>
        <w:jc w:val="both"/>
        <w:ind w:left="-460" w:firstLine="644"/>
        <w:spacing w:after="0" w:line="246" w:lineRule="auto"/>
        <w:tabs>
          <w:tab w:leader="none" w:pos="85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Registrar and Transfer Agent</w:t>
      </w:r>
      <w:r>
        <w:rPr>
          <w:rFonts w:ascii="Times New Roman" w:cs="Times New Roman" w:eastAsia="Times New Roman" w:hAnsi="Times New Roman"/>
          <w:sz w:val="22"/>
          <w:szCs w:val="22"/>
          <w:color w:val="auto"/>
        </w:rPr>
        <w:t>. Odyssey Trust Company at its principal office in Calgary, Alberta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duly appointed as the registrar and transfer agent for the Common Shares and Odyssey Trust Company has been duly appointed as the United States registrar and transfer agent for the Common Shares.</w:t>
      </w:r>
    </w:p>
    <w:p>
      <w:pPr>
        <w:spacing w:after="0" w:line="127" w:lineRule="exact"/>
        <w:rPr>
          <w:sz w:val="20"/>
          <w:szCs w:val="20"/>
          <w:color w:val="auto"/>
        </w:rPr>
      </w:pPr>
    </w:p>
    <w:p>
      <w:pPr>
        <w:jc w:val="both"/>
        <w:ind w:left="-460" w:firstLine="644"/>
        <w:spacing w:after="0" w:line="233" w:lineRule="auto"/>
        <w:tabs>
          <w:tab w:leader="none" w:pos="87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Title to Assets</w:t>
      </w:r>
      <w:r>
        <w:rPr>
          <w:rFonts w:ascii="Times New Roman" w:cs="Times New Roman" w:eastAsia="Times New Roman" w:hAnsi="Times New Roman"/>
          <w:sz w:val="22"/>
          <w:szCs w:val="22"/>
          <w:color w:val="auto"/>
        </w:rPr>
        <w:t>. Other than the Leased Premises, each Cybin Entity has good and marketable title in fee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simple (in the case of real property) to, or has valid rights to lease or otherwise use, or is the absolute legal and beneficial owner of all of its material assets, and no other property or assets are necessary for the conduct of its Business as currently conducted. Any and all of the agreements and other documents and instruments pursuant to which each Cybin Entity (and to the Company's knowledge in respect of Cybin UK Ltd) holds its assets (including any 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 are situated, and all material leases, licenses and other agreements pursuant to which the Cybin Entities derive the interests thereof in such property are in good standing in all material respects. The Company does not know of any claim or the basis for any claim that might or could materially and adversely affect the right of the Cybin Entities to use, transfer or otherwise exploit their respective assets, none of the properties (or any interest in, or right to earn an interest in, any property) of the Cybin Entity is subject to any right of first refusal or purchase or acquisition right, and, no Cybin Entity has a responsibility or obligation to pay any commission, royalty, license fee or similar payment to any person with respect to the property and assets thereof.</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8" w:name="page19"/>
    <w:bookmarkEnd w:id="18"/>
    <w:p>
      <w:pPr>
        <w:jc w:val="both"/>
        <w:ind w:left="-460" w:firstLine="644"/>
        <w:spacing w:after="0" w:line="241" w:lineRule="auto"/>
        <w:tabs>
          <w:tab w:leader="none" w:pos="8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Absence of Counterparty Default</w:t>
      </w:r>
      <w:r>
        <w:rPr>
          <w:rFonts w:ascii="Times New Roman" w:cs="Times New Roman" w:eastAsia="Times New Roman" w:hAnsi="Times New Roman"/>
          <w:sz w:val="22"/>
          <w:szCs w:val="22"/>
          <w:color w:val="auto"/>
        </w:rPr>
        <w:t>. To the knowledge of the Company, no counterparty to any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agreement, covenant or condition contained in any material contract, indenture, trust deed, mortgage, loan agreement, note, lease or other agreement or instrument to which any Cybin Entity is a party is in default in the performance or observance thereof.</w:t>
      </w:r>
    </w:p>
    <w:p>
      <w:pPr>
        <w:spacing w:after="0" w:line="131" w:lineRule="exact"/>
        <w:rPr>
          <w:rFonts w:ascii="Times New Roman" w:cs="Times New Roman" w:eastAsia="Times New Roman" w:hAnsi="Times New Roman"/>
          <w:sz w:val="22"/>
          <w:szCs w:val="22"/>
          <w:color w:val="auto"/>
        </w:rPr>
      </w:pPr>
    </w:p>
    <w:p>
      <w:pPr>
        <w:jc w:val="both"/>
        <w:ind w:left="-460" w:firstLine="644"/>
        <w:spacing w:after="0" w:line="233" w:lineRule="auto"/>
        <w:tabs>
          <w:tab w:leader="none" w:pos="86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Financial Information</w:t>
      </w:r>
      <w:r>
        <w:rPr>
          <w:rFonts w:ascii="Times New Roman" w:cs="Times New Roman" w:eastAsia="Times New Roman" w:hAnsi="Times New Roman"/>
          <w:sz w:val="22"/>
          <w:szCs w:val="22"/>
          <w:color w:val="auto"/>
        </w:rPr>
        <w:t>. The audited consolidated financial statements of the Company for the fiscal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ended March 31, 2025 and 2024, together with the auditor's report thereon and the unaudited condensed interim consolidated financial statements of the Company for the three months ended June 30, 2025, each filed with the SEC and the Securities Commissions, together with the related notes and schedules (together, the "</w:t>
      </w:r>
      <w:r>
        <w:rPr>
          <w:rFonts w:ascii="Times New Roman" w:cs="Times New Roman" w:eastAsia="Times New Roman" w:hAnsi="Times New Roman"/>
          <w:sz w:val="22"/>
          <w:szCs w:val="22"/>
          <w:b w:val="1"/>
          <w:bCs w:val="1"/>
          <w:i w:val="1"/>
          <w:iCs w:val="1"/>
          <w:color w:val="auto"/>
        </w:rPr>
        <w:t>Financial Statements</w:t>
      </w:r>
      <w:r>
        <w:rPr>
          <w:rFonts w:ascii="Times New Roman" w:cs="Times New Roman" w:eastAsia="Times New Roman" w:hAnsi="Times New Roman"/>
          <w:sz w:val="22"/>
          <w:szCs w:val="22"/>
          <w:color w:val="auto"/>
        </w:rPr>
        <w:t>"), (i) present fairly, in all material respects, the financial position of the Company and the Subsidiaries on a consolidated basis and the statements of operations, retained earnings, cash flow from operations and changes in financial information of the Company on a consolidated basis for the periods specified in such Financial Statements and the consolidated statements of comprehensive income, shareholders' equity and cash flows of the Company for the periods specified, (ii) have been prepared in accordance with International Financial Reporting Standards as issued by the International Accounting Standards Board ("</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applied on a consistent basis during the periods involved and do not contain any misrepresentations with respect to the period covered by the Financial Statements. Since the date of the most recent audited financial statements included in the Continuous Disclosure Materials, no material adverse change in the business, assets, financial position, results of operations, or prospects of the Company and the Subsidiaries, taken as a whole, has occurred, except as otherwise disclosed by the Company.</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37" w:lineRule="auto"/>
        <w:tabs>
          <w:tab w:leader="none" w:pos="8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Financial Data</w:t>
      </w:r>
      <w:r>
        <w:rPr>
          <w:rFonts w:ascii="Times New Roman" w:cs="Times New Roman" w:eastAsia="Times New Roman" w:hAnsi="Times New Roman"/>
          <w:sz w:val="22"/>
          <w:szCs w:val="22"/>
          <w:color w:val="auto"/>
        </w:rPr>
        <w:t>. The other financial and statistical data with respect to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contained or incorporated by reference in the Transaction Documents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Transaction Documents that are not included or incorporated by reference as required; and no other Financial Statements are required to be set forth or to be incorporated by reference in the Transaction Documents.</w:t>
      </w:r>
    </w:p>
    <w:p>
      <w:pPr>
        <w:spacing w:after="0" w:line="134" w:lineRule="exact"/>
        <w:rPr>
          <w:rFonts w:ascii="Times New Roman" w:cs="Times New Roman" w:eastAsia="Times New Roman" w:hAnsi="Times New Roman"/>
          <w:sz w:val="22"/>
          <w:szCs w:val="22"/>
          <w:color w:val="auto"/>
        </w:rPr>
      </w:pPr>
    </w:p>
    <w:p>
      <w:pPr>
        <w:jc w:val="both"/>
        <w:ind w:left="-460" w:firstLine="644"/>
        <w:spacing w:after="0" w:line="233" w:lineRule="auto"/>
        <w:tabs>
          <w:tab w:leader="none" w:pos="86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Accounting Controls</w:t>
      </w:r>
      <w:r>
        <w:rPr>
          <w:rFonts w:ascii="Times New Roman" w:cs="Times New Roman" w:eastAsia="Times New Roman" w:hAnsi="Times New Roman"/>
          <w:sz w:val="22"/>
          <w:szCs w:val="22"/>
          <w:color w:val="auto"/>
        </w:rPr>
        <w:t>. Each Cybin Entity maintains a system of internal accounting controls sufficient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 (iv) the recorded accountability for assets is compared with the existing assets at reasonable intervals and appropriate action is taken with respect to any differences. The Company and each of the Subsidiaries maintains a system of internal control over financial reporting (as such term is defined in Rule 13a-15(f) under the U.S. Exchange Act and Canadian Securities Laws) that complies in all material respects with the applicable requirements of the U.S. Exchange Act and Canadian Securities Laws. The Company maintains disclosure controls and procedures (as such term is defined in Rule 13a-15(e) under the U.S. Exchange Act and Canadian Securities Laws) that comply in all material respects with the applicable requirements of the U.S. Exchange Act and Canadian Securities Laws and such disclosure controls and procedures were effective as of March 31, 2025.</w:t>
      </w:r>
    </w:p>
    <w:p>
      <w:pPr>
        <w:spacing w:after="0" w:line="1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9" w:name="page20"/>
    <w:bookmarkEnd w:id="19"/>
    <w:p>
      <w:pPr>
        <w:jc w:val="both"/>
        <w:ind w:left="-460" w:firstLine="644"/>
        <w:spacing w:after="0" w:line="238" w:lineRule="auto"/>
        <w:tabs>
          <w:tab w:leader="none" w:pos="8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Auditors</w:t>
      </w:r>
      <w:r>
        <w:rPr>
          <w:rFonts w:ascii="Times New Roman" w:cs="Times New Roman" w:eastAsia="Times New Roman" w:hAnsi="Times New Roman"/>
          <w:sz w:val="22"/>
          <w:szCs w:val="22"/>
          <w:color w:val="auto"/>
        </w:rPr>
        <w:t>. The Company’s Auditors are independent public, certified public or chartered accountants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the U.S. Securities Act, the U.S. Exchange Act and applicable Canadian Securities Laws. There has not been any “reportable event” (as that term is defined in NI 51-102) with the Company’s Auditors, except as disclosed in the Continuous Disclosure Materials. To the Company’s knowledge, the Company’s Auditors are not in violation of the auditor independence requirements of the Sarbanes-Oxley Act of 2002.</w:t>
      </w:r>
    </w:p>
    <w:p>
      <w:pPr>
        <w:spacing w:after="0" w:line="136" w:lineRule="exact"/>
        <w:rPr>
          <w:rFonts w:ascii="Times New Roman" w:cs="Times New Roman" w:eastAsia="Times New Roman" w:hAnsi="Times New Roman"/>
          <w:sz w:val="22"/>
          <w:szCs w:val="22"/>
          <w:color w:val="auto"/>
        </w:rPr>
      </w:pPr>
    </w:p>
    <w:p>
      <w:pPr>
        <w:jc w:val="both"/>
        <w:ind w:left="-460" w:firstLine="644"/>
        <w:spacing w:after="0" w:line="246" w:lineRule="auto"/>
        <w:tabs>
          <w:tab w:leader="none" w:pos="8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Off-Balance Sheet Arrangements and Liabilities</w:t>
      </w:r>
      <w:r>
        <w:rPr>
          <w:rFonts w:ascii="Times New Roman" w:cs="Times New Roman" w:eastAsia="Times New Roman" w:hAnsi="Times New Roman"/>
          <w:sz w:val="22"/>
          <w:szCs w:val="22"/>
          <w:color w:val="auto"/>
        </w:rPr>
        <w:t>. There are no material off balance sheet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arrangements, obligations or liabilities of the Company or its Subsidiaries whether direct, indirect, absolute, contingent or otherwise.</w:t>
      </w:r>
    </w:p>
    <w:p>
      <w:pPr>
        <w:spacing w:after="0" w:line="140" w:lineRule="exact"/>
        <w:rPr>
          <w:rFonts w:ascii="Times New Roman" w:cs="Times New Roman" w:eastAsia="Times New Roman" w:hAnsi="Times New Roman"/>
          <w:sz w:val="22"/>
          <w:szCs w:val="22"/>
          <w:color w:val="auto"/>
        </w:rPr>
      </w:pPr>
    </w:p>
    <w:p>
      <w:pPr>
        <w:jc w:val="both"/>
        <w:ind w:left="-460" w:firstLine="644"/>
        <w:spacing w:after="0" w:line="233" w:lineRule="auto"/>
        <w:tabs>
          <w:tab w:leader="none" w:pos="8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All taxes (including income tax, capital tax, payroll taxes, employer health tax, workers'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payments, property taxes, custom and land transfer taxes), duties, royalties, levies, imposts, assessments, deductions, charges or withholdings and all liabilities with respect thereto including any penalty and interest payable with respect thereto (collectively, the "</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due and payable by the Company and the Subsidiaries have been paid, except where the failure to pay Taxes would not have a Material Adverse Effect. The Company and each of the Subsidiaries have filed all federal, state, provincial, local and foreign Tax returns, declarations, remittances and filings which are required to be filed, and all such Tax returns, declarations, remittances and filings are correct and complete in all material respects and no material fact or facts have been omitted therefrom which would make any of them misleading, and paid all taxes shown thereon through the date hereof, to the extent that such taxes have become due and are not being contested in good faith, except where the failure to so file or pay would have a Material Adverse Effect. Except as otherwise disclosed in the Continuous Disclosure Materials, (i) no examination of any Tax return of the Company or any Subsidiary is currently in progress, and (ii) there are no issues, disputes outstanding with any Governmental Authority respecting any Taxes that have been paid, or may be payable, by the Company or any Subsidiary in any case, except where such examinations, issues or disputes would not have a Material Adverse Effect.</w:t>
      </w:r>
    </w:p>
    <w:p>
      <w:pPr>
        <w:spacing w:after="0" w:line="139" w:lineRule="exact"/>
        <w:rPr>
          <w:rFonts w:ascii="Times New Roman" w:cs="Times New Roman" w:eastAsia="Times New Roman" w:hAnsi="Times New Roman"/>
          <w:sz w:val="22"/>
          <w:szCs w:val="22"/>
          <w:color w:val="auto"/>
        </w:rPr>
      </w:pPr>
    </w:p>
    <w:p>
      <w:pPr>
        <w:ind w:left="860" w:hanging="676"/>
        <w:spacing w:after="0"/>
        <w:tabs>
          <w:tab w:leader="none" w:pos="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Issuance of the Securities; Qualification; Registration</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180" w:firstLine="4"/>
        <w:spacing w:after="0" w:line="243" w:lineRule="auto"/>
        <w:tabs>
          <w:tab w:leader="none" w:pos="537"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Shares are duly authorized and, when issued and paid for in accordance with this Agreement, will be duly and validly issued, fully paid and nonassessable, free and clear of all Liens imposed by the Company other than restrictions on transfer provided for in the Transaction Documents and shall not be subject to preemptive or similar rights of shareholders. The Pre-funded Warrants and Warrants when paid for and issued in accordance with this Agreement, will constitute valid and binding obligations of the Company, enforceable against the Company in accordance with their respective terms, except as such enforceability may be limited by bankruptcy, insolvency, reorganization or similar laws affecting the rights of creditors generally and subject to general principles of equity. The Pre-funded Warrant Shares and Warrant Shares, when issued in accordance with the terms of the Pre-funded Warrants and Warrants, will be validly issued, fully paid and nonassessable, free and clear of all Liens imposed by the Company other than restrictions on transfer provided for in the Transaction Documents and shall not be subject to preemptive or similar rights of shareholders. The Company has and will, at all times while any Warrants and/or Pre-funded Warrants are outstanding, reserve and keep available out of its authorized but unissued and otherwise unreserved common shares, solely for the purpose of enabling it to issue Warrant Shares upon exercise of such Pre-funded Warrants, the maximum number of Common Shares issuable pursuant to this Agreement, the Pre-funded Warrants and the Warrants. The Pre-funded Warrant Shares and Warrant Shares, upon issuance and when paid for, shall be duly issued as fully paid and non-assessable Common Shares and shall have the attributes corresponding to the description thereof set forth in each of the Prospectuses. The Common Shares are registered pursuant to Section 12(b) of the Exchange Act, and the Company has taken no action designed to, or which to its knowledge is likely to have the effect of, terminating the registration of the Common Shares under the Exchange Act. The Company has not received any notice from the Commission that it is contemplating terminating such registration. The Company is in compliance with the applicable continued listing requirements of each Trading Market on which the Common Shares are currently listed or quoted and has not, in the twelve (12) months preceding the date hereof, received notice from any Trading Market on which the Common Shares are or has been listed or quoted to the effect that the Company is not in compliance with the listing or maintenance requirements of such Trading Market. The Company is in compliance with all such listing and maintenance requirements. The Common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ectPr>
          <w:pgSz w:w="11900" w:h="16838" w:orient="portrait"/>
          <w:cols w:equalWidth="0" w:num="1">
            <w:col w:w="10120"/>
          </w:cols>
          <w:pgMar w:left="1440" w:top="108" w:right="339" w:bottom="1440" w:gutter="0" w:footer="0" w:header="0"/>
        </w:sectPr>
      </w:pPr>
    </w:p>
    <w:p>
      <w:pPr>
        <w:spacing w:after="0" w:line="1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type w:val="continuous"/>
        </w:sectPr>
      </w:pPr>
    </w:p>
    <w:bookmarkStart w:id="20" w:name="page21"/>
    <w:bookmarkEnd w:id="20"/>
    <w:p>
      <w:pPr>
        <w:jc w:val="both"/>
        <w:ind w:left="180" w:firstLine="4"/>
        <w:spacing w:after="0" w:line="243" w:lineRule="auto"/>
        <w:tabs>
          <w:tab w:leader="none" w:pos="531"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is qualified to file a short form prospectus pursuant to the Shelf Procedures (as defined below) and has prepared and filed a short form base shelf prospectus dated September 17, 2025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Canadian Base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Shelf Prospectus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providing for the offer and sale, from time to time, of the Company's securities with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Ontario Securities Commission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Reviewing Authority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and the Canadian securities regulatory authorities in each of the other Canadian Jurisdictions (collectively, with the Reviewing Authority,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Canadian Qualifying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Authorities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and the Reviewing Authority has issued a receipt under National Policy 11-202 - Process for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Prospectus Reviews in Multiple Jurisdictions (a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Decision Document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for the Canadian Base Shelf Prospectus, which receipt evidences the receipt of the Ontario Securities Commission and is deemed to also be a receipt of the other Canadian Qualifying Authorities.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Canadian Base Prospectus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means the Canadian Base Shelf Prospectus, including all documents incorporated therein by reference, at the time the Reviewing Authority issued a Decision Document with respect thereto in accordance with Canadian Securities Laws, including National Instrument 44-101 - </w:t>
      </w:r>
      <w:r>
        <w:rPr>
          <w:rFonts w:ascii="Times New Roman" w:cs="Times New Roman" w:eastAsia="Times New Roman" w:hAnsi="Times New Roman"/>
          <w:sz w:val="21"/>
          <w:szCs w:val="21"/>
          <w:i w:val="1"/>
          <w:iCs w:val="1"/>
          <w:color w:val="auto"/>
        </w:rPr>
        <w:t>Short Form Prospectus Distributions ("</w:t>
      </w:r>
      <w:r>
        <w:rPr>
          <w:rFonts w:ascii="Times New Roman" w:cs="Times New Roman" w:eastAsia="Times New Roman" w:hAnsi="Times New Roman"/>
          <w:sz w:val="21"/>
          <w:szCs w:val="21"/>
          <w:b w:val="1"/>
          <w:bCs w:val="1"/>
          <w:i w:val="1"/>
          <w:iCs w:val="1"/>
          <w:color w:val="auto"/>
        </w:rPr>
        <w:t>NI 44-101</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and National Instrument 44-102- </w:t>
      </w:r>
      <w:r>
        <w:rPr>
          <w:rFonts w:ascii="Times New Roman" w:cs="Times New Roman" w:eastAsia="Times New Roman" w:hAnsi="Times New Roman"/>
          <w:sz w:val="21"/>
          <w:szCs w:val="21"/>
          <w:i w:val="1"/>
          <w:iCs w:val="1"/>
          <w:color w:val="auto"/>
        </w:rPr>
        <w:t>Shelf Distributions</w:t>
      </w:r>
      <w:r>
        <w:rPr>
          <w:rFonts w:ascii="Times New Roman" w:cs="Times New Roman" w:eastAsia="Times New Roman" w:hAnsi="Times New Roman"/>
          <w:sz w:val="21"/>
          <w:szCs w:val="21"/>
          <w:color w:val="auto"/>
        </w:rPr>
        <w:t xml:space="preserve"> (together,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Shelf Procedures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term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Canadian Prospectus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means the final prospectus supplement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Canadian Prospectus Supplement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relating to the Securities and filed with the Canadian Qualifying Authorities,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except Quebec, in accordance with the Shelf Procedures, together with the Canadian Base Prospectus, including all documents incorporated or deemed to be incorporated therein by reference. No order suspending the distribution of the Securities or any other securities of the Company has been issued by any of the Canadian Qualifying Authorities and no Proceedings for that purpose have been instituted or are pending or, to the knowledge of the Company, are contemplated by the Canadian Qualifying Authorities, and any request on the part of the Canadian Qualifying Authorities for additional information has been complied with. All references in this Agreement to the Canadian Base Shelf Prospectus and the Canadian Prospectus Supplement, or any amendments or supplements to any of the foregoing, shall be deemed to be the copy thereof filed with the Canadian Qualifying Authorities and available on the System for Electronic Document Analysis and Retrieval.</w:t>
      </w:r>
    </w:p>
    <w:p>
      <w:pPr>
        <w:spacing w:after="0" w:line="141" w:lineRule="exact"/>
        <w:rPr>
          <w:rFonts w:ascii="Times New Roman" w:cs="Times New Roman" w:eastAsia="Times New Roman" w:hAnsi="Times New Roman"/>
          <w:sz w:val="21"/>
          <w:szCs w:val="21"/>
          <w:color w:val="auto"/>
        </w:rPr>
      </w:pPr>
    </w:p>
    <w:p>
      <w:pPr>
        <w:jc w:val="both"/>
        <w:ind w:left="180" w:firstLine="4"/>
        <w:spacing w:after="0" w:line="232" w:lineRule="auto"/>
        <w:tabs>
          <w:tab w:leader="none" w:pos="5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meets the general eligibility requirements for the use of Form F-10 under the U.S. Securities Act and has prepared and filed with the SEC a registration statement under the U.S. Securities Act and the rules and regulations of the SEC (the “</w:t>
      </w:r>
      <w:r>
        <w:rPr>
          <w:rFonts w:ascii="Times New Roman" w:cs="Times New Roman" w:eastAsia="Times New Roman" w:hAnsi="Times New Roman"/>
          <w:sz w:val="22"/>
          <w:szCs w:val="22"/>
          <w:b w:val="1"/>
          <w:bCs w:val="1"/>
          <w:i w:val="1"/>
          <w:iCs w:val="1"/>
          <w:color w:val="auto"/>
        </w:rPr>
        <w:t>Rules and Regulations</w:t>
      </w:r>
      <w:r>
        <w:rPr>
          <w:rFonts w:ascii="Times New Roman" w:cs="Times New Roman" w:eastAsia="Times New Roman" w:hAnsi="Times New Roman"/>
          <w:sz w:val="22"/>
          <w:szCs w:val="22"/>
          <w:color w:val="auto"/>
        </w:rPr>
        <w:t>”) on Form F-10 (File No. 333-289139) on July 31, 2025 as amended on September 17, 2025, providing for the offer and sale, from time to time, of the Company’s securities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The Registration Statement, which includes the Canadian Base Shelf Prospectus (with such deletions therefrom and additions thereto as are permitted or required by Form F-10 and the applicable Rules and Regulations), including exhibits to such Registration Statement and all documents incorporated by reference therein, became automatically effective pursuant to Rule 467(a) under the U.S. Securities Act on September 17, 2025. In connection with the filing of the Registration Statement, the Company has filed with the SEC, on July 31, 2025, an appointment of agent for service of process upon the Company on Form F-X under the U.S. Securities Act. The prospectus included in the Registration Statement at the time it became effective, including documents incorporated therein by reference, is referred to herein as the “</w:t>
      </w:r>
      <w:r>
        <w:rPr>
          <w:rFonts w:ascii="Times New Roman" w:cs="Times New Roman" w:eastAsia="Times New Roman" w:hAnsi="Times New Roman"/>
          <w:sz w:val="22"/>
          <w:szCs w:val="22"/>
          <w:b w:val="1"/>
          <w:bCs w:val="1"/>
          <w:i w:val="1"/>
          <w:iCs w:val="1"/>
          <w:color w:val="auto"/>
        </w:rPr>
        <w:t>U.S. 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i w:val="1"/>
          <w:iCs w:val="1"/>
          <w:color w:val="auto"/>
        </w:rPr>
        <w:t>U.S. Prospectus</w:t>
      </w:r>
      <w:r>
        <w:rPr>
          <w:rFonts w:ascii="Times New Roman" w:cs="Times New Roman" w:eastAsia="Times New Roman" w:hAnsi="Times New Roman"/>
          <w:sz w:val="22"/>
          <w:szCs w:val="22"/>
          <w:color w:val="auto"/>
        </w:rPr>
        <w:t>” means the prospectus supplement (the “</w:t>
      </w:r>
      <w:r>
        <w:rPr>
          <w:rFonts w:ascii="Times New Roman" w:cs="Times New Roman" w:eastAsia="Times New Roman" w:hAnsi="Times New Roman"/>
          <w:sz w:val="22"/>
          <w:szCs w:val="22"/>
          <w:b w:val="1"/>
          <w:bCs w:val="1"/>
          <w:i w:val="1"/>
          <w:iCs w:val="1"/>
          <w:color w:val="auto"/>
        </w:rPr>
        <w:t>U.S. Prospectus Supplement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relating to the Securities, which includes the pricing information, to be filed with the SEC pursuant to General Instruction II.L of Form F-10, together with the U.S. Base Prospectus, including all documents incorporated therein by reference. No stop order suspending the effectiveness of the Registration Statement has been issued under the U.S. Securities Act and no Proceedings for that purpose have been instituted or are pending or, to the knowledge of the Company, are contemplated by the SEC and any request on the part of the SEC for additional information has been complied with. As used herein, “</w:t>
      </w:r>
      <w:r>
        <w:rPr>
          <w:rFonts w:ascii="Times New Roman" w:cs="Times New Roman" w:eastAsia="Times New Roman" w:hAnsi="Times New Roman"/>
          <w:sz w:val="22"/>
          <w:szCs w:val="22"/>
          <w:b w:val="1"/>
          <w:bCs w:val="1"/>
          <w:i w:val="1"/>
          <w:iCs w:val="1"/>
          <w:color w:val="auto"/>
        </w:rPr>
        <w:t>Prospectuses</w:t>
      </w:r>
      <w:r>
        <w:rPr>
          <w:rFonts w:ascii="Times New Roman" w:cs="Times New Roman" w:eastAsia="Times New Roman" w:hAnsi="Times New Roman"/>
          <w:sz w:val="22"/>
          <w:szCs w:val="22"/>
          <w:color w:val="auto"/>
        </w:rPr>
        <w:t>” shall mean, collectively, the Canadian Prospectus and the U.S. Prospectus. The Company was not an “ineligible issuer” (as defined in Rule 405 under the U.S. Securities Act) as of the eligibility determination date for purposes of Rules 164 and 433 under the U.S. Securities Act with respect to the Offering contemplated hereby. All references in this Agreement to the Registration Statement, the U.S. Base Prospectus or the U.S. Prospectus, or any amendments or supplements to any of the foregoing, shall be deemed to include any copy thereof filed with the SEC pursuant to its Electronic Data Gathering, Analysis and Retrieval System.</w:t>
      </w:r>
    </w:p>
    <w:p>
      <w:pPr>
        <w:spacing w:after="0" w:line="1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1" w:name="page22"/>
    <w:bookmarkEnd w:id="21"/>
    <w:p>
      <w:pPr>
        <w:jc w:val="both"/>
        <w:ind w:left="180" w:firstLine="4"/>
        <w:spacing w:after="0" w:line="235" w:lineRule="auto"/>
        <w:tabs>
          <w:tab w:leader="none" w:pos="53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Canadian Base Prospectus did, and the Canadian Prospectus (and any further amendments or supplements thereto) will, comply in all material respects with the applicable requirements of Canadian Securities Laws; the Canadian Prospectus (and any further amendments or supplements thereto) will not, as of the time of filing thereof and through the Closing Date include any untrue statement of a material fact or omit to state a material fact that is required to be stated or necessary in order to make the statements therein, in light of the circumstances under which they were made, not misleading, and the Canadian Prospectus (and any further amendments or supplements thereto) will, as of the time of filing thereof and through the Closing Date, constitute, full, true and plain disclosure of all material facts relating to the Securities and to the Company.</w:t>
      </w:r>
    </w:p>
    <w:p>
      <w:pPr>
        <w:spacing w:after="0" w:line="138" w:lineRule="exact"/>
        <w:rPr>
          <w:rFonts w:ascii="Times New Roman" w:cs="Times New Roman" w:eastAsia="Times New Roman" w:hAnsi="Times New Roman"/>
          <w:sz w:val="22"/>
          <w:szCs w:val="22"/>
          <w:color w:val="auto"/>
        </w:rPr>
      </w:pPr>
    </w:p>
    <w:p>
      <w:pPr>
        <w:jc w:val="both"/>
        <w:ind w:left="180" w:firstLine="4"/>
        <w:spacing w:after="0" w:line="246" w:lineRule="auto"/>
        <w:tabs>
          <w:tab w:leader="none" w:pos="53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Prospectus conformed and will conform to the Canadian Prospectus, in each case except for such deletions therefrom and additions thereto as are permitted or required by Form F-10 and the applicable Rules and Regulations. The Registration Statement complies, and the U.S. Prospectus and any further amendments or supplements to the Registration Statement or the U.S. Prospectus will comply in all material respects with the applicable provisions of the U.S. Securities Act and the Rules and Regulations, and do not and will not, as of the applicable effective date as to each part of the Registration Statement and as of the applicable filing date as to the U.S. Prospectus and any amendment thereof or supplement thereto, contain an untrue statement of a material fact or omit to state a material fact required to be stated therein or necessary in order to make the statements therein (in light of the circumstances under which they were made, in the case of the U.S. Prospectus) not misleading.</w:t>
      </w:r>
    </w:p>
    <w:p>
      <w:pPr>
        <w:spacing w:after="0" w:line="148" w:lineRule="exact"/>
        <w:rPr>
          <w:rFonts w:ascii="Times New Roman" w:cs="Times New Roman" w:eastAsia="Times New Roman" w:hAnsi="Times New Roman"/>
          <w:sz w:val="21"/>
          <w:szCs w:val="21"/>
          <w:color w:val="auto"/>
        </w:rPr>
      </w:pPr>
    </w:p>
    <w:p>
      <w:pPr>
        <w:jc w:val="both"/>
        <w:ind w:left="180" w:firstLine="4"/>
        <w:spacing w:after="0" w:line="235" w:lineRule="auto"/>
        <w:tabs>
          <w:tab w:leader="none" w:pos="50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Issuer Free Writing Prospectus complies in all material respects with the U.S. Securities Act, has been or will be (within the time period specified in Rule 433) filed in accordance with the U.S. Securities Act (to the extent required thereby) and does not conflict with the information contained in the Registration Statement or the U.S. Prospectus and, when taken together with all other Issuer Free Writing Prospectuses did not, and as of the Closing Date will not, contain any untrue statement of a material fact or omit to state a material fact necessary in order to make the statements therein, in the light of the circumstances under which they were made, not misleading.</w:t>
      </w:r>
    </w:p>
    <w:p>
      <w:pPr>
        <w:spacing w:after="0" w:line="1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2" w:name="page23"/>
    <w:bookmarkEnd w:id="22"/>
    <w:p>
      <w:pPr>
        <w:ind w:left="540" w:hanging="356"/>
        <w:spacing w:after="0"/>
        <w:tabs>
          <w:tab w:leader="none" w:pos="5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order preventing or suspending the use of the U.S. Base Prospectus has been issued by the SEC.</w:t>
      </w:r>
    </w:p>
    <w:p>
      <w:pPr>
        <w:spacing w:after="0" w:line="166" w:lineRule="exact"/>
        <w:rPr>
          <w:rFonts w:ascii="Times New Roman" w:cs="Times New Roman" w:eastAsia="Times New Roman" w:hAnsi="Times New Roman"/>
          <w:sz w:val="22"/>
          <w:szCs w:val="22"/>
          <w:color w:val="auto"/>
        </w:rPr>
      </w:pPr>
    </w:p>
    <w:p>
      <w:pPr>
        <w:jc w:val="both"/>
        <w:ind w:left="180" w:firstLine="4"/>
        <w:spacing w:after="0" w:line="236" w:lineRule="auto"/>
        <w:tabs>
          <w:tab w:leader="none" w:pos="54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document filed or to be filed with the Canadian Qualifying Authorities and incorporated, or deemed to be incorporated, by reference in the Canadian Prospectus complied, or will comply, when so filed in all material respects with the requirements of Canadian Securities Laws, and none of such documents contained, or will contain, at the time of its filing any untrue statement of a material fact or omitted or will omit at the time of its filing to state a material fact required to be stated therein or necessary to make the statements therein, in light of the circumstances under which they were or are made, not misleading.</w:t>
      </w:r>
    </w:p>
    <w:p>
      <w:pPr>
        <w:spacing w:after="0" w:line="150" w:lineRule="exact"/>
        <w:rPr>
          <w:sz w:val="20"/>
          <w:szCs w:val="20"/>
          <w:color w:val="auto"/>
        </w:rPr>
      </w:pPr>
    </w:p>
    <w:p>
      <w:pPr>
        <w:jc w:val="both"/>
        <w:ind w:left="-460" w:right="20" w:firstLine="644"/>
        <w:spacing w:after="0" w:line="246" w:lineRule="auto"/>
        <w:tabs>
          <w:tab w:leader="none" w:pos="85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 Neither the Company nor any of the Subsidiaries is or, after giving effect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Offering and sale of the Securities will be required to register as an "investment company" or an entity "controlled" by an "investment company," as such terms are defined in the Investment Company Act of 1940, as amended.</w:t>
      </w:r>
    </w:p>
    <w:p>
      <w:pPr>
        <w:spacing w:after="0" w:line="126"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6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Company is not a "Controlled Foreign Corporation</w:t>
      </w:r>
      <w:r>
        <w:rPr>
          <w:rFonts w:ascii="Times New Roman" w:cs="Times New Roman" w:eastAsia="Times New Roman" w:hAnsi="Times New Roman"/>
          <w:sz w:val="21"/>
          <w:szCs w:val="21"/>
          <w:color w:val="auto"/>
        </w:rPr>
        <w:t>". To the Company's knowledge, based solely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record ownership of shares, and without regard to the beneficial ownership of shares held in street name and any indirect or constructive ownership by U.S. persons pursuant to Section 958 of the U.S.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not actually disclosed to the Company, the Company is not a "controlled foreign corporation," as such term is defined in the Code, and does not expect to become a controlled foreign corporation in the foreseeable future.</w:t>
      </w:r>
    </w:p>
    <w:p>
      <w:pPr>
        <w:spacing w:after="0" w:line="122" w:lineRule="exact"/>
        <w:rPr>
          <w:rFonts w:ascii="Times New Roman" w:cs="Times New Roman" w:eastAsia="Times New Roman" w:hAnsi="Times New Roman"/>
          <w:sz w:val="21"/>
          <w:szCs w:val="21"/>
          <w:color w:val="auto"/>
        </w:rPr>
      </w:pPr>
    </w:p>
    <w:p>
      <w:pPr>
        <w:ind w:left="860" w:hanging="676"/>
        <w:spacing w:after="0"/>
        <w:tabs>
          <w:tab w:leader="none" w:pos="8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80" w:firstLine="652"/>
        <w:spacing w:after="0" w:line="234" w:lineRule="auto"/>
        <w:tabs>
          <w:tab w:leader="none" w:pos="1493"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(and to the Company's knowledge in respect of Cybin UK Ltd) owns or possesses the right to use all Intellectual Property Rights necessary for the conduct of the 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 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 by the Company or the Subsidiaries of any Intellectual Property Rights of any person;</w:t>
      </w:r>
    </w:p>
    <w:p>
      <w:pPr>
        <w:spacing w:after="0" w:line="1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3" w:name="page24"/>
    <w:bookmarkEnd w:id="23"/>
    <w:p>
      <w:pPr>
        <w:jc w:val="both"/>
        <w:ind w:left="180" w:firstLine="652"/>
        <w:spacing w:after="0" w:line="238" w:lineRule="auto"/>
        <w:tabs>
          <w:tab w:leader="none" w:pos="149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Cybin Entity has received any written notice nor is the Company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spacing w:after="0" w:line="136" w:lineRule="exact"/>
        <w:rPr>
          <w:rFonts w:ascii="Times New Roman" w:cs="Times New Roman" w:eastAsia="Times New Roman" w:hAnsi="Times New Roman"/>
          <w:sz w:val="22"/>
          <w:szCs w:val="22"/>
          <w:color w:val="auto"/>
        </w:rPr>
      </w:pPr>
    </w:p>
    <w:p>
      <w:pPr>
        <w:jc w:val="both"/>
        <w:ind w:left="180" w:firstLine="652"/>
        <w:spacing w:after="0" w:line="282" w:lineRule="auto"/>
        <w:tabs>
          <w:tab w:leader="none" w:pos="1503"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Cybin Entity has received any written notice with respect to any Intellectual Property Rights asserting that such Intellectual Property Rights are inadequate to protect the interests of each Cybin Entity therein;</w:t>
      </w:r>
    </w:p>
    <w:p>
      <w:pPr>
        <w:spacing w:after="0" w:line="107" w:lineRule="exact"/>
        <w:rPr>
          <w:rFonts w:ascii="Times New Roman" w:cs="Times New Roman" w:eastAsia="Times New Roman" w:hAnsi="Times New Roman"/>
          <w:sz w:val="21"/>
          <w:szCs w:val="21"/>
          <w:color w:val="auto"/>
        </w:rPr>
      </w:pPr>
    </w:p>
    <w:p>
      <w:pPr>
        <w:jc w:val="both"/>
        <w:ind w:left="180" w:firstLine="652"/>
        <w:spacing w:after="0" w:line="244" w:lineRule="auto"/>
        <w:tabs>
          <w:tab w:leader="none" w:pos="150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(and to the Company's knowledge in respect of Cybin UK Ltd) has taken or proposes to take commercially reasonable steps to protect its Intellectual Property Rights in those jurisdictions where, in the reasonable opinion of the Company, each carries on a sufficient business to justify such filings;</w:t>
      </w:r>
    </w:p>
    <w:p>
      <w:pPr>
        <w:spacing w:after="0" w:line="132"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49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restrictions on the ability of any Cybin Entity to use its Intellectual Property Rights in the Ordinary Course of its Business. None of the rights of each Cybin Entity in its Intellectual Property Rights will be impaired or affected in any way by the transactions contemplated by the Transaction Documents;</w:t>
      </w:r>
    </w:p>
    <w:p>
      <w:pPr>
        <w:spacing w:after="0" w:line="132" w:lineRule="exact"/>
        <w:rPr>
          <w:rFonts w:ascii="Times New Roman" w:cs="Times New Roman" w:eastAsia="Times New Roman" w:hAnsi="Times New Roman"/>
          <w:sz w:val="22"/>
          <w:szCs w:val="22"/>
          <w:color w:val="auto"/>
        </w:rPr>
      </w:pPr>
    </w:p>
    <w:p>
      <w:pPr>
        <w:jc w:val="both"/>
        <w:ind w:left="180" w:firstLine="652"/>
        <w:spacing w:after="0" w:line="238" w:lineRule="auto"/>
        <w:tabs>
          <w:tab w:leader="none" w:pos="150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Cybin Entity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Company, is there a reasonable basis for any claim that any person other than a Cybin Entity has any claim of legal or beneficial ownership or other claim or interest in any Intellectual Property Rights; and</w:t>
      </w:r>
    </w:p>
    <w:p>
      <w:pPr>
        <w:spacing w:after="0" w:line="149" w:lineRule="exact"/>
        <w:rPr>
          <w:rFonts w:ascii="Times New Roman" w:cs="Times New Roman" w:eastAsia="Times New Roman" w:hAnsi="Times New Roman"/>
          <w:sz w:val="22"/>
          <w:szCs w:val="22"/>
          <w:color w:val="auto"/>
        </w:rPr>
      </w:pPr>
    </w:p>
    <w:p>
      <w:pPr>
        <w:jc w:val="both"/>
        <w:ind w:left="180" w:firstLine="652"/>
        <w:spacing w:after="0" w:line="236" w:lineRule="auto"/>
        <w:tabs>
          <w:tab w:leader="none" w:pos="150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registrations of Intellectual Property Rights owned by a Cybin Entity are in good standing and are recorded in the name of a Cybin Entity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expired, become abandoned, been cancelled or expunged, or has lapsed for failure to be renewed or maintained.</w:t>
      </w:r>
    </w:p>
    <w:p>
      <w:pPr>
        <w:spacing w:after="0" w:line="136" w:lineRule="exact"/>
        <w:rPr>
          <w:rFonts w:ascii="Times New Roman" w:cs="Times New Roman" w:eastAsia="Times New Roman" w:hAnsi="Times New Roman"/>
          <w:sz w:val="22"/>
          <w:szCs w:val="22"/>
          <w:color w:val="auto"/>
        </w:rPr>
      </w:pPr>
    </w:p>
    <w:p>
      <w:pPr>
        <w:jc w:val="both"/>
        <w:ind w:left="-460" w:firstLine="644"/>
        <w:spacing w:after="0" w:line="233" w:lineRule="auto"/>
        <w:tabs>
          <w:tab w:leader="none" w:pos="8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Canadian and Foreign Regulatory Representations</w:t>
      </w:r>
      <w:r>
        <w:rPr>
          <w:rFonts w:ascii="Times New Roman" w:cs="Times New Roman" w:eastAsia="Times New Roman" w:hAnsi="Times New Roman"/>
          <w:sz w:val="22"/>
          <w:szCs w:val="22"/>
          <w:color w:val="auto"/>
        </w:rPr>
        <w:t>. The Company acknowledges that the Business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restrictions, requirements and prohibitions under Applicable Laws in force (including the CDSA, the FDA (Canada), the FDR-C, the FDR-J, the Criminal Code, and state, provincial, territorial and municipal laws relating to controlled substances, any applicable state corporate practice of medicine statutes or any applicable anti-money laundering legislation), which may change from time to time. All Authorizations issued to date are valid and in full force and effect and neither the Company nor any Subsidiary has received any correspondence or notice from the Office of Controlled Substances, other offices of Health Canada, the FDA (US), or any Governmental Authority alleging or asserting non-compliance with any Applicable Law or 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(Canada), the FDR-C, the NHPR 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(Canada), the FDR-C, the NHPR, the FDR-J, the Criminal Code or any provincial, territorial or municipal legislation that the Company or any Subsidiary have reason to believe could result in a Material Adverse Effect.</w:t>
      </w:r>
    </w:p>
    <w:p>
      <w:pPr>
        <w:spacing w:after="0" w:line="1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4" w:name="page25"/>
    <w:bookmarkEnd w:id="24"/>
    <w:p>
      <w:pPr>
        <w:jc w:val="both"/>
        <w:ind w:left="-460" w:firstLine="644"/>
        <w:spacing w:after="0" w:line="234" w:lineRule="auto"/>
        <w:tabs>
          <w:tab w:leader="none" w:pos="8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Clinical Trials</w:t>
      </w:r>
      <w:r>
        <w:rPr>
          <w:rFonts w:ascii="Times New Roman" w:cs="Times New Roman" w:eastAsia="Times New Roman" w:hAnsi="Times New Roman"/>
          <w:sz w:val="22"/>
          <w:szCs w:val="22"/>
          <w:color w:val="auto"/>
        </w:rPr>
        <w:t>. All clinical, pre-clinical and other studies and tests (collectively, the "</w:t>
      </w:r>
      <w:r>
        <w:rPr>
          <w:rFonts w:ascii="Times New Roman" w:cs="Times New Roman" w:eastAsia="Times New Roman" w:hAnsi="Times New Roman"/>
          <w:sz w:val="22"/>
          <w:szCs w:val="22"/>
          <w:b w:val="1"/>
          <w:bCs w:val="1"/>
          <w:i w:val="1"/>
          <w:iCs w:val="1"/>
          <w:color w:val="auto"/>
        </w:rPr>
        <w:t>Clinical Trials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by or on behalf of the Company or any Cybin Entity (to the Company's knowledge in respect of Cybin UK Ltd) related to the Business and/or the development of the Drug Products (to the Company's knowledge in respect of Cybin UK Ltd) have been conducted, and to the extent they are still pending are currently being conducted, in accordance with accepted medical, scientific and ethical research procedures and all Applicable Laws. The descriptions of the results of the Clinical Trials described or referred to in the Transaction Documents are accurate and complete in all material respects and fairly represent the published data derived from the Clinical Trials and neither the Company nor any Cybin Entity has knowledge of other studies or tests the results of which are materially inconsistent with or otherwise call into question the results described or referred to in the Transaction Documents. Neither the Company nor any Cybin Entity has received any notices or written correspondence from any Governmental Authority or applicable regulatory authority with respect to any Clinical Trial requiring the termination or suspension of such Clinical Trial.</w:t>
      </w:r>
    </w:p>
    <w:p>
      <w:pPr>
        <w:spacing w:after="0" w:line="135" w:lineRule="exact"/>
        <w:rPr>
          <w:rFonts w:ascii="Times New Roman" w:cs="Times New Roman" w:eastAsia="Times New Roman" w:hAnsi="Times New Roman"/>
          <w:sz w:val="22"/>
          <w:szCs w:val="22"/>
          <w:color w:val="auto"/>
        </w:rPr>
      </w:pPr>
    </w:p>
    <w:p>
      <w:pPr>
        <w:jc w:val="both"/>
        <w:ind w:left="-460" w:firstLine="644"/>
        <w:spacing w:after="0" w:line="236" w:lineRule="auto"/>
        <w:tabs>
          <w:tab w:leader="none" w:pos="8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Standard Operating Procedures</w:t>
      </w:r>
      <w:r>
        <w:rPr>
          <w:rFonts w:ascii="Times New Roman" w:cs="Times New Roman" w:eastAsia="Times New Roman" w:hAnsi="Times New Roman"/>
          <w:sz w:val="22"/>
          <w:szCs w:val="22"/>
          <w:color w:val="auto"/>
        </w:rPr>
        <w:t>. All product research and development activities, including quality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assurance, quality control, testing, and research and analysis activities, conducted by each Cybin Entity (to the Company's knowledge in respect of Cybin UK Ltd)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spacing w:after="0" w:line="148" w:lineRule="exact"/>
        <w:rPr>
          <w:rFonts w:ascii="Times New Roman" w:cs="Times New Roman" w:eastAsia="Times New Roman" w:hAnsi="Times New Roman"/>
          <w:sz w:val="22"/>
          <w:szCs w:val="22"/>
          <w:color w:val="auto"/>
        </w:rPr>
      </w:pPr>
    </w:p>
    <w:p>
      <w:pPr>
        <w:jc w:val="both"/>
        <w:ind w:left="-460" w:firstLine="644"/>
        <w:spacing w:after="0" w:line="238" w:lineRule="auto"/>
        <w:tabs>
          <w:tab w:leader="none" w:pos="8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Defects</w:t>
      </w:r>
      <w:r>
        <w:rPr>
          <w:rFonts w:ascii="Times New Roman" w:cs="Times New Roman" w:eastAsia="Times New Roman" w:hAnsi="Times New Roman"/>
          <w:sz w:val="22"/>
          <w:szCs w:val="22"/>
          <w:color w:val="auto"/>
        </w:rPr>
        <w:t>. No Cybin Entity has received any notice or communication from any customer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regulatory authority alleging a defect or claim in respect of any products supplied or sold by a Cybin Entity to a customer except in the Ordinary Course of its Business and, to the Company's knowledge, there are no circumstances that would give rise to any reports, recalls, public disclosure, announcements or customer communications required to be made by a Cybin Entity in respect of any products supplied or sold by a Cybin Entity.</w:t>
      </w:r>
    </w:p>
    <w:p>
      <w:pPr>
        <w:spacing w:after="0" w:line="136" w:lineRule="exact"/>
        <w:rPr>
          <w:rFonts w:ascii="Times New Roman" w:cs="Times New Roman" w:eastAsia="Times New Roman" w:hAnsi="Times New Roman"/>
          <w:sz w:val="22"/>
          <w:szCs w:val="22"/>
          <w:color w:val="auto"/>
        </w:rPr>
      </w:pPr>
    </w:p>
    <w:p>
      <w:pPr>
        <w:jc w:val="both"/>
        <w:ind w:left="-460" w:firstLine="644"/>
        <w:spacing w:after="0" w:line="232" w:lineRule="auto"/>
        <w:tabs>
          <w:tab w:leader="none" w:pos="8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IT Systems</w:t>
      </w:r>
      <w:r>
        <w:rPr>
          <w:rFonts w:ascii="Times New Roman" w:cs="Times New Roman" w:eastAsia="Times New Roman" w:hAnsi="Times New Roman"/>
          <w:sz w:val="22"/>
          <w:szCs w:val="22"/>
          <w:color w:val="auto"/>
        </w:rPr>
        <w:t>. To the Company's knowledge in respect of Cybin UK Ltd and each Cybin Entity's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technology assets and equipment, computers, systems, networks, hardware, software, websites, applications, and databases (collectively, "IT Systems")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 be expected to, individually or in the aggregate, result in a Material Adverse Effect. To the Company's knowledge in respect of Cybin UK Ltd, each Cybin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22"/>
          <w:szCs w:val="22"/>
          <w:b w:val="1"/>
          <w:bCs w:val="1"/>
          <w:i w:val="1"/>
          <w:iCs w:val="1"/>
          <w:color w:val="auto"/>
        </w:rPr>
        <w:t>Personal Data</w:t>
      </w:r>
      <w:r>
        <w:rPr>
          <w:rFonts w:ascii="Times New Roman" w:cs="Times New Roman" w:eastAsia="Times New Roman" w:hAnsi="Times New Roman"/>
          <w:sz w:val="22"/>
          <w:szCs w:val="22"/>
          <w:color w:val="auto"/>
        </w:rPr>
        <w:t>"))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To the Company's knowledge in respect of Cybin UK Ltd and each Cybin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To the Company's knowledge in respect of Cybin UK Ltd and each Cybin Entity has taken all necessary actions to comply with the Canada's Personal Information Protection and Electronic Documents Act (and all other Applicable Laws and regulations with respect to Personal Data for which any non-compliance with same would be reasonably likely to have a Material Adverse Effect).</w:t>
      </w:r>
    </w:p>
    <w:p>
      <w:pPr>
        <w:spacing w:after="0" w:line="1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5" w:name="page26"/>
    <w:bookmarkEnd w:id="25"/>
    <w:p>
      <w:pPr>
        <w:jc w:val="both"/>
        <w:ind w:left="-460" w:firstLine="644"/>
        <w:spacing w:after="0" w:line="233" w:lineRule="auto"/>
        <w:tabs>
          <w:tab w:leader="none" w:pos="8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Litigation</w:t>
      </w:r>
      <w:r>
        <w:rPr>
          <w:rFonts w:ascii="Times New Roman" w:cs="Times New Roman" w:eastAsia="Times New Roman" w:hAnsi="Times New Roman"/>
          <w:sz w:val="22"/>
          <w:szCs w:val="22"/>
          <w:color w:val="auto"/>
        </w:rPr>
        <w:t>. Except as disclosed in the Continuous Disclosure Materials, there are no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or regulatory actions, suits or proceedings pending, nor, to the Company's knowledge, any legal, governmental or regulatory audits or investigations, to which the Company or a Subsidiary is a party or to which any property of the Company or any of the Subsidiaries is the subject that, individually or in the aggregate, if determined adversely to the Company or any of the Subsidiaries, could reasonably be expected to have a Material Adverse Effect or materially and adversely affect the ability of the Company to perform its obligations under this Agreement; except as disclosed in the Continuous Disclosure Materials, to the Company's knowledge, no such actions, suits or proceedings are threatened or contemplated by any Governmental Authority or threatened by others that, individually or in the aggregate, if determined adversely to the Company or any of the Subsidiaries, could reasonably be expected to have a Material Adverse Effect or materially and adversely affect the ability of the Company to perform its obligations under this Agreement; and (i) there are no current or pending audits or investigations, actions, suits or proceedings by or before any Governmental Authority that are required under the U.S. Securities Act or Canadian Securities Laws to be described in the Continuous Disclosure Materials that are not so described; and (ii) there are no agreements, contracts, arrangements or understandings (written or oral) or other documents that are required under the U.S. Securities Laws or Canadian Securities Laws to be filed as or with the Continuous Disclosure Materials.</w:t>
      </w:r>
    </w:p>
    <w:p>
      <w:pPr>
        <w:spacing w:after="0" w:line="137" w:lineRule="exact"/>
        <w:rPr>
          <w:rFonts w:ascii="Times New Roman" w:cs="Times New Roman" w:eastAsia="Times New Roman" w:hAnsi="Times New Roman"/>
          <w:sz w:val="22"/>
          <w:szCs w:val="22"/>
          <w:color w:val="auto"/>
        </w:rPr>
      </w:pPr>
    </w:p>
    <w:p>
      <w:pPr>
        <w:jc w:val="both"/>
        <w:ind w:left="-460" w:firstLine="644"/>
        <w:spacing w:after="0" w:line="232" w:lineRule="auto"/>
        <w:tabs>
          <w:tab w:leader="none" w:pos="86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(i) The Company is not in material violation of any Applicable Laws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environmental, health or safety matters (collectively, "</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including, without limitation, laws relating to the processing, use, treatment, storage, disposal, discharge, transport or handling of any pollutants, contaminants, chemicals or industrial, toxic or hazardous wastes or substance ("</w:t>
      </w:r>
      <w:r>
        <w:rPr>
          <w:rFonts w:ascii="Times New Roman" w:cs="Times New Roman" w:eastAsia="Times New Roman" w:hAnsi="Times New Roman"/>
          <w:sz w:val="22"/>
          <w:szCs w:val="22"/>
          <w:b w:val="1"/>
          <w:bCs w:val="1"/>
          <w:i w:val="1"/>
          <w:iCs w:val="1"/>
          <w:color w:val="auto"/>
        </w:rPr>
        <w:t>Hazardous Substances</w:t>
      </w:r>
      <w:r>
        <w:rPr>
          <w:rFonts w:ascii="Times New Roman" w:cs="Times New Roman" w:eastAsia="Times New Roman" w:hAnsi="Times New Roman"/>
          <w:sz w:val="22"/>
          <w:szCs w:val="22"/>
          <w:color w:val="auto"/>
        </w:rPr>
        <w:t>"); (ii) the Company has obtained all material licenses, permits, approvals, consents, certificates, registrations and other Authorizations under all applicable Environmental Laws (the "</w:t>
      </w:r>
      <w:r>
        <w:rPr>
          <w:rFonts w:ascii="Times New Roman" w:cs="Times New Roman" w:eastAsia="Times New Roman" w:hAnsi="Times New Roman"/>
          <w:sz w:val="22"/>
          <w:szCs w:val="22"/>
          <w:b w:val="1"/>
          <w:bCs w:val="1"/>
          <w:i w:val="1"/>
          <w:iCs w:val="1"/>
          <w:color w:val="auto"/>
        </w:rPr>
        <w:t>Environmental Permits</w:t>
      </w:r>
      <w:r>
        <w:rPr>
          <w:rFonts w:ascii="Times New Roman" w:cs="Times New Roman" w:eastAsia="Times New Roman" w:hAnsi="Times New Roman"/>
          <w:sz w:val="22"/>
          <w:szCs w:val="22"/>
          <w:color w:val="auto"/>
        </w:rPr>
        <w:t>") 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 (iii) the Company has not used, distributed, treated, stored disposed of, transported or handled any Hazardous Substance, except in material compliance with all Environmental Laws and Environmental Permits; (iv) the Company has not received any notice of, or been prosecuted for an offence alleging, non-compliance with any Environmental Law that would have a 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 (vi) the Company has not received any 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spacing w:after="0" w:line="16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6" w:name="page27"/>
    <w:bookmarkEnd w:id="26"/>
    <w:p>
      <w:pPr>
        <w:jc w:val="both"/>
        <w:ind w:left="-460" w:firstLine="644"/>
        <w:spacing w:after="0" w:line="241" w:lineRule="auto"/>
        <w:tabs>
          <w:tab w:leader="none" w:pos="85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Non-competition</w:t>
      </w:r>
      <w:r>
        <w:rPr>
          <w:rFonts w:ascii="Times New Roman" w:cs="Times New Roman" w:eastAsia="Times New Roman" w:hAnsi="Times New Roman"/>
          <w:sz w:val="22"/>
          <w:szCs w:val="22"/>
          <w:color w:val="auto"/>
        </w:rPr>
        <w:t>. No current or proposed officer or director of a Cybin Entity, nor to the knowledge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any employee of a Cybin Entity, is subject to any limitations or restrictions on their activities or investments, including any non-competition provisions, that would in any way limit or restrict their involvement with a Cybin Entity or the business affairs of a Cybin Entity as now conducted or presently proposed to be conducted.</w:t>
      </w:r>
    </w:p>
    <w:p>
      <w:pPr>
        <w:spacing w:after="0" w:line="131" w:lineRule="exact"/>
        <w:rPr>
          <w:rFonts w:ascii="Times New Roman" w:cs="Times New Roman" w:eastAsia="Times New Roman" w:hAnsi="Times New Roman"/>
          <w:sz w:val="22"/>
          <w:szCs w:val="22"/>
          <w:color w:val="auto"/>
        </w:rPr>
      </w:pPr>
    </w:p>
    <w:p>
      <w:pPr>
        <w:jc w:val="both"/>
        <w:ind w:left="-460" w:firstLine="644"/>
        <w:spacing w:after="0" w:line="233" w:lineRule="auto"/>
        <w:tabs>
          <w:tab w:leader="none" w:pos="8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The Company and the Subsidiaries maintain insurance or where insurance has not yet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obtained, are using commercially reasonable efforts to obtain and maintain insurance, by insurers of recognized financial responsibility, against such losses, risks and damages to the property and assets of the Company in such amounts that are customary for the business in which they are engaged and on a basis consistent with reasonably prudent persons in comparable businesses, and all of the policies in respect of such insurance coverage, fidelity or surety bonds insuring the Company, the Subsidiaries, and their respective directors, officers and employees, and the property and assets of the Company, are in good standing and in full force and effect in all material respects, and not in default. Each of the Company and the Subsidiaries has complied with the terms of such policies and instruments in all material respects and there are no 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 similar insurers as may be necessary to continue the Business at a cost that would not have a Material Adverse Effect, and neither the Company nor the Subsidiaries have failed to promptly give any notice of any material claim thereunder.</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37" w:lineRule="auto"/>
        <w:tabs>
          <w:tab w:leader="none" w:pos="8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Leased Premises</w:t>
      </w:r>
      <w:r>
        <w:rPr>
          <w:rFonts w:ascii="Times New Roman" w:cs="Times New Roman" w:eastAsia="Times New Roman" w:hAnsi="Times New Roman"/>
          <w:sz w:val="22"/>
          <w:szCs w:val="22"/>
          <w:color w:val="auto"/>
        </w:rPr>
        <w:t>. The Company occupies the Leased Premises and has the exclusive right to occupy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the Leased Premises and each of the leases pursuant to which a Cybin Entity occupies the Leased Premises is in good standing and in full force and effect in all material respects. The performance of obligations pursuant to and in compliance with the terms of this Agreement and the completion of the transactions described herein and the Transaction Documents, will not afford any of the parties to such leases or any other person the right to terminate such leases or result in any additional or more onerous obligations under such leases.</w:t>
      </w:r>
    </w:p>
    <w:p>
      <w:pPr>
        <w:spacing w:after="0" w:line="134" w:lineRule="exact"/>
        <w:rPr>
          <w:rFonts w:ascii="Times New Roman" w:cs="Times New Roman" w:eastAsia="Times New Roman" w:hAnsi="Times New Roman"/>
          <w:sz w:val="22"/>
          <w:szCs w:val="22"/>
          <w:color w:val="auto"/>
        </w:rPr>
      </w:pPr>
    </w:p>
    <w:p>
      <w:pPr>
        <w:ind w:left="-460" w:firstLine="644"/>
        <w:spacing w:after="0" w:line="262" w:lineRule="auto"/>
        <w:tabs>
          <w:tab w:leader="none" w:pos="88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Practices</w:t>
      </w:r>
      <w:r>
        <w:rPr>
          <w:rFonts w:ascii="Times New Roman" w:cs="Times New Roman" w:eastAsia="Times New Roman" w:hAnsi="Times New Roman"/>
          <w:sz w:val="22"/>
          <w:szCs w:val="22"/>
          <w:color w:val="auto"/>
        </w:rPr>
        <w:t>. Each Cybin Entity is in material compliance with all laws respecting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and employment practices, terms and conditions of employment, pay equity and wages.</w:t>
      </w:r>
    </w:p>
    <w:p>
      <w:pPr>
        <w:spacing w:after="0" w:line="109" w:lineRule="exact"/>
        <w:rPr>
          <w:rFonts w:ascii="Times New Roman" w:cs="Times New Roman" w:eastAsia="Times New Roman" w:hAnsi="Times New Roman"/>
          <w:sz w:val="22"/>
          <w:szCs w:val="22"/>
          <w:color w:val="auto"/>
        </w:rPr>
      </w:pPr>
    </w:p>
    <w:p>
      <w:pPr>
        <w:jc w:val="both"/>
        <w:ind w:left="-460" w:firstLine="644"/>
        <w:spacing w:after="0" w:line="234" w:lineRule="auto"/>
        <w:tabs>
          <w:tab w:leader="none" w:pos="8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Standards</w:t>
      </w:r>
      <w:r>
        <w:rPr>
          <w:rFonts w:ascii="Times New Roman" w:cs="Times New Roman" w:eastAsia="Times New Roman" w:hAnsi="Times New Roman"/>
          <w:sz w:val="22"/>
          <w:szCs w:val="22"/>
          <w:color w:val="auto"/>
        </w:rPr>
        <w:t>. To the knowledge of the Company, there are no material complaints against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the Subsidiaries before any employment standards branch or tribunal or human rights tribunal, nor any complaints or any occurrence which would 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 the Company or the Subsidiaries to 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 workers' compensation legislation, occupational health and safety or similar legislation nor has any event occurred which may give rise to any such material claim.</w:t>
      </w:r>
    </w:p>
    <w:p>
      <w:pPr>
        <w:spacing w:after="0" w:line="1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7" w:name="page28"/>
    <w:bookmarkEnd w:id="27"/>
    <w:p>
      <w:pPr>
        <w:jc w:val="both"/>
        <w:ind w:left="-460" w:firstLine="644"/>
        <w:spacing w:after="0" w:line="241" w:lineRule="auto"/>
        <w:tabs>
          <w:tab w:leader="none" w:pos="8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Collective Bargaining Agreements</w:t>
      </w:r>
      <w:r>
        <w:rPr>
          <w:rFonts w:ascii="Times New Roman" w:cs="Times New Roman" w:eastAsia="Times New Roman" w:hAnsi="Times New Roman"/>
          <w:sz w:val="22"/>
          <w:szCs w:val="22"/>
          <w:color w:val="auto"/>
        </w:rPr>
        <w:t>. Neither the Company nor any Subsidiary is party to any collective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bargaining agreements with unionized employees. To the knowledge of the Company, no action has been taken or is being contemplated to organize or unionize any other employees of the Company or any Subsidiary that would have a Material Adverse Effect.</w:t>
      </w:r>
    </w:p>
    <w:p>
      <w:pPr>
        <w:spacing w:after="0" w:line="131" w:lineRule="exact"/>
        <w:rPr>
          <w:rFonts w:ascii="Times New Roman" w:cs="Times New Roman" w:eastAsia="Times New Roman" w:hAnsi="Times New Roman"/>
          <w:sz w:val="22"/>
          <w:szCs w:val="22"/>
          <w:color w:val="auto"/>
        </w:rPr>
      </w:pPr>
    </w:p>
    <w:p>
      <w:pPr>
        <w:jc w:val="both"/>
        <w:ind w:left="-460" w:firstLine="644"/>
        <w:spacing w:after="0" w:line="235" w:lineRule="auto"/>
        <w:tabs>
          <w:tab w:leader="none" w:pos="86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Plans</w:t>
      </w:r>
      <w:r>
        <w:rPr>
          <w:rFonts w:ascii="Times New Roman" w:cs="Times New Roman" w:eastAsia="Times New Roman" w:hAnsi="Times New Roman"/>
          <w:sz w:val="22"/>
          <w:szCs w:val="22"/>
          <w:color w:val="auto"/>
        </w:rPr>
        <w:t>. Each material plan for retirement, bonus, stock purchase, profit sharing,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deferred compensation, severance or 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rFonts w:ascii="Times New Roman" w:cs="Times New Roman" w:eastAsia="Times New Roman" w:hAnsi="Times New Roman"/>
          <w:sz w:val="22"/>
          <w:szCs w:val="22"/>
          <w:b w:val="1"/>
          <w:bCs w:val="1"/>
          <w:i w:val="1"/>
          <w:iCs w:val="1"/>
          <w:color w:val="auto"/>
        </w:rPr>
        <w:t>Employee Plans</w:t>
      </w:r>
      <w:r>
        <w:rPr>
          <w:rFonts w:ascii="Times New Roman" w:cs="Times New Roman" w:eastAsia="Times New Roman" w:hAnsi="Times New Roman"/>
          <w:sz w:val="22"/>
          <w:szCs w:val="22"/>
          <w:color w:val="auto"/>
        </w:rPr>
        <w:t>") has been maintained in all material respects with its terms and with the requirements prescribed by any and all Applicable Laws that are applicable to such Employee Plans. The Company does not have a material employee benefit plan, within the meaning of Section 3(3) of the Employee Retirement Income Security Act of 1974, as amended.</w:t>
      </w:r>
    </w:p>
    <w:p>
      <w:pPr>
        <w:spacing w:after="0" w:line="151" w:lineRule="exact"/>
        <w:rPr>
          <w:sz w:val="20"/>
          <w:szCs w:val="20"/>
          <w:color w:val="auto"/>
        </w:rPr>
      </w:pPr>
    </w:p>
    <w:p>
      <w:pPr>
        <w:jc w:val="both"/>
        <w:ind w:left="-460" w:firstLine="644"/>
        <w:spacing w:after="0" w:line="238" w:lineRule="auto"/>
        <w:tabs>
          <w:tab w:leader="none" w:pos="8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Unlawful Contributions</w:t>
      </w:r>
      <w:r>
        <w:rPr>
          <w:rFonts w:ascii="Times New Roman" w:cs="Times New Roman" w:eastAsia="Times New Roman" w:hAnsi="Times New Roman"/>
          <w:sz w:val="22"/>
          <w:szCs w:val="22"/>
          <w:color w:val="auto"/>
        </w:rPr>
        <w:t>. No Cybin Entity, or, to the knowledge of the Company, any employee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thereof, has made any unlawful contribution or other payment to any official of, or candidate for, any federal, state, provincial or foreign office, or failed to disclose fully any contribution, in violation of any law, or made any payment to any governmental officer or official in any jurisdiction, or other person charged with similar public or quasi-public duties, other than payments required or permitted by Applicable Laws.</w:t>
      </w:r>
    </w:p>
    <w:p>
      <w:pPr>
        <w:spacing w:after="0" w:line="136" w:lineRule="exact"/>
        <w:rPr>
          <w:rFonts w:ascii="Times New Roman" w:cs="Times New Roman" w:eastAsia="Times New Roman" w:hAnsi="Times New Roman"/>
          <w:sz w:val="22"/>
          <w:szCs w:val="22"/>
          <w:color w:val="auto"/>
        </w:rPr>
      </w:pPr>
    </w:p>
    <w:p>
      <w:pPr>
        <w:jc w:val="both"/>
        <w:ind w:left="-460" w:firstLine="644"/>
        <w:spacing w:after="0" w:line="237" w:lineRule="auto"/>
        <w:tabs>
          <w:tab w:leader="none" w:pos="87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Minute Books and Records</w:t>
      </w:r>
      <w:r>
        <w:rPr>
          <w:rFonts w:ascii="Times New Roman" w:cs="Times New Roman" w:eastAsia="Times New Roman" w:hAnsi="Times New Roman"/>
          <w:sz w:val="22"/>
          <w:szCs w:val="22"/>
          <w:color w:val="auto"/>
        </w:rPr>
        <w:t>. The minute books and corporate records of each Cybin Entity for the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incorporation to the date hereof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each Cybin Entity to the date hereof not reflected in such corporate records, other than those which are not material to each Cybin Entity, as the case may be.</w:t>
      </w:r>
    </w:p>
    <w:p>
      <w:pPr>
        <w:spacing w:after="0" w:line="134" w:lineRule="exact"/>
        <w:rPr>
          <w:rFonts w:ascii="Times New Roman" w:cs="Times New Roman" w:eastAsia="Times New Roman" w:hAnsi="Times New Roman"/>
          <w:sz w:val="22"/>
          <w:szCs w:val="22"/>
          <w:color w:val="auto"/>
        </w:rPr>
      </w:pPr>
    </w:p>
    <w:p>
      <w:pPr>
        <w:jc w:val="both"/>
        <w:ind w:left="-460" w:firstLine="644"/>
        <w:spacing w:after="0" w:line="246" w:lineRule="auto"/>
        <w:tabs>
          <w:tab w:leader="none" w:pos="8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Market Data</w:t>
      </w:r>
      <w:r>
        <w:rPr>
          <w:rFonts w:ascii="Times New Roman" w:cs="Times New Roman" w:eastAsia="Times New Roman" w:hAnsi="Times New Roman"/>
          <w:sz w:val="22"/>
          <w:szCs w:val="22"/>
          <w:color w:val="auto"/>
        </w:rPr>
        <w:t>. The statistical, industry and market related data included in the Transaction Documents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derived from sources which the Company reasonably believes to be accurate, reasonable and reliable, and such data is consistent with the sources from which it was derived.</w:t>
      </w:r>
    </w:p>
    <w:p>
      <w:pPr>
        <w:spacing w:after="0" w:line="140" w:lineRule="exact"/>
        <w:rPr>
          <w:rFonts w:ascii="Times New Roman" w:cs="Times New Roman" w:eastAsia="Times New Roman" w:hAnsi="Times New Roman"/>
          <w:sz w:val="22"/>
          <w:szCs w:val="22"/>
          <w:color w:val="auto"/>
        </w:rPr>
      </w:pPr>
    </w:p>
    <w:p>
      <w:pPr>
        <w:jc w:val="both"/>
        <w:ind w:left="-460" w:firstLine="644"/>
        <w:spacing w:after="0" w:line="233" w:lineRule="auto"/>
        <w:tabs>
          <w:tab w:leader="none" w:pos="87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Anti-Bribery Laws</w:t>
      </w:r>
      <w:r>
        <w:rPr>
          <w:rFonts w:ascii="Times New Roman" w:cs="Times New Roman" w:eastAsia="Times New Roman" w:hAnsi="Times New Roman"/>
          <w:sz w:val="22"/>
          <w:szCs w:val="22"/>
          <w:color w:val="auto"/>
        </w:rPr>
        <w:t>. Neither the Company nor any Subsidiary nor to the knowledge of the Company,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officer or employee of the Company or any Subsidiary nor, to the knowledge of the Company, any agent, affiliate or other person associated with or acting on behalf of the Company or any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Canada's Corruption of Foreign Public Officials Act, the FCPA, or any applicable law or regulation implementing the OECD Convention on Combating Bribery of Foreign Public Officials in International Business Transactions, or applicable anti-bribery or anti-corruption law; or (iv) made, offered, agreed, requested or taken an act in furtherance of any unlawful bribe or other unlawful benefit, including, without limitation, any unlawful rebate, payoff, influence payment, kickback or other unlawful or improper payment or benefit. The Company and the Subsidiaries have instituted, maintain and enforce, and will continue to maintain and enforce policies and procedures designed to promote and ensure compliance with all applicable anti-bribery and anti-corruption laws.</w:t>
      </w:r>
    </w:p>
    <w:p>
      <w:pPr>
        <w:spacing w:after="0" w:line="1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8" w:name="page29"/>
    <w:bookmarkEnd w:id="28"/>
    <w:p>
      <w:pPr>
        <w:jc w:val="both"/>
        <w:ind w:left="-460" w:firstLine="644"/>
        <w:spacing w:after="0" w:line="247" w:lineRule="auto"/>
        <w:tabs>
          <w:tab w:leader="none" w:pos="87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Anti-Money Laundering</w:t>
      </w:r>
      <w:r>
        <w:rPr>
          <w:rFonts w:ascii="Times New Roman" w:cs="Times New Roman" w:eastAsia="Times New Roman" w:hAnsi="Times New Roman"/>
          <w:sz w:val="21"/>
          <w:szCs w:val="21"/>
          <w:color w:val="auto"/>
        </w:rPr>
        <w:t>. The operations of the Company and the Subsidiaries are and have been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conducted at all times in material compliance with applicable financial recordkeeping and reporting requirements, including those of the those of the </w:t>
      </w:r>
      <w:r>
        <w:rPr>
          <w:rFonts w:ascii="Times New Roman" w:cs="Times New Roman" w:eastAsia="Times New Roman" w:hAnsi="Times New Roman"/>
          <w:sz w:val="21"/>
          <w:szCs w:val="21"/>
          <w:i w:val="1"/>
          <w:iCs w:val="1"/>
          <w:color w:val="auto"/>
        </w:rPr>
        <w:t>Bank Secrecy Act of 1970</w:t>
      </w:r>
      <w:r>
        <w:rPr>
          <w:rFonts w:ascii="Times New Roman" w:cs="Times New Roman" w:eastAsia="Times New Roman" w:hAnsi="Times New Roman"/>
          <w:sz w:val="21"/>
          <w:szCs w:val="21"/>
          <w:color w:val="auto"/>
        </w:rPr>
        <w:t xml:space="preserve">, as amended by the PATRIOT Act, the </w:t>
      </w:r>
      <w:r>
        <w:rPr>
          <w:rFonts w:ascii="Times New Roman" w:cs="Times New Roman" w:eastAsia="Times New Roman" w:hAnsi="Times New Roman"/>
          <w:sz w:val="21"/>
          <w:szCs w:val="21"/>
          <w:i w:val="1"/>
          <w:iCs w:val="1"/>
          <w:color w:val="auto"/>
        </w:rPr>
        <w:t>Proceeds of Crime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(Money Laundering)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Terrorist Financing Act (Canada)</w:t>
      </w:r>
      <w:r>
        <w:rPr>
          <w:rFonts w:ascii="Times New Roman" w:cs="Times New Roman" w:eastAsia="Times New Roman" w:hAnsi="Times New Roman"/>
          <w:sz w:val="21"/>
          <w:szCs w:val="21"/>
          <w:color w:val="auto"/>
        </w:rPr>
        <w:t>, Part II.1 of the Criminal Code and, in each case, the rules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regulations promulgated thereunder, and the anti-money laundering laws of the various jurisdictions in which the Company and its Subsidiaries, including any related or similar rules, regulations or guidelines, issued, administered or enforced by any Governmental Authority (collectively, the "</w:t>
      </w:r>
      <w:r>
        <w:rPr>
          <w:rFonts w:ascii="Times New Roman" w:cs="Times New Roman" w:eastAsia="Times New Roman" w:hAnsi="Times New Roman"/>
          <w:sz w:val="21"/>
          <w:szCs w:val="21"/>
          <w:b w:val="1"/>
          <w:bCs w:val="1"/>
          <w:i w:val="1"/>
          <w:iCs w:val="1"/>
          <w:color w:val="auto"/>
        </w:rPr>
        <w:t>Money Laundering Laws</w:t>
      </w:r>
      <w:r>
        <w:rPr>
          <w:rFonts w:ascii="Times New Roman" w:cs="Times New Roman" w:eastAsia="Times New Roman" w:hAnsi="Times New Roman"/>
          <w:sz w:val="21"/>
          <w:szCs w:val="21"/>
          <w:color w:val="auto"/>
        </w:rPr>
        <w:t>"), and no action, suit or proceeding by or before any court of Governmental Authority or any arbitrator non-Governmental Authority involving the Company or its Subsidiaries with respect to the Money Laundering Laws is, to the Company's knowledge, pending or threatened.</w:t>
      </w:r>
    </w:p>
    <w:p>
      <w:pPr>
        <w:spacing w:after="0" w:line="126" w:lineRule="exact"/>
        <w:rPr>
          <w:rFonts w:ascii="Times New Roman" w:cs="Times New Roman" w:eastAsia="Times New Roman" w:hAnsi="Times New Roman"/>
          <w:sz w:val="21"/>
          <w:szCs w:val="21"/>
          <w:color w:val="auto"/>
        </w:rPr>
      </w:pPr>
    </w:p>
    <w:p>
      <w:pPr>
        <w:ind w:left="900" w:hanging="716"/>
        <w:spacing w:after="0"/>
        <w:tabs>
          <w:tab w:leader="none" w:pos="9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4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 no Cybin Entity or any director, officer, employee, agent, affiliate or representative of a Cybin Entity, is a government, individual, or entity (in this paragraph (fff), "</w:t>
      </w:r>
      <w:r>
        <w:rPr>
          <w:rFonts w:ascii="Times New Roman" w:cs="Times New Roman" w:eastAsia="Times New Roman" w:hAnsi="Times New Roman"/>
          <w:sz w:val="22"/>
          <w:szCs w:val="22"/>
          <w:b w:val="1"/>
          <w:bCs w:val="1"/>
          <w:i w:val="1"/>
          <w:iCs w:val="1"/>
          <w:color w:val="auto"/>
        </w:rPr>
        <w:t>Member</w:t>
      </w:r>
      <w:r>
        <w:rPr>
          <w:rFonts w:ascii="Times New Roman" w:cs="Times New Roman" w:eastAsia="Times New Roman" w:hAnsi="Times New Roman"/>
          <w:sz w:val="22"/>
          <w:szCs w:val="22"/>
          <w:color w:val="auto"/>
        </w:rPr>
        <w:t>") that is, or is owned or controlled by a Member that is:</w:t>
      </w:r>
    </w:p>
    <w:p>
      <w:pPr>
        <w:spacing w:after="0" w:line="132" w:lineRule="exact"/>
        <w:rPr>
          <w:rFonts w:ascii="Times New Roman" w:cs="Times New Roman" w:eastAsia="Times New Roman" w:hAnsi="Times New Roman"/>
          <w:sz w:val="22"/>
          <w:szCs w:val="22"/>
          <w:color w:val="auto"/>
        </w:rPr>
      </w:pPr>
    </w:p>
    <w:p>
      <w:pPr>
        <w:jc w:val="both"/>
        <w:ind w:left="840" w:firstLine="640"/>
        <w:spacing w:after="0" w:line="236" w:lineRule="auto"/>
        <w:tabs>
          <w:tab w:leader="none" w:pos="2161" w:val="left"/>
        </w:tabs>
        <w:numPr>
          <w:ilvl w:val="2"/>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subject of any sanctions administered or enforced by OFAC, the United Nations Security Council, the European Union, His Majesty's Treasury, the Office of the Superintendent of Financial Institutions (Canada), or pursuant to the </w:t>
      </w:r>
      <w:r>
        <w:rPr>
          <w:rFonts w:ascii="Times New Roman" w:cs="Times New Roman" w:eastAsia="Times New Roman" w:hAnsi="Times New Roman"/>
          <w:sz w:val="22"/>
          <w:szCs w:val="22"/>
          <w:i w:val="1"/>
          <w:iCs w:val="1"/>
          <w:color w:val="auto"/>
        </w:rPr>
        <w:t>Special Economic Measures Act</w:t>
      </w:r>
      <w:r>
        <w:rPr>
          <w:rFonts w:ascii="Times New Roman" w:cs="Times New Roman" w:eastAsia="Times New Roman" w:hAnsi="Times New Roman"/>
          <w:sz w:val="22"/>
          <w:szCs w:val="22"/>
          <w:color w:val="auto"/>
        </w:rPr>
        <w:t xml:space="preserve"> (Canada) or other relevant sanctions authorities, including, without limitation, designation on OFAC's Specially Designated Nationals and Blocked Persons List or OFAC's Foreign Sanctions Evaders List (as amended, collectively, "</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nor</w:t>
      </w:r>
    </w:p>
    <w:p>
      <w:pPr>
        <w:spacing w:after="0" w:line="1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9" w:name="page30"/>
    <w:bookmarkEnd w:id="29"/>
    <w:p>
      <w:pPr>
        <w:jc w:val="both"/>
        <w:ind w:left="840" w:firstLine="640"/>
        <w:spacing w:after="0" w:line="244" w:lineRule="auto"/>
        <w:tabs>
          <w:tab w:leader="none" w:pos="2160" w:val="left"/>
        </w:tabs>
        <w:numPr>
          <w:ilvl w:val="2"/>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located, organized or resident in a country or territory that is the subject of Sanctions that broadly prohibit dealings with that country or territory (including, without limitation, Cuba, Iran, North Korea, Syria, and Russia) (the "</w:t>
      </w:r>
      <w:r>
        <w:rPr>
          <w:rFonts w:ascii="Times New Roman" w:cs="Times New Roman" w:eastAsia="Times New Roman" w:hAnsi="Times New Roman"/>
          <w:sz w:val="22"/>
          <w:szCs w:val="22"/>
          <w:b w:val="1"/>
          <w:bCs w:val="1"/>
          <w:i w:val="1"/>
          <w:iCs w:val="1"/>
          <w:color w:val="auto"/>
        </w:rPr>
        <w:t>Sanctioned Countries</w:t>
      </w:r>
      <w:r>
        <w:rPr>
          <w:rFonts w:ascii="Times New Roman" w:cs="Times New Roman" w:eastAsia="Times New Roman" w:hAnsi="Times New Roman"/>
          <w:sz w:val="22"/>
          <w:szCs w:val="22"/>
          <w:color w:val="auto"/>
        </w:rPr>
        <w:t>").</w:t>
      </w:r>
    </w:p>
    <w:p>
      <w:pPr>
        <w:spacing w:after="0" w:line="133" w:lineRule="exact"/>
        <w:rPr>
          <w:rFonts w:ascii="Times New Roman" w:cs="Times New Roman" w:eastAsia="Times New Roman" w:hAnsi="Times New Roman"/>
          <w:sz w:val="22"/>
          <w:szCs w:val="22"/>
          <w:color w:val="010000"/>
        </w:rPr>
      </w:pPr>
    </w:p>
    <w:p>
      <w:pPr>
        <w:jc w:val="both"/>
        <w:ind w:left="180" w:firstLine="652"/>
        <w:spacing w:after="0" w:line="244" w:lineRule="auto"/>
        <w:tabs>
          <w:tab w:leader="none" w:pos="149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represents and covenants that it will not, directly or indirectly, use the proceeds of the Offering, or lend, contribute or otherwise make available such proceeds to any Subsidiary, joint venture partner or other Member:</w:t>
      </w:r>
    </w:p>
    <w:p>
      <w:pPr>
        <w:spacing w:after="0" w:line="146" w:lineRule="exact"/>
        <w:rPr>
          <w:rFonts w:ascii="Times New Roman" w:cs="Times New Roman" w:eastAsia="Times New Roman" w:hAnsi="Times New Roman"/>
          <w:sz w:val="22"/>
          <w:szCs w:val="22"/>
          <w:color w:val="auto"/>
        </w:rPr>
      </w:pPr>
    </w:p>
    <w:p>
      <w:pPr>
        <w:jc w:val="both"/>
        <w:ind w:left="840" w:firstLine="640"/>
        <w:spacing w:after="0" w:line="244" w:lineRule="auto"/>
        <w:tabs>
          <w:tab w:leader="none" w:pos="2161" w:val="left"/>
        </w:tabs>
        <w:numPr>
          <w:ilvl w:val="2"/>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fund or facilitate any activities or business of or with any person in any country or territory that, at the time of such funding or facilitation, is the subject of Sanctions or is a Sanctioned Country</w:t>
      </w:r>
    </w:p>
    <w:p>
      <w:pPr>
        <w:spacing w:after="0" w:line="132" w:lineRule="exact"/>
        <w:rPr>
          <w:rFonts w:ascii="Times New Roman" w:cs="Times New Roman" w:eastAsia="Times New Roman" w:hAnsi="Times New Roman"/>
          <w:sz w:val="22"/>
          <w:szCs w:val="22"/>
          <w:color w:val="010000"/>
        </w:rPr>
      </w:pPr>
    </w:p>
    <w:p>
      <w:pPr>
        <w:ind w:left="840" w:firstLine="640"/>
        <w:spacing w:after="0" w:line="258" w:lineRule="auto"/>
        <w:tabs>
          <w:tab w:leader="none" w:pos="2160" w:val="left"/>
        </w:tabs>
        <w:numPr>
          <w:ilvl w:val="2"/>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any other manner that will result in a violation of Sanctions by any Member (including any Member participating in the Offering, whether as Placement Agents, advisor, investor or otherwise).</w:t>
      </w:r>
    </w:p>
    <w:p>
      <w:pPr>
        <w:spacing w:after="0" w:line="117" w:lineRule="exact"/>
        <w:rPr>
          <w:rFonts w:ascii="Times New Roman" w:cs="Times New Roman" w:eastAsia="Times New Roman" w:hAnsi="Times New Roman"/>
          <w:sz w:val="22"/>
          <w:szCs w:val="22"/>
          <w:color w:val="010000"/>
        </w:rPr>
      </w:pPr>
    </w:p>
    <w:p>
      <w:pPr>
        <w:jc w:val="both"/>
        <w:ind w:left="180" w:firstLine="652"/>
        <w:spacing w:after="0" w:line="239" w:lineRule="auto"/>
        <w:tabs>
          <w:tab w:leader="none" w:pos="1503"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Cybin Entity (to the Company's knowledge in respect of Cybin UK Ltd) represents and covenants that for the past 5 years, it has not engaged in, is not now engaging in, and will not engage in, any dealings or transactions with any Member, or in any country or territory, that at the time of the dealing or transaction is or was the subject of Sanctions or is or was a Sanctioned Country.</w:t>
      </w:r>
    </w:p>
    <w:p>
      <w:pPr>
        <w:spacing w:after="0" w:line="149" w:lineRule="exact"/>
        <w:rPr>
          <w:rFonts w:ascii="Times New Roman" w:cs="Times New Roman" w:eastAsia="Times New Roman" w:hAnsi="Times New Roman"/>
          <w:sz w:val="22"/>
          <w:szCs w:val="22"/>
          <w:color w:val="auto"/>
        </w:rPr>
      </w:pPr>
    </w:p>
    <w:p>
      <w:pPr>
        <w:jc w:val="both"/>
        <w:ind w:left="-460" w:firstLine="644"/>
        <w:spacing w:after="0" w:line="241" w:lineRule="auto"/>
        <w:tabs>
          <w:tab w:leader="none" w:pos="87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Orders</w:t>
      </w:r>
      <w:r>
        <w:rPr>
          <w:rFonts w:ascii="Times New Roman" w:cs="Times New Roman" w:eastAsia="Times New Roman" w:hAnsi="Times New Roman"/>
          <w:sz w:val="22"/>
          <w:szCs w:val="22"/>
          <w:color w:val="auto"/>
        </w:rPr>
        <w:t>. Neither any Securities Commissions nor either of the Exchanges has issued any order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preventing or suspending or preventing the suspending the offer, sale or distribution of the Securities in the manner contemplated herein, if any, nor instituted proceedings for that purpose and no such proceedings are pending or, to the knowledge of the Company, contemplated or threatened.</w:t>
      </w:r>
    </w:p>
    <w:p>
      <w:pPr>
        <w:spacing w:after="0" w:line="131" w:lineRule="exact"/>
        <w:rPr>
          <w:rFonts w:ascii="Times New Roman" w:cs="Times New Roman" w:eastAsia="Times New Roman" w:hAnsi="Times New Roman"/>
          <w:sz w:val="22"/>
          <w:szCs w:val="22"/>
          <w:color w:val="auto"/>
        </w:rPr>
      </w:pPr>
    </w:p>
    <w:p>
      <w:pPr>
        <w:jc w:val="both"/>
        <w:ind w:left="-460" w:firstLine="644"/>
        <w:spacing w:after="0" w:line="234" w:lineRule="auto"/>
        <w:tabs>
          <w:tab w:leader="none" w:pos="87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Certification of Disclosure</w:t>
      </w:r>
      <w:r>
        <w:rPr>
          <w:rFonts w:ascii="Times New Roman" w:cs="Times New Roman" w:eastAsia="Times New Roman" w:hAnsi="Times New Roman"/>
          <w:sz w:val="22"/>
          <w:szCs w:val="22"/>
          <w:color w:val="auto"/>
        </w:rPr>
        <w:t>. There has been no failure on the part of the Company or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directors or officers, in their capacities as such, to comply in all material respects with any applicable provisions of the Sarbanes-Oxley Act, NI 52-109 and the rules and regulations promulgated thereunder. Each of the principal executive officer and the principal financial officer of the Company (or each former principal executive officer of the Company and each former principal financial officer of the Company as applicable) and each certifying officer of the Company (or each former certifying officer of the Company and each former certifying officer of the Company as applicable) has made all certifications required by Sections 302 and 906 of the Sarbanes-Oxley Act with respect to all reports, schedules, forms, statements and other documents required to be filed by it or furnished by it to the SEC and as required to be made and filed by NI 52-109. For purposes of the preceding sentence, "principal executive officer" and "principal financial officer" shall have the meanings given to such terms in the Sarbanes-Oxley Act and "certifying officer" shall have the meanings given to such term in NI 52-109.</w:t>
      </w:r>
    </w:p>
    <w:p>
      <w:pPr>
        <w:spacing w:after="0" w:line="135" w:lineRule="exact"/>
        <w:rPr>
          <w:rFonts w:ascii="Times New Roman" w:cs="Times New Roman" w:eastAsia="Times New Roman" w:hAnsi="Times New Roman"/>
          <w:sz w:val="22"/>
          <w:szCs w:val="22"/>
          <w:color w:val="auto"/>
        </w:rPr>
      </w:pPr>
    </w:p>
    <w:p>
      <w:pPr>
        <w:jc w:val="both"/>
        <w:ind w:left="-460" w:firstLine="644"/>
        <w:spacing w:after="0" w:line="241" w:lineRule="auto"/>
        <w:tabs>
          <w:tab w:leader="none" w:pos="86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Reporting Issuer and Exchange Status</w:t>
      </w:r>
      <w:r>
        <w:rPr>
          <w:rFonts w:ascii="Times New Roman" w:cs="Times New Roman" w:eastAsia="Times New Roman" w:hAnsi="Times New Roman"/>
          <w:sz w:val="22"/>
          <w:szCs w:val="22"/>
          <w:color w:val="auto"/>
        </w:rPr>
        <w:t>. The Company (i) is a "reporting issuer" (within the meaning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Canadian Securities Laws) in each of the Canadian Jurisdictions and (ii) is not in default in any material respect of any of the requirements of the Canadian Securities Laws of the Canadian Jurisdictions. The Company is in compliance in all material respects with the by-laws, rules and regulations of each of the Exchanges.</w:t>
      </w:r>
    </w:p>
    <w:p>
      <w:pPr>
        <w:spacing w:after="0" w:line="1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0" w:name="page31"/>
    <w:bookmarkEnd w:id="30"/>
    <w:p>
      <w:pPr>
        <w:jc w:val="both"/>
        <w:ind w:left="-460" w:firstLine="644"/>
        <w:spacing w:after="0" w:line="236" w:lineRule="auto"/>
        <w:tabs>
          <w:tab w:leader="none" w:pos="86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Material Defaults</w:t>
      </w:r>
      <w:r>
        <w:rPr>
          <w:rFonts w:ascii="Times New Roman" w:cs="Times New Roman" w:eastAsia="Times New Roman" w:hAnsi="Times New Roman"/>
          <w:sz w:val="22"/>
          <w:szCs w:val="22"/>
          <w:color w:val="auto"/>
        </w:rPr>
        <w:t>. Neither the Company nor any of the Subsidiaries has defaulted on any installment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indebtedness for borrowed money or on any rental on one or more long-term leases, which defaults, individually or in the aggregate, would have a Material Adverse Effect. The Company has not filed a report pursuant to Section 13(a) or 15(d) of the U.S. Exchange Act since the filing of its last annual report on Form 40-F,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35" w:lineRule="exact"/>
        <w:rPr>
          <w:rFonts w:ascii="Times New Roman" w:cs="Times New Roman" w:eastAsia="Times New Roman" w:hAnsi="Times New Roman"/>
          <w:sz w:val="22"/>
          <w:szCs w:val="22"/>
          <w:color w:val="auto"/>
        </w:rPr>
      </w:pPr>
    </w:p>
    <w:p>
      <w:pPr>
        <w:jc w:val="both"/>
        <w:ind w:left="-460" w:firstLine="644"/>
        <w:spacing w:after="0" w:line="237" w:lineRule="auto"/>
        <w:tabs>
          <w:tab w:leader="none" w:pos="8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Continuous Disclosure Obligations</w:t>
      </w:r>
      <w:r>
        <w:rPr>
          <w:rFonts w:ascii="Times New Roman" w:cs="Times New Roman" w:eastAsia="Times New Roman" w:hAnsi="Times New Roman"/>
          <w:sz w:val="22"/>
          <w:szCs w:val="22"/>
          <w:color w:val="auto"/>
        </w:rPr>
        <w:t>. Except as provided herein, the Company is in compliance in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respects with its continuous and timely disclosure obligations under Canadian Securities Laws and the rules and regulations of the Exchanges and has filed all documents required to be filed by it with the Securities Commissions under applicable Canadian Securities Laws, and no document has been filed on a confidential basis with the Securities Commissions that remains confidential at the date hereof. None of the documents filed in accordance with applicable Canadian Securities Laws contained, as at the date of filing thereof, a misrepresentation.</w:t>
      </w:r>
    </w:p>
    <w:p>
      <w:pPr>
        <w:spacing w:after="0" w:line="148" w:lineRule="exact"/>
        <w:rPr>
          <w:rFonts w:ascii="Times New Roman" w:cs="Times New Roman" w:eastAsia="Times New Roman" w:hAnsi="Times New Roman"/>
          <w:sz w:val="22"/>
          <w:szCs w:val="22"/>
          <w:color w:val="auto"/>
        </w:rPr>
      </w:pPr>
    </w:p>
    <w:p>
      <w:pPr>
        <w:jc w:val="both"/>
        <w:ind w:left="-460" w:firstLine="644"/>
        <w:spacing w:after="0" w:line="235" w:lineRule="auto"/>
        <w:tabs>
          <w:tab w:leader="none" w:pos="86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Exchange Compliance</w:t>
      </w:r>
      <w:r>
        <w:rPr>
          <w:rFonts w:ascii="Times New Roman" w:cs="Times New Roman" w:eastAsia="Times New Roman" w:hAnsi="Times New Roman"/>
          <w:sz w:val="22"/>
          <w:szCs w:val="22"/>
          <w:color w:val="auto"/>
        </w:rPr>
        <w:t>. The Company is in compliance in all material respects with the by-laws, policies,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rules and regulations of the Exchanges existing on the date hereof. The Shares, Pre-funded Warrant Shares and Warrant Shares will be listed and posted for trading on the Exchanges and neither the Company nor the Subsidiaries has taken any action which would reasonably be expected to result in the delisting or suspension of the Shares on or from the Exchanges. All necessary notices and filings have been made by the Company with the Exchanges to reasonably ensure that the Shares, Pre-funded Warrant Shares and Warrant Shares will be listed and posted for trading on the Exchanges upon their issuance other than the filing of certain standard documents with the Exchanges, which documents shall be filed within any deadline imposed by the Exchanges.</w:t>
      </w:r>
    </w:p>
    <w:p>
      <w:pPr>
        <w:spacing w:after="0" w:line="137" w:lineRule="exact"/>
        <w:rPr>
          <w:rFonts w:ascii="Times New Roman" w:cs="Times New Roman" w:eastAsia="Times New Roman" w:hAnsi="Times New Roman"/>
          <w:sz w:val="22"/>
          <w:szCs w:val="22"/>
          <w:color w:val="auto"/>
        </w:rPr>
      </w:pPr>
    </w:p>
    <w:p>
      <w:pPr>
        <w:jc w:val="both"/>
        <w:ind w:left="-460" w:firstLine="644"/>
        <w:spacing w:after="0" w:line="234" w:lineRule="auto"/>
        <w:tabs>
          <w:tab w:leader="none" w:pos="89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Filings</w:t>
      </w:r>
      <w:r>
        <w:rPr>
          <w:rFonts w:ascii="Times New Roman" w:cs="Times New Roman" w:eastAsia="Times New Roman" w:hAnsi="Times New Roman"/>
          <w:sz w:val="22"/>
          <w:szCs w:val="22"/>
          <w:color w:val="auto"/>
        </w:rPr>
        <w:t>. The Company has filed all documents or information required to be filed or furnished by it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Canadian Securities Laws, U.S. Securities Laws, and the rules, regulations and policies of the Exchanges, except where the failure to file or furnish such documents or information will not have a Material Adverse Effect, either individually or in the aggregate; all material change reports, annual information forms, financial statements, management proxy circulars and other documents filed by or on behalf of the Company with the Exchanges, the SEC and the Securities Commissions, as of its date, did not contain any untrue statement of a material fact or omit to state a material fact required to be stated therein or necessary to make the statements therein, in light of the circumstances under which they were made, not misleading and did not contain a misrepresentation at the time at which it was filed; the Company has not filed any confidential material change report or any document requesting confidential treatment with any Governmental Authority that at the date hereof remains confidential.</w:t>
      </w:r>
    </w:p>
    <w:p>
      <w:pPr>
        <w:spacing w:after="0" w:line="138" w:lineRule="exact"/>
        <w:rPr>
          <w:rFonts w:ascii="Times New Roman" w:cs="Times New Roman" w:eastAsia="Times New Roman" w:hAnsi="Times New Roman"/>
          <w:sz w:val="22"/>
          <w:szCs w:val="22"/>
          <w:color w:val="auto"/>
        </w:rPr>
      </w:pPr>
    </w:p>
    <w:p>
      <w:pPr>
        <w:jc w:val="both"/>
        <w:ind w:left="-460" w:firstLine="644"/>
        <w:spacing w:after="0" w:line="235" w:lineRule="auto"/>
        <w:tabs>
          <w:tab w:leader="none" w:pos="87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Acquisitions</w:t>
      </w:r>
      <w:r>
        <w:rPr>
          <w:rFonts w:ascii="Times New Roman" w:cs="Times New Roman" w:eastAsia="Times New Roman" w:hAnsi="Times New Roman"/>
          <w:sz w:val="22"/>
          <w:szCs w:val="22"/>
          <w:color w:val="auto"/>
        </w:rPr>
        <w:t>. Except as disclosed in the Continuous Disclosure Materials, no Cybin Entity has made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significant acquisition, as such term is defined in Part 8 of NI 51-102 and used in NI 44-101, in its current financial year or prior financial years in respect of which historical and/or pro forma financial statements or other information would be required to be included or incorporated by reference into a prospectus, if filed, and for which a business acquisition report has not been filed under NI 51-102, the Company has not entered into any agreement or arrangement in respect of a transaction that would be a significant acquisition for purposes of Part 8 of NI 51-102 and there are no proposed acquisitions by the Company that have progressed to the state where a reasonable person would believe that the likelihood of the Company completing the acquisition is high and would be a significant acquisition for the purposes of Part 8 of NI 51-102 if completed as of the date of this Agreement.</w:t>
      </w:r>
    </w:p>
    <w:p>
      <w:pPr>
        <w:spacing w:after="0" w:line="15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1" w:name="page32"/>
    <w:bookmarkEnd w:id="31"/>
    <w:p>
      <w:pPr>
        <w:jc w:val="both"/>
        <w:ind w:left="4" w:firstLine="644"/>
        <w:spacing w:after="0" w:line="234" w:lineRule="auto"/>
        <w:tabs>
          <w:tab w:leader="none" w:pos="133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Related Parties</w:t>
      </w:r>
      <w:r>
        <w:rPr>
          <w:rFonts w:ascii="Times New Roman" w:cs="Times New Roman" w:eastAsia="Times New Roman" w:hAnsi="Times New Roman"/>
          <w:sz w:val="22"/>
          <w:szCs w:val="22"/>
          <w:color w:val="auto"/>
        </w:rPr>
        <w:t>. Except as disclosed in the Continuous Disclosure Materials, none of the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or employees of the Company, any known holder of more than 10% of any class of securities of the Company or securities of any person exchangeable for more than 10% of any class of securities of the Company, or any known associate or affiliate of any of the foregoing persons or companies (as such terms are defined in the U.S. Securities Act), has had any material interest, direct or indirect, in any material transaction with the Company since the incorporation of the Company, or any proposed material transaction which, as the case may be, materially affected or is reasonably expected to materially affect the Company and any Subsidiary, on a consolidated basis. Neither the Company nor any Subsidiary has any material loans or other indebtedness outstanding which has been made to any of its shareholders, officers, directors or employees, past or present, or any person not dealing at "arm's length" (within the meaning of the Tax Act) with them.</w:t>
      </w:r>
    </w:p>
    <w:p>
      <w:pPr>
        <w:spacing w:after="0" w:line="139" w:lineRule="exact"/>
        <w:rPr>
          <w:rFonts w:ascii="Times New Roman" w:cs="Times New Roman" w:eastAsia="Times New Roman" w:hAnsi="Times New Roman"/>
          <w:sz w:val="22"/>
          <w:szCs w:val="22"/>
          <w:color w:val="auto"/>
        </w:rPr>
      </w:pPr>
    </w:p>
    <w:p>
      <w:pPr>
        <w:ind w:left="1344" w:hanging="696"/>
        <w:spacing w:after="0"/>
        <w:tabs>
          <w:tab w:leader="none" w:pos="13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Material Changes</w:t>
      </w:r>
      <w:r>
        <w:rPr>
          <w:rFonts w:ascii="Times New Roman" w:cs="Times New Roman" w:eastAsia="Times New Roman" w:hAnsi="Times New Roman"/>
          <w:sz w:val="22"/>
          <w:szCs w:val="22"/>
          <w:color w:val="auto"/>
        </w:rPr>
        <w:t>. Except as disclosed in the Continuous Disclosure Materials, since June 30, 2025</w:t>
      </w:r>
    </w:p>
    <w:p>
      <w:pPr>
        <w:spacing w:after="0" w:line="18" w:lineRule="exact"/>
        <w:rPr>
          <w:rFonts w:ascii="Times New Roman" w:cs="Times New Roman" w:eastAsia="Times New Roman" w:hAnsi="Times New Roman"/>
          <w:sz w:val="22"/>
          <w:szCs w:val="22"/>
          <w:color w:val="auto"/>
        </w:rPr>
      </w:pPr>
    </w:p>
    <w:p>
      <w:pPr>
        <w:jc w:val="both"/>
        <w:ind w:left="4" w:hanging="4"/>
        <w:spacing w:after="0" w:line="233" w:lineRule="auto"/>
        <w:tabs>
          <w:tab w:leader="none" w:pos="29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material change in the assets, liabilities obligations (absolute, accrued, contingent or otherwise) business, condition (financial or otherwise), properties, capital or results of operations of the Company and the Subsidiaries considered as one enterprise, and (ii) there have been no transactions entered into by the Company or the Subsidiaries, other than those in the Ordinary Course of Business, which are material with respect to the Company and the Subsidiaries considered as one enterprise.</w:t>
      </w:r>
    </w:p>
    <w:p>
      <w:pPr>
        <w:spacing w:after="0" w:line="148" w:lineRule="exact"/>
        <w:rPr>
          <w:rFonts w:ascii="Times New Roman" w:cs="Times New Roman" w:eastAsia="Times New Roman" w:hAnsi="Times New Roman"/>
          <w:sz w:val="22"/>
          <w:szCs w:val="22"/>
          <w:color w:val="auto"/>
        </w:rPr>
      </w:pPr>
    </w:p>
    <w:p>
      <w:pPr>
        <w:jc w:val="both"/>
        <w:ind w:left="4" w:firstLine="644"/>
        <w:spacing w:after="0" w:line="238" w:lineRule="auto"/>
        <w:tabs>
          <w:tab w:leader="none" w:pos="13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Dividends</w:t>
      </w:r>
      <w:r>
        <w:rPr>
          <w:rFonts w:ascii="Times New Roman" w:cs="Times New Roman" w:eastAsia="Times New Roman" w:hAnsi="Times New Roman"/>
          <w:sz w:val="22"/>
          <w:szCs w:val="22"/>
          <w:color w:val="auto"/>
        </w:rPr>
        <w:t>. During the previous 12 months, the Company has not, directly or indirectly, declared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any dividend, or declared or made any other distribution on any of its shares or securities of any class, or, directly or indirectly, redeemed, purchased or otherwise acquired any of its Shares or other securities, or agreed to do any of the foregoing. There are no restrictions upon the declaration or payment of dividends by the directors of the Company or the payment of dividends by the Company in its constating documents.</w:t>
      </w:r>
    </w:p>
    <w:p>
      <w:pPr>
        <w:spacing w:after="0" w:line="136" w:lineRule="exact"/>
        <w:rPr>
          <w:rFonts w:ascii="Times New Roman" w:cs="Times New Roman" w:eastAsia="Times New Roman" w:hAnsi="Times New Roman"/>
          <w:sz w:val="22"/>
          <w:szCs w:val="22"/>
          <w:color w:val="auto"/>
        </w:rPr>
      </w:pPr>
    </w:p>
    <w:p>
      <w:pPr>
        <w:jc w:val="both"/>
        <w:ind w:left="4" w:firstLine="644"/>
        <w:spacing w:after="0" w:line="236" w:lineRule="auto"/>
        <w:tabs>
          <w:tab w:leader="none" w:pos="133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Fees and Commissions</w:t>
      </w:r>
      <w:r>
        <w:rPr>
          <w:rFonts w:ascii="Times New Roman" w:cs="Times New Roman" w:eastAsia="Times New Roman" w:hAnsi="Times New Roman"/>
          <w:sz w:val="22"/>
          <w:szCs w:val="22"/>
          <w:color w:val="auto"/>
        </w:rPr>
        <w:t>. Other than the Placement Agents (and their selling group members)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Engagement Letter, there is no other person acting at the request of the Company, or to the knowledge of the Company, purporting to act, who is entitled to any brokerage, agency or other fiscal advisory or similar fee in connection with the Offering or transactions contemplated herein. None of the Purchasers shall have any obligation with respect to any fees or with respect to any claims made by or on behalf of other Persons for fees of a type contemplated in this Section that may be due in connection with the transactions contemplated by the Transaction Documents. The Placement Agents have also agreed to reimburse the Company for certain expenses.</w:t>
      </w:r>
    </w:p>
    <w:p>
      <w:pPr>
        <w:spacing w:after="0" w:line="135" w:lineRule="exact"/>
        <w:rPr>
          <w:rFonts w:ascii="Times New Roman" w:cs="Times New Roman" w:eastAsia="Times New Roman" w:hAnsi="Times New Roman"/>
          <w:sz w:val="22"/>
          <w:szCs w:val="22"/>
          <w:color w:val="auto"/>
        </w:rPr>
      </w:pPr>
    </w:p>
    <w:p>
      <w:pPr>
        <w:ind w:left="4" w:firstLine="644"/>
        <w:spacing w:after="0" w:line="262" w:lineRule="auto"/>
        <w:tabs>
          <w:tab w:leader="none" w:pos="133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Broker/Dealer Relationships</w:t>
      </w:r>
      <w:r>
        <w:rPr>
          <w:rFonts w:ascii="Times New Roman" w:cs="Times New Roman" w:eastAsia="Times New Roman" w:hAnsi="Times New Roman"/>
          <w:sz w:val="22"/>
          <w:szCs w:val="22"/>
          <w:color w:val="auto"/>
        </w:rPr>
        <w:t>. Neither the Company nor any of the Subsidiaries or any related entities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required to register as a "broker" or "dealer" under Applicable Securities Laws.</w:t>
      </w:r>
    </w:p>
    <w:p>
      <w:pPr>
        <w:spacing w:after="0" w:line="122" w:lineRule="exact"/>
        <w:rPr>
          <w:rFonts w:ascii="Times New Roman" w:cs="Times New Roman" w:eastAsia="Times New Roman" w:hAnsi="Times New Roman"/>
          <w:sz w:val="22"/>
          <w:szCs w:val="22"/>
          <w:color w:val="auto"/>
        </w:rPr>
      </w:pPr>
    </w:p>
    <w:p>
      <w:pPr>
        <w:jc w:val="both"/>
        <w:ind w:left="4" w:firstLine="644"/>
        <w:spacing w:after="0" w:line="233" w:lineRule="auto"/>
        <w:tabs>
          <w:tab w:leader="none" w:pos="132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Disclosure. </w:t>
      </w:r>
      <w:r>
        <w:rPr>
          <w:rFonts w:ascii="Times New Roman" w:cs="Times New Roman" w:eastAsia="Times New Roman" w:hAnsi="Times New Roman"/>
          <w:sz w:val="22"/>
          <w:szCs w:val="22"/>
          <w:color w:val="auto"/>
        </w:rPr>
        <w:t>Except with respect to the material terms and conditions of the transactions contemplated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Prospectuses. The Company understands and confirms that the Purchasers will rely on the foregoing representation in effecting transactions in securities of the Company. All of the disclosure furnished by or on behalf of the Company to the Purchasers regarding the Company, its Subsidiaries, their respective businesses and the transactions contemplated hereby, is true and correct and does not contain any untrue statement of a material fact or omit to state any material fact necessary in order to make the statements made therein, in light of the circumstances under which they were made, not misleading. The Continuous Disclosure Materials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39" w:lineRule="exact"/>
        <w:rPr>
          <w:rFonts w:ascii="Times New Roman" w:cs="Times New Roman" w:eastAsia="Times New Roman" w:hAnsi="Times New Roman"/>
          <w:sz w:val="22"/>
          <w:szCs w:val="22"/>
          <w:color w:val="auto"/>
        </w:rPr>
      </w:pPr>
    </w:p>
    <w:p>
      <w:pPr>
        <w:jc w:val="both"/>
        <w:ind w:left="4" w:firstLine="644"/>
        <w:spacing w:after="0" w:line="237" w:lineRule="auto"/>
        <w:tabs>
          <w:tab w:leader="none" w:pos="13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Regulation M Compliance</w:t>
      </w:r>
      <w:r>
        <w:rPr>
          <w:rFonts w:ascii="Times New Roman" w:cs="Times New Roman" w:eastAsia="Times New Roman" w:hAnsi="Times New Roman"/>
          <w:sz w:val="22"/>
          <w:szCs w:val="22"/>
          <w:color w:val="auto"/>
        </w:rPr>
        <w:t>. The Company, and to its knowledge anyone acting on its behalf (i) has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and will not take, directly or indirectly, any action designed to cause or to result in the stabilization or manipulation of the price of any security of the Company to facilitate the sale or resale of any of the Securities, (ii) has not sold, bid for, purchased, or paid, and will not sell, bid for, purchase or pay any compensation for soliciting purchases of, any of the Securities, and (iii) has not paid or agreed to pay, and will not pay or agree to pay to any Person any compensation for soliciting another to purchase any other securities of the Company.</w:t>
      </w:r>
    </w:p>
    <w:p>
      <w:pPr>
        <w:sectPr>
          <w:pgSz w:w="11900" w:h="16838" w:orient="portrait"/>
          <w:cols w:equalWidth="0" w:num="1">
            <w:col w:w="10584"/>
          </w:cols>
          <w:pgMar w:left="976" w:top="108" w:right="339" w:bottom="1440" w:gutter="0" w:footer="0" w:header="0"/>
        </w:sectPr>
      </w:pPr>
    </w:p>
    <w:p>
      <w:pPr>
        <w:spacing w:after="0" w:line="13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128905</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08" w:right="339" w:bottom="1440" w:gutter="0" w:footer="0" w:header="0"/>
          <w:type w:val="continuous"/>
        </w:sectPr>
      </w:pPr>
    </w:p>
    <w:bookmarkStart w:id="32" w:name="page33"/>
    <w:bookmarkEnd w:id="32"/>
    <w:p>
      <w:pPr>
        <w:jc w:val="both"/>
        <w:ind w:left="-460" w:firstLine="644"/>
        <w:spacing w:after="0" w:line="235" w:lineRule="auto"/>
        <w:tabs>
          <w:tab w:leader="none" w:pos="87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Acknowledgment Regarding Purchasers' Purchase of Securities</w:t>
      </w:r>
      <w:r>
        <w:rPr>
          <w:rFonts w:ascii="Times New Roman" w:cs="Times New Roman" w:eastAsia="Times New Roman" w:hAnsi="Times New Roman"/>
          <w:sz w:val="22"/>
          <w:szCs w:val="22"/>
          <w:color w:val="auto"/>
        </w:rPr>
        <w:t>. The Company acknowledges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each Purchaser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its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the Transaction Documents has been based solely on the independent evaluation of the transactions contemplated hereby by the Company and its representatives.</w:t>
      </w:r>
    </w:p>
    <w:p>
      <w:pPr>
        <w:spacing w:after="0" w:line="133" w:lineRule="exact"/>
        <w:rPr>
          <w:rFonts w:ascii="Times New Roman" w:cs="Times New Roman" w:eastAsia="Times New Roman" w:hAnsi="Times New Roman"/>
          <w:sz w:val="22"/>
          <w:szCs w:val="22"/>
          <w:color w:val="auto"/>
        </w:rPr>
      </w:pPr>
    </w:p>
    <w:p>
      <w:pPr>
        <w:jc w:val="both"/>
        <w:ind w:left="-460" w:right="20" w:firstLine="644"/>
        <w:spacing w:after="0" w:line="248" w:lineRule="auto"/>
        <w:tabs>
          <w:tab w:leader="none" w:pos="88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Integrated Offering</w:t>
      </w:r>
      <w:r>
        <w:rPr>
          <w:rFonts w:ascii="Times New Roman" w:cs="Times New Roman" w:eastAsia="Times New Roman" w:hAnsi="Times New Roman"/>
          <w:sz w:val="21"/>
          <w:szCs w:val="21"/>
          <w:color w:val="auto"/>
        </w:rPr>
        <w:t>. Assuming the accuracy of the Purchasers’ representations and warranties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Section 3.2, neither the Company, nor any of its Affiliates, nor, to the Company’s knowledge, any Person acting on its or their behalf has, directly or indirectly, made any offers or sales of any security or solicited any offers to buy any security, under circumstances that would cause the offering of the Securities contemplated hereunder to be integrated with prior offerings by the Company for purposes of (i) the U.S. Securities Act which would require the registration of the offer or sale of any such securities under the U.S. Securities Act, or (ii) any applicable shareholder approval provisions of any Trading Market on which any of the securities of the Company are listed, quoted or designated for trading.</w:t>
      </w:r>
    </w:p>
    <w:p>
      <w:pPr>
        <w:spacing w:after="0" w:line="143" w:lineRule="exact"/>
        <w:rPr>
          <w:rFonts w:ascii="Times New Roman" w:cs="Times New Roman" w:eastAsia="Times New Roman" w:hAnsi="Times New Roman"/>
          <w:sz w:val="21"/>
          <w:szCs w:val="21"/>
          <w:color w:val="auto"/>
        </w:rPr>
      </w:pPr>
    </w:p>
    <w:p>
      <w:pPr>
        <w:jc w:val="both"/>
        <w:ind w:left="-460" w:firstLine="644"/>
        <w:spacing w:after="0" w:line="235" w:lineRule="auto"/>
        <w:tabs>
          <w:tab w:leader="none" w:pos="87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Due Diligence Sessions</w:t>
      </w:r>
      <w:r>
        <w:rPr>
          <w:rFonts w:ascii="Times New Roman" w:cs="Times New Roman" w:eastAsia="Times New Roman" w:hAnsi="Times New Roman"/>
          <w:sz w:val="22"/>
          <w:szCs w:val="22"/>
          <w:color w:val="auto"/>
        </w:rPr>
        <w:t>. (i) The responses given by the Company and its officers at all due diligence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sessions conducted by the Placement Agents in connection with the Offering, as they relate to matters of fact, have been and shall continue to be true and correct in all material respects as at the time such responses have been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 reflect the opinion or view of the Company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 time they are given</w:t>
      </w:r>
    </w:p>
    <w:p>
      <w:pPr>
        <w:spacing w:after="0" w:line="133" w:lineRule="exact"/>
        <w:rPr>
          <w:rFonts w:ascii="Times New Roman" w:cs="Times New Roman" w:eastAsia="Times New Roman" w:hAnsi="Times New Roman"/>
          <w:sz w:val="22"/>
          <w:szCs w:val="22"/>
          <w:color w:val="auto"/>
        </w:rPr>
      </w:pPr>
    </w:p>
    <w:p>
      <w:pPr>
        <w:jc w:val="both"/>
        <w:ind w:left="-460" w:firstLine="644"/>
        <w:spacing w:after="0" w:line="235" w:lineRule="auto"/>
        <w:tabs>
          <w:tab w:leader="none" w:pos="87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Advice</w:t>
      </w:r>
      <w:r>
        <w:rPr>
          <w:rFonts w:ascii="Times New Roman" w:cs="Times New Roman" w:eastAsia="Times New Roman" w:hAnsi="Times New Roman"/>
          <w:sz w:val="22"/>
          <w:szCs w:val="22"/>
          <w:color w:val="auto"/>
        </w:rPr>
        <w:t>. The Company has not relied upon the Placement Agents or legal counsel for the Placement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for any legal, tax or accounting advice in connection with the Offering and sale of the Securities. All advice (written or oral) given by the Placement Agents in connection with the Placement Agents' engagement is intended solely for the benefit and use of the Company, and no such advice shall be used for any other purpose or reproduced, disseminated, quoted from or referred to at any time, in any manner or for any purpose, nor shall any public references to the Placement Agents be made by or on behalf of the Company, except as required by Applicable Law (in which case the content of such disclosures must be approved by the Placement Agents, such approval not to be unreasonably withheld, conditioned, or delayed) or with the written consent of the Placement Agents.</w:t>
      </w:r>
    </w:p>
    <w:p>
      <w:pPr>
        <w:spacing w:after="0" w:line="1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3" w:name="page34"/>
    <w:bookmarkEnd w:id="33"/>
    <w:p>
      <w:pPr>
        <w:ind w:left="900" w:hanging="716"/>
        <w:spacing w:after="0"/>
        <w:tabs>
          <w:tab w:leader="none" w:pos="9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Improper Practices.</w:t>
      </w:r>
    </w:p>
    <w:p>
      <w:pPr>
        <w:spacing w:after="0" w:line="170" w:lineRule="exact"/>
        <w:rPr>
          <w:rFonts w:ascii="Times New Roman" w:cs="Times New Roman" w:eastAsia="Times New Roman" w:hAnsi="Times New Roman"/>
          <w:sz w:val="22"/>
          <w:szCs w:val="22"/>
          <w:color w:val="auto"/>
        </w:rPr>
      </w:pPr>
    </w:p>
    <w:p>
      <w:pPr>
        <w:ind w:left="1500" w:hanging="668"/>
        <w:spacing w:after="0"/>
        <w:tabs>
          <w:tab w:leader="none" w:pos="15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improper practices:</w:t>
      </w:r>
    </w:p>
    <w:p>
      <w:pPr>
        <w:spacing w:after="0" w:line="179" w:lineRule="exact"/>
        <w:rPr>
          <w:rFonts w:ascii="Times New Roman" w:cs="Times New Roman" w:eastAsia="Times New Roman" w:hAnsi="Times New Roman"/>
          <w:sz w:val="22"/>
          <w:szCs w:val="22"/>
          <w:color w:val="auto"/>
        </w:rPr>
      </w:pPr>
    </w:p>
    <w:p>
      <w:pPr>
        <w:jc w:val="both"/>
        <w:ind w:left="840" w:firstLine="640"/>
        <w:spacing w:after="0" w:line="236" w:lineRule="auto"/>
        <w:tabs>
          <w:tab w:leader="none" w:pos="2161" w:val="left"/>
        </w:tabs>
        <w:numPr>
          <w:ilvl w:val="2"/>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Company, the Subsidiaries nor any of their employees or agents have made any unlawful contribution or other payment to any official of, or candidate for, any federal, state, provincial or foreign office, or failed to disclose fully any contribution in violation of any law, or made any payment to any foreign, Canadian, provincial or governmental officer or official, or other person charged with similar public or quasi-public duties, other than payments required or permitted by Applicable Laws, in a manner that would reasonably be expected to have a Material Adverse Effect;</w:t>
      </w:r>
    </w:p>
    <w:p>
      <w:pPr>
        <w:spacing w:after="0" w:line="140" w:lineRule="exact"/>
        <w:rPr>
          <w:rFonts w:ascii="Times New Roman" w:cs="Times New Roman" w:eastAsia="Times New Roman" w:hAnsi="Times New Roman"/>
          <w:sz w:val="22"/>
          <w:szCs w:val="22"/>
          <w:color w:val="010000"/>
        </w:rPr>
      </w:pPr>
    </w:p>
    <w:p>
      <w:pPr>
        <w:jc w:val="both"/>
        <w:ind w:left="840" w:firstLine="640"/>
        <w:spacing w:after="0" w:line="238" w:lineRule="auto"/>
        <w:tabs>
          <w:tab w:leader="none" w:pos="2160" w:val="left"/>
        </w:tabs>
        <w:numPr>
          <w:ilvl w:val="2"/>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Company nor any of its Subsidiaries is indebted or under any obligation to any of its respective directors, officers or shareholders, on any account whatsoever, other than for (i) payment of salary, directors' fees, bonus and other employment or consulting compensation, (ii) reimbursement for expenses duly incurred in connection with the business of the Company, and (iii) for other standard employee benefits made generally available to all employees; and</w:t>
      </w:r>
    </w:p>
    <w:p>
      <w:pPr>
        <w:spacing w:after="0" w:line="136" w:lineRule="exact"/>
        <w:rPr>
          <w:rFonts w:ascii="Times New Roman" w:cs="Times New Roman" w:eastAsia="Times New Roman" w:hAnsi="Times New Roman"/>
          <w:sz w:val="22"/>
          <w:szCs w:val="22"/>
          <w:color w:val="010000"/>
        </w:rPr>
      </w:pPr>
    </w:p>
    <w:p>
      <w:pPr>
        <w:jc w:val="both"/>
        <w:ind w:left="840" w:firstLine="640"/>
        <w:spacing w:after="0" w:line="244" w:lineRule="auto"/>
        <w:tabs>
          <w:tab w:leader="none" w:pos="2160" w:val="left"/>
        </w:tabs>
        <w:numPr>
          <w:ilvl w:val="2"/>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none of the Company or any of its Subsidiaries and the businesses now run by the Company or any of its Subsidiaries, and none of the directors, officers, supervisors, managers, agents, employees or other persons associated with or acting on behalf of the Company or any of its Subsidiaries has, to their knowledge (i) made or authorized any contribution, payment or gift of funds, property or anything else of value to any official, employee or agent of any Governmental Authority, agency or instrumentality in the United States of America or any other jurisdiction, (ii) used any corporate funds, or made any direct or indirect unlawful payment from corporate funds, to any foreign or domestic government official or employee or for any unlawful contribution, gift, entertainment or other unlawful expense relating to political activity; (iii) violated or is in violation of any provision of the FCPA or the Corruption of Foreign Public Officials Act (Canada), including making any contribution to any candidate for public office, in either case, where either the payment or gift or the purpose of such contribution, payment or gift was or is prohibited under the foregoing or any other Applicable Law, rule or regulation of any locality; or (iv) made any bribe, rebate, payoff, influence payment, kickback or other unlawful payment.</w:t>
      </w:r>
    </w:p>
    <w:p>
      <w:pPr>
        <w:spacing w:after="0" w:line="156" w:lineRule="exact"/>
        <w:rPr>
          <w:rFonts w:ascii="Times New Roman" w:cs="Times New Roman" w:eastAsia="Times New Roman" w:hAnsi="Times New Roman"/>
          <w:sz w:val="21"/>
          <w:szCs w:val="21"/>
          <w:color w:val="010000"/>
        </w:rPr>
      </w:pPr>
    </w:p>
    <w:p>
      <w:pPr>
        <w:jc w:val="both"/>
        <w:ind w:left="180" w:firstLine="652"/>
        <w:spacing w:after="0" w:line="235" w:lineRule="auto"/>
        <w:tabs>
          <w:tab w:leader="none" w:pos="149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help the United States government fight the funding of terrorism and money laundering activities, the federal laws of the United States require all financial institutions to obtain, verify and record information that identifies each person with whom they do business as a condition to doing such business. To permit compliance with this requirement, upon request the Company will provide the Placement Agents with information or documents sufficient to verify the Company's identity, including (as appropriate) a government-issued identification number, a government-issued business license, a certified charter, certificate of incorporation, partnership agreement or trust instrument and other constituent documents.</w:t>
      </w:r>
    </w:p>
    <w:p>
      <w:pPr>
        <w:spacing w:after="0" w:line="1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4" w:name="page35"/>
    <w:bookmarkEnd w:id="34"/>
    <w:p>
      <w:pPr>
        <w:jc w:val="both"/>
        <w:ind w:left="660" w:firstLine="644"/>
        <w:spacing w:after="0" w:line="233" w:lineRule="auto"/>
        <w:tabs>
          <w:tab w:leader="none" w:pos="22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Acknowledgment Regarding Purchaser’s Trading Activity. </w:t>
      </w:r>
      <w:r>
        <w:rPr>
          <w:rFonts w:ascii="Times New Roman" w:cs="Times New Roman" w:eastAsia="Times New Roman" w:hAnsi="Times New Roman"/>
          <w:sz w:val="22"/>
          <w:szCs w:val="22"/>
          <w:color w:val="auto"/>
        </w:rPr>
        <w:t>Anything in this Agreement or else-where herein to the contrary notwithstanding,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Shares, and (iv) each Purchaser shall not be deemed to have any affiliation with or control over any arm’s length counter-party in any “derivative” transaction. The Company further understands and acknowledges that (y) one or more Purchasers may engage in hedging activities (in compliance with applicable laws)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3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Representations and Warranties of the Purchasers</w:t>
      </w:r>
      <w:r>
        <w:rPr>
          <w:rFonts w:ascii="Times New Roman" w:cs="Times New Roman" w:eastAsia="Times New Roman" w:hAnsi="Times New Roman"/>
          <w:sz w:val="22"/>
          <w:szCs w:val="22"/>
          <w:color w:val="auto"/>
        </w:rPr>
        <w:t>. Each Purchaser, for itself and for no other Purchaser, hereby represents and warrants as of the date hereof and as of the Closing Date to the Company as follows (except in the case of representations and warranties that speak as of a specific date, in which case such Purchaser represents and warrants as of such date):</w:t>
      </w:r>
    </w:p>
    <w:p>
      <w:pPr>
        <w:spacing w:after="0" w:line="145" w:lineRule="exact"/>
        <w:rPr>
          <w:sz w:val="20"/>
          <w:szCs w:val="20"/>
          <w:color w:val="auto"/>
        </w:rPr>
      </w:pPr>
    </w:p>
    <w:p>
      <w:pPr>
        <w:jc w:val="both"/>
        <w:ind w:left="660" w:firstLine="644"/>
        <w:spacing w:after="0" w:line="245" w:lineRule="auto"/>
        <w:tabs>
          <w:tab w:leader="none" w:pos="197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Organization; Authority</w:t>
      </w:r>
      <w:r>
        <w:rPr>
          <w:rFonts w:ascii="Times New Roman" w:cs="Times New Roman" w:eastAsia="Times New Roman" w:hAnsi="Times New Roman"/>
          <w:sz w:val="21"/>
          <w:szCs w:val="21"/>
          <w:color w:val="auto"/>
        </w:rPr>
        <w:t>. Such Purchaser is either an individual or an entity duly incorporated or formed,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both"/>
        <w:ind w:left="-460" w:firstLine="644"/>
        <w:spacing w:after="0" w:line="234" w:lineRule="auto"/>
        <w:tabs>
          <w:tab w:leader="none" w:pos="85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Disclosed Principal. </w:t>
      </w:r>
      <w:r>
        <w:rPr>
          <w:rFonts w:ascii="Times New Roman" w:cs="Times New Roman" w:eastAsia="Times New Roman" w:hAnsi="Times New Roman"/>
          <w:sz w:val="22"/>
          <w:szCs w:val="22"/>
          <w:color w:val="auto"/>
        </w:rPr>
        <w:t>If the Purchaser is contracting hereunder as trustee or agent for a fully managed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(including for greater certainty, a portfolio manager or comparable advisor) or as trustee or agent for a Disclosed Principal, the Purchaser is duly authorized to execute and deliver this Agreement and all other necessary documentation in connection with such purchase of the Securities, and if the Purchaser is acting as trustee or agent for a Disclosed Principal, who is subscribing as principal for its own account and not for the benefit of any other Person, this Agreement has been duly authorized, executed and delivered by or on behalf of and constitutes a legal, valid and binding agreement of such Disclosed Principal and the Purchaser acknowledges that the Company may be required by law to disclose to certain regulatory authorities, including the Securities Commissions, the identity of such Disclosed Principal for whom it is acting. In the case of a subscription for the Securities by the Purchaser acting as principal, this Agreement has been duly authorized, executed and delivered by, and constitutes a legal, valid and binding agreement of the Purchaser. This Agreement is enforceable in accordance with its terms against the Purchaser.</w:t>
      </w:r>
    </w:p>
    <w:p>
      <w:pPr>
        <w:spacing w:after="0" w:line="135"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5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Purchaser Status</w:t>
      </w:r>
      <w:r>
        <w:rPr>
          <w:rFonts w:ascii="Times New Roman" w:cs="Times New Roman" w:eastAsia="Times New Roman" w:hAnsi="Times New Roman"/>
          <w:sz w:val="21"/>
          <w:szCs w:val="21"/>
          <w:color w:val="auto"/>
        </w:rPr>
        <w:t>. At the time such Purchaser was offered the Securities, it was, and as of the date 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is, either, (i) U.S. Accredited Investor or (ii) a Qualified Institutional Buyer. The Purchaser is not resident or domiciled in any province or territory in Canada and is a resident of the jurisdiction set out in the signature page attached hereto.</w:t>
      </w:r>
    </w:p>
    <w:p>
      <w:pPr>
        <w:spacing w:after="0" w:line="124" w:lineRule="exact"/>
        <w:rPr>
          <w:rFonts w:ascii="Times New Roman" w:cs="Times New Roman" w:eastAsia="Times New Roman" w:hAnsi="Times New Roman"/>
          <w:sz w:val="21"/>
          <w:szCs w:val="21"/>
          <w:color w:val="auto"/>
        </w:rPr>
      </w:pPr>
    </w:p>
    <w:p>
      <w:pPr>
        <w:ind w:left="880" w:hanging="696"/>
        <w:spacing w:after="0"/>
        <w:tabs>
          <w:tab w:leader="none" w:pos="8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840" w:hanging="656"/>
        <w:spacing w:after="0"/>
        <w:tabs>
          <w:tab w:leader="none" w:pos="8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460" w:firstLine="644"/>
        <w:spacing w:after="0" w:line="238" w:lineRule="auto"/>
        <w:tabs>
          <w:tab w:leader="none" w:pos="82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Experience of Such Purchaser</w:t>
      </w:r>
      <w:r>
        <w:rPr>
          <w:rFonts w:ascii="Times New Roman" w:cs="Times New Roman" w:eastAsia="Times New Roman" w:hAnsi="Times New Roman"/>
          <w:sz w:val="22"/>
          <w:szCs w:val="22"/>
          <w:color w:val="auto"/>
        </w:rPr>
        <w:t>. Such Purchaser, either alone or together with its representatives, has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49" w:lineRule="exact"/>
        <w:rPr>
          <w:rFonts w:ascii="Times New Roman" w:cs="Times New Roman" w:eastAsia="Times New Roman" w:hAnsi="Times New Roman"/>
          <w:sz w:val="22"/>
          <w:szCs w:val="22"/>
          <w:color w:val="auto"/>
        </w:rPr>
      </w:pPr>
    </w:p>
    <w:p>
      <w:pPr>
        <w:jc w:val="both"/>
        <w:ind w:left="-460" w:firstLine="644"/>
        <w:spacing w:after="0" w:line="243" w:lineRule="auto"/>
        <w:tabs>
          <w:tab w:leader="none" w:pos="90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Access to Information</w:t>
      </w:r>
      <w:r>
        <w:rPr>
          <w:rFonts w:ascii="Times New Roman" w:cs="Times New Roman" w:eastAsia="Times New Roman" w:hAnsi="Times New Roman"/>
          <w:sz w:val="21"/>
          <w:szCs w:val="21"/>
          <w:color w:val="auto"/>
        </w:rPr>
        <w:t>. Such Purchaser acknowledges that it has had the opportunity to review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Documents (including all exhibits and schedules thereto) and the Continuous Disclosure Materials, including for the avoidance of doubt, the Prospectus,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Agents nor any Affiliate of the Placement Agents has provided such Purchaser with any information or advice with respect to the Securities nor is such information or advice necessary or desired. Except for the foregoing, such Purchaser is relying exclusively on its own sources of information, investment analysis and due diligence (including professional advice it deems appropriate) with respect to the execution, delivery and performance of the Transaction Documents, the Securities and the business, condition (financial and otherwise), management, operations, properties and prospects of the Company, including, but not limited to, all business, legal, regulatory, accounting, credit and tax matters. Neither the Placement Agents nor any Affiliate has made or makes any representation as to the Company or the quality of the Securities and the Placement Agents and any Affiliate may have acquired non-public information with respect to the Company which such Purchaser agrees need not be provided to it. In connection with the issuance of the Securities to such Purchaser, neither the Placement Agents nor any of its Affiliates has acted as a financial advisor or fiduciary to such Purchaser.</w:t>
      </w:r>
    </w:p>
    <w:p>
      <w:pPr>
        <w:spacing w:after="0" w:line="15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6" w:name="page37"/>
    <w:bookmarkEnd w:id="36"/>
    <w:p>
      <w:pPr>
        <w:jc w:val="both"/>
        <w:ind w:left="-460" w:firstLine="644"/>
        <w:spacing w:after="0" w:line="232" w:lineRule="auto"/>
        <w:tabs>
          <w:tab w:leader="none" w:pos="90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Transactions and Confidentiality</w:t>
      </w:r>
      <w:r>
        <w:rPr>
          <w:rFonts w:ascii="Times New Roman" w:cs="Times New Roman" w:eastAsia="Times New Roman" w:hAnsi="Times New Roman"/>
          <w:sz w:val="22"/>
          <w:szCs w:val="22"/>
          <w:color w:val="auto"/>
        </w:rPr>
        <w:t>. Other than consummating the transactions contemplated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its officers, directors, partners, legal and other advisors, employees, and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after the Closing Date, in compliance with all applicable laws.</w:t>
      </w:r>
    </w:p>
    <w:p>
      <w:pPr>
        <w:spacing w:after="0" w:line="149" w:lineRule="exact"/>
        <w:rPr>
          <w:rFonts w:ascii="Times New Roman" w:cs="Times New Roman" w:eastAsia="Times New Roman" w:hAnsi="Times New Roman"/>
          <w:sz w:val="22"/>
          <w:szCs w:val="22"/>
          <w:color w:val="auto"/>
        </w:rPr>
      </w:pPr>
    </w:p>
    <w:p>
      <w:pPr>
        <w:jc w:val="both"/>
        <w:ind w:left="-460" w:firstLine="644"/>
        <w:spacing w:after="0" w:line="241" w:lineRule="auto"/>
        <w:tabs>
          <w:tab w:leader="none" w:pos="80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Governmental Review</w:t>
      </w:r>
      <w:r>
        <w:rPr>
          <w:rFonts w:ascii="Times New Roman" w:cs="Times New Roman" w:eastAsia="Times New Roman" w:hAnsi="Times New Roman"/>
          <w:sz w:val="22"/>
          <w:szCs w:val="22"/>
          <w:color w:val="auto"/>
        </w:rPr>
        <w:t>. The Purchaser understands that no United States federal or state agency,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Canadian federal or provincial agency, or any other government or government agency has passed on or made any recommendation or endorsement of the Securities or the fairness or suitability of the investment in the Securities, not have such authorized passed upon or endorsed the merits of the Offering.</w:t>
      </w:r>
    </w:p>
    <w:p>
      <w:pPr>
        <w:spacing w:after="0" w:line="1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7" w:name="page38"/>
    <w:bookmarkEnd w:id="37"/>
    <w:p>
      <w:pPr>
        <w:jc w:val="both"/>
        <w:ind w:left="-460" w:firstLine="644"/>
        <w:spacing w:after="0" w:line="241" w:lineRule="auto"/>
        <w:tabs>
          <w:tab w:leader="none" w:pos="75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Trade Sanctions</w:t>
      </w:r>
      <w:r>
        <w:rPr>
          <w:rFonts w:ascii="Times New Roman" w:cs="Times New Roman" w:eastAsia="Times New Roman" w:hAnsi="Times New Roman"/>
          <w:sz w:val="22"/>
          <w:szCs w:val="22"/>
          <w:color w:val="auto"/>
        </w:rPr>
        <w:t>. The Purchaser (and any Disclosed Principal) is not a person or entity identified in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regulations made under the </w:t>
      </w:r>
      <w:r>
        <w:rPr>
          <w:rFonts w:ascii="Times New Roman" w:cs="Times New Roman" w:eastAsia="Times New Roman" w:hAnsi="Times New Roman"/>
          <w:sz w:val="22"/>
          <w:szCs w:val="22"/>
          <w:i w:val="1"/>
          <w:iCs w:val="1"/>
          <w:color w:val="auto"/>
        </w:rPr>
        <w:t>United Nations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i w:val="1"/>
          <w:iCs w:val="1"/>
          <w:color w:val="auto"/>
        </w:rPr>
        <w:t>Special Economic Measures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i w:val="1"/>
          <w:iCs w:val="1"/>
          <w:color w:val="auto"/>
        </w:rPr>
        <w:t>Freezing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Assets of Corrupt Foreign Officials Act </w:t>
      </w:r>
      <w:r>
        <w:rPr>
          <w:rFonts w:ascii="Times New Roman" w:cs="Times New Roman" w:eastAsia="Times New Roman" w:hAnsi="Times New Roman"/>
          <w:sz w:val="22"/>
          <w:szCs w:val="22"/>
          <w:color w:val="auto"/>
        </w:rPr>
        <w:t>(Canada), the</w:t>
      </w:r>
      <w:r>
        <w:rPr>
          <w:rFonts w:ascii="Times New Roman" w:cs="Times New Roman" w:eastAsia="Times New Roman" w:hAnsi="Times New Roman"/>
          <w:sz w:val="22"/>
          <w:szCs w:val="22"/>
          <w:i w:val="1"/>
          <w:iCs w:val="1"/>
          <w:color w:val="auto"/>
        </w:rPr>
        <w:t xml:space="preserve"> Justice for Victims of Corrupt Foreign Officials Act (Sergei Magnitsky Law) </w:t>
      </w:r>
      <w:r>
        <w:rPr>
          <w:rFonts w:ascii="Times New Roman" w:cs="Times New Roman" w:eastAsia="Times New Roman" w:hAnsi="Times New Roman"/>
          <w:sz w:val="22"/>
          <w:szCs w:val="22"/>
          <w:color w:val="auto"/>
        </w:rPr>
        <w:t>(Canada), or other Applicable Laws. (collectively, the "</w:t>
      </w:r>
      <w:r>
        <w:rPr>
          <w:rFonts w:ascii="Times New Roman" w:cs="Times New Roman" w:eastAsia="Times New Roman" w:hAnsi="Times New Roman"/>
          <w:sz w:val="22"/>
          <w:szCs w:val="22"/>
          <w:b w:val="1"/>
          <w:bCs w:val="1"/>
          <w:color w:val="auto"/>
        </w:rPr>
        <w:t>Trade Sanctions</w:t>
      </w:r>
      <w:r>
        <w:rPr>
          <w:rFonts w:ascii="Times New Roman" w:cs="Times New Roman" w:eastAsia="Times New Roman" w:hAnsi="Times New Roman"/>
          <w:sz w:val="22"/>
          <w:szCs w:val="22"/>
          <w:color w:val="auto"/>
        </w:rPr>
        <w:t>").</w:t>
      </w:r>
    </w:p>
    <w:p>
      <w:pPr>
        <w:spacing w:after="0" w:line="131" w:lineRule="exact"/>
        <w:rPr>
          <w:rFonts w:ascii="Times New Roman" w:cs="Times New Roman" w:eastAsia="Times New Roman" w:hAnsi="Times New Roman"/>
          <w:sz w:val="22"/>
          <w:szCs w:val="22"/>
          <w:color w:val="auto"/>
        </w:rPr>
      </w:pPr>
    </w:p>
    <w:p>
      <w:pPr>
        <w:jc w:val="both"/>
        <w:ind w:left="-460" w:firstLine="644"/>
        <w:spacing w:after="0" w:line="234" w:lineRule="auto"/>
        <w:tabs>
          <w:tab w:leader="none" w:pos="76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Proceeds of Crime</w:t>
      </w:r>
      <w:r>
        <w:rPr>
          <w:rFonts w:ascii="Times New Roman" w:cs="Times New Roman" w:eastAsia="Times New Roman" w:hAnsi="Times New Roman"/>
          <w:sz w:val="22"/>
          <w:szCs w:val="22"/>
          <w:color w:val="auto"/>
        </w:rPr>
        <w:t>. The funds representing the Purchaser’s Subscription Amount which will be advanced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the Company to the Purchaser hereunder will not represent proceeds of crime for the purposes of the </w:t>
      </w:r>
      <w:r>
        <w:rPr>
          <w:rFonts w:ascii="Times New Roman" w:cs="Times New Roman" w:eastAsia="Times New Roman" w:hAnsi="Times New Roman"/>
          <w:sz w:val="22"/>
          <w:szCs w:val="22"/>
          <w:i w:val="1"/>
          <w:iCs w:val="1"/>
          <w:color w:val="auto"/>
        </w:rPr>
        <w:t>Proceeds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Crime (Money Laundering) and Terrorist Financing Act </w:t>
      </w:r>
      <w:r>
        <w:rPr>
          <w:rFonts w:ascii="Times New Roman" w:cs="Times New Roman" w:eastAsia="Times New Roman" w:hAnsi="Times New Roman"/>
          <w:sz w:val="22"/>
          <w:szCs w:val="22"/>
          <w:color w:val="auto"/>
        </w:rPr>
        <w:t>(Canada) (the “</w:t>
      </w:r>
      <w:r>
        <w:rPr>
          <w:rFonts w:ascii="Times New Roman" w:cs="Times New Roman" w:eastAsia="Times New Roman" w:hAnsi="Times New Roman"/>
          <w:sz w:val="22"/>
          <w:szCs w:val="22"/>
          <w:b w:val="1"/>
          <w:bCs w:val="1"/>
          <w:color w:val="auto"/>
        </w:rPr>
        <w:t>PCMLTFA</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Uniting and Strengthening America by Providing Appropriate Tools Required to Intercept and Obstruct Terrorism Act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PATRIOT Act</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Applicable Laws, and the Purchaser acknowledges that the Company may in the future be required by law to disclose the Purchaser’s name and other information relating to this Agreement and the Purchaser’s subscription hereunder, on a confidential basis, pursuant to the PCMLTFA, the PATRIOT Act, the Criminal Code, the Trade Sanctions, or otherwise under Applicable Laws. To the best of its knowledge none of the subscription funds to be provided by the Purchaser (i) have been or will be derived from or related to any activity that is deemed criminal under the laws of Canada, the United States, or any other jurisdiction, or (ii) are being tendered on behalf of a Person or entity who has not been identified to the Purchaser.</w:t>
      </w:r>
    </w:p>
    <w:p>
      <w:pPr>
        <w:spacing w:after="0" w:line="148" w:lineRule="exact"/>
        <w:rPr>
          <w:rFonts w:ascii="Times New Roman" w:cs="Times New Roman" w:eastAsia="Times New Roman" w:hAnsi="Times New Roman"/>
          <w:sz w:val="22"/>
          <w:szCs w:val="22"/>
          <w:color w:val="auto"/>
        </w:rPr>
      </w:pPr>
    </w:p>
    <w:p>
      <w:pPr>
        <w:ind w:left="800" w:hanging="616"/>
        <w:spacing w:after="0"/>
        <w:tabs>
          <w:tab w:leader="none" w:pos="8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Personal Information</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180" w:firstLine="652"/>
        <w:spacing w:after="0" w:line="232" w:lineRule="auto"/>
        <w:tabs>
          <w:tab w:leader="none" w:pos="14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acknowledges that this Agreement and the exhibits hereto, require the Purchaser to provide certain personal information to the Company. Such information is being collected by the Company for the purposes of completing this Offering, which includes, without limitation, determining the Purchaser’s eligibility to purchase the Shares under Canadian Securities Laws, U.S. Securities Laws and other Applicable Securities Laws and completing filings required by the Securities Commissions, SEC, Exchanges, and the securities and regulatory authorities under Applicable Securities Laws. To the extent such disclosure is required by law or Trading Market regulations, in which case the Company shall provide the Purchaser with prior notice of such disclosure, or reasonably necessary to consummate the Offering, the Purchaser’s personal information may be disclosed by the Company to: (a) the Securities Commissions, SEC and Exchanges, and the securities and regulatory authorities under Applicable Securities Laws, (b) the Canada Revenue Agency or other taxing authorities in Applicable Securities Laws, and (c) any of the other parties involved in the Offering, including legal counsel to the Company, including Canadian Company Counsel and U.S. Company Counsel, and the Placement Agents, and may be included in record books in connection with the Offering. Except as is required by law or Trading Market regulations, no Purchaser shall be included in any public documentation, without the prior written consent of the Purchaser. By executing this Agreement, the Purchaser is deemed to be consenting to the foregoing collection, use and disclosure of the Purchaser’s personal information. The Purchaser represents and warrants that it has the authority to provide the consents and acknowledgements set out in this paragraph on behalf of each Disclosed Principal, as applicable.</w:t>
      </w:r>
    </w:p>
    <w:p>
      <w:pPr>
        <w:spacing w:after="0" w:line="1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8" w:name="page39"/>
    <w:bookmarkEnd w:id="38"/>
    <w:p>
      <w:pPr>
        <w:jc w:val="both"/>
        <w:ind w:left="1300" w:firstLine="652"/>
        <w:spacing w:after="0" w:line="244" w:lineRule="auto"/>
        <w:tabs>
          <w:tab w:leader="none" w:pos="261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required under Canadian Securities Laws, the information provided by the Purchaser in this Agreement identifying among other things, the name, address, telephone number and email address of the Purchaser, the number of Shares and/or Pre-funded Warrants and Warrants being purchased hereunder, the Purchaser’s Subscription Amount, the Closing Date and the exemption that the Purchaser is relying on in purchasing the Shares and/or Pre-funded Warrants and Warrants will be disclosed to the Securities Commissions, in which case the Company shall provide the Purchaser with notice of such disclosure as promptly as practical and such information is being indirectly collected by the Securities Commissions under the authority granted to it under Canadian Securities Laws. This information is being collected for the purposes of the administration and enforcement of Canadian Laws. If required under Canadian Securities Laws, each Purchaser (and for certainty, including each Disclosed Principal) hereby authorizes the indirect collection of such information by the Securities Commissions. In the event the Purchaser has any questions with respect to the indirect collection of such information, the Purchaser should contact the applicable Securities Commissions at the contact details provided in Exhibit E. This Section 3.2(l)(ii) shall only apply to Purchasers that are not U.S. Persons.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AGREEMENTS OF THE PARTIES</w:t>
      </w:r>
    </w:p>
    <w:p>
      <w:pPr>
        <w:spacing w:after="0" w:line="16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Legends</w:t>
      </w:r>
      <w:r>
        <w:rPr>
          <w:rFonts w:ascii="Times New Roman" w:cs="Times New Roman" w:eastAsia="Times New Roman" w:hAnsi="Times New Roman"/>
          <w:sz w:val="22"/>
          <w:szCs w:val="22"/>
          <w:color w:val="auto"/>
        </w:rPr>
        <w:t>. The Shares, the Pre-funded Warrants and the Warrants will be issued free of any legends. If all or any portion of a Pre-funded Warrant or Warrant is exercised at a time when there is an effective registration statement to cover the issuance of the Pre-funded Warrant Shares or Warrant Shares or if the Pre-funded Warrant or Warrant is exercised via cashless exercise, the Pre-funded Warrant Shares and Warrant Shares issued pursuant to any such exercise, shall be issued free of all legends. If at any time following the date hereof the Registration Statement (or any subsequent registration statement registering the sale of the Pre-funded Warrant Shares and Warrant Shares) is not effective or is not otherwise available for the sale or resale of the Pre-funded Warrant Shares and Warrant Shares, the Company shall immediately notify the holders of the Pre-funded Warrants and Warrants in writing that such registration statement is not then effective and thereafter shall promptly notify such holders when the registration statement is effective again and available for the sale or resale of the Pre-funded Warrant Shares and Warrant Shares (it being understood and agreed that the foregoing shall not limit the ability of the Company to issue, or any Purchaser to sell, any of the Pre-funded Warrant Shares and Warrant Shares in compliance with applicable federal and state securities laws). The Company shall use reasonable best efforts to keep a registration statement (including the Registration Statement) registering the issuance of the Pre-funded Warrant Shares and Warrant Shares effective during the term of the Pre-funded Warrants and Warrants.</w:t>
      </w:r>
    </w:p>
    <w:p>
      <w:pPr>
        <w:spacing w:after="0" w:line="13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Furnishing of Information; Public Information</w:t>
      </w:r>
      <w:r>
        <w:rPr>
          <w:rFonts w:ascii="Times New Roman" w:cs="Times New Roman" w:eastAsia="Times New Roman" w:hAnsi="Times New Roman"/>
          <w:sz w:val="22"/>
          <w:szCs w:val="22"/>
          <w:color w:val="auto"/>
        </w:rPr>
        <w:t>. Until the time that no Purchaser owns Securities or the Warrants have expired, the Company covenants to maintain the registration of the Common Shares under Section 12(b) or 12(g) of the U.S. Exchange Act and to timely file (or obtain extensions in respect thereof and file within the applicable grace period) all reports required to be filed by the Company after the date hereof pursuant to the U.S Exchange Act.</w:t>
      </w:r>
    </w:p>
    <w:p>
      <w:pPr>
        <w:spacing w:after="0" w:line="14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Integration</w:t>
      </w:r>
      <w:r>
        <w:rPr>
          <w:rFonts w:ascii="Times New Roman" w:cs="Times New Roman" w:eastAsia="Times New Roman" w:hAnsi="Times New Roman"/>
          <w:sz w:val="22"/>
          <w:szCs w:val="22"/>
          <w:color w:val="auto"/>
        </w:rPr>
        <w:t>. The Company shall not sell, offer for sale or solicit offers to buy or otherwise negotiate in respect of any security (as defined in Section 2 of the U.S. Securities Act) that would be integrated with the offer or sale of the Securities in a manner that would require the registration under the U.S. Securities Act of the sale of the Securities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Securities Laws Disclosure; Publicity</w:t>
      </w:r>
      <w:r>
        <w:rPr>
          <w:rFonts w:ascii="Times New Roman" w:cs="Times New Roman" w:eastAsia="Times New Roman" w:hAnsi="Times New Roman"/>
          <w:sz w:val="22"/>
          <w:szCs w:val="22"/>
          <w:color w:val="auto"/>
        </w:rPr>
        <w:t>. The Company shall (a) by the Disclosure Time, issue one or more press releases disclosing the material terms of the transactions contemplated hereby and all other material non-public information provided to the Purchasers, including any subsequent event that is required to be disclosed by the Company under Applicable Securities Laws, including U.S. Securities Laws and Canadian Securities Laws, as of the date hereof but has not been publicly disclosed, (b) file a Report on Form 6-K, including the Transaction Documents as exhibits thereto, with the SEC within the time required by the U.S. Exchange Act and (c) file all documents required to be filed by it with the Securities Commissions under applicable Canadian Securities Laws. The Company covenants to the Purchasers that,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the Placement Agents), or anyone acting on behalf of the foregoing, in connection with the transactions contemplated by the Transaction Documents or otherwise). In addition, other than with respect to any Purchaser and the Placement Agents that have executed a confidentiality or non-disclosure agreement with the Company, effective upon the earlier of (i) the earlier of (x) the issuance of such press release or (y) the filing of such Form 6-K and (ii) the Disclosure Time, the Company acknowledges and agrees that any and all confidentiality or similar obligations under any agreement, whether written or oral, between the Company, any of its Subsidiaries or any of their respective officers, directors, agents, employees, Affiliates or agents on the one hand, and any of the Purchasers or any of their respective officers, directors, agents, employees, investment advisers or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or any Purchaser identified therein,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(or parties) with prior notice of such public statement or communication (provided that no consent or notice shall be required in connection with any disclosure required pursuant to Section 13 and/or Section 16 of the U.S. Exchange Act). Notwithstanding the foregoing, the Company shall not publicly disclose the name of any Purchaser, or include the name of any Purchaser in any filing with the SEC or any regulatory agency or Trading Market, without the prior written consent of such Purchaser, except (a) as required by federal, state or provincial securities laws, including U.S. Securities Laws, Canadian Securities Laws in connection with (i) as applicable, any filing with the SEC that contains disclosure pursuant to Regulation S-K 403, Security Ownership of Certain Beneficial Owners and Management, and (ii) the filing of final Transaction Documents with the SEC and the Securities Commissions; (b) to the extent such disclosure is required by law or Trading Market regulations, in which case the Company shall provide the Purchasers with prior notice of such disclosure permitted under this clause (b) and reasonably cooperate with such Purchaser regarding such disclosure; and (c) except as otherwise provided for in Sections 3.2(l).</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color w:val="auto"/>
        </w:rPr>
        <w:t>Shareholder Rights Plan</w:t>
      </w:r>
      <w:r>
        <w:rPr>
          <w:rFonts w:ascii="Times New Roman" w:cs="Times New Roman" w:eastAsia="Times New Roman" w:hAnsi="Times New Roman"/>
          <w:sz w:val="22"/>
          <w:szCs w:val="22"/>
          <w:color w:val="auto"/>
        </w:rPr>
        <w:t>. The Company maintains a shareholder rights plan as disclosed publicly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b w:val="1"/>
          <w:bCs w:val="1"/>
          <w:color w:val="auto"/>
        </w:rPr>
        <w:t>Non-Public Information</w:t>
      </w:r>
      <w:r>
        <w:rPr>
          <w:rFonts w:ascii="Times New Roman" w:cs="Times New Roman" w:eastAsia="Times New Roman" w:hAnsi="Times New Roman"/>
          <w:sz w:val="22"/>
          <w:szCs w:val="22"/>
          <w:color w:val="auto"/>
        </w:rPr>
        <w:t xml:space="preserve">. Except with respect to the material terms and conditions of the transactions contemplated by the Transaction Documents, which shall be disclosed pursuant to Section 4.4, the Company covenants and agrees that from and after the date hereof neither it, nor any other Person acting on its behalf will provide any Purchaser or its agents or counsel with any information that constitutes, or the Company reasonably believes constitutes, material non-public information, unless prior to disclosure of such information the Company identifies such information as being material nonpublic information and provides the Purchaser, and its advisors and representatives with the opportunity to accept or refuse to accept such material nonpublic information for review and such Purchaser shall have accepted in writing, and any Purchaser wishing to obtain such information enters into an appropriate confidentiality agreement with the Company with respect thereto.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or any of its officers, directors, agents, employees or Affiliates, or a duty to the Company or any of its officers, directors, agents, employees or Affiliates not to trade on the basis of such material, non-public information,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Purchaser shall remain subject to applicable law. To the extent that any notice provided pursuant to any Transaction Document constitutes or contains material, non-public information regarding the Company, the Company shall simultaneously file such notice with the SEC pursuant to a Report on Form 6-K, and making any such filings as required by Canadian Securities Laws. The Company understands and confirms that each Purchaser shall be relying on the foregoing covenant in effecting transactions in securities of the Company.</w:t>
      </w:r>
    </w:p>
    <w:p>
      <w:pPr>
        <w:spacing w:after="0" w:line="14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color w:val="auto"/>
        </w:rPr>
        <w:t>Use of Proceeds</w:t>
      </w:r>
      <w:r>
        <w:rPr>
          <w:rFonts w:ascii="Times New Roman" w:cs="Times New Roman" w:eastAsia="Times New Roman" w:hAnsi="Times New Roman"/>
          <w:sz w:val="22"/>
          <w:szCs w:val="22"/>
          <w:color w:val="auto"/>
        </w:rPr>
        <w:t>. The Company intends to use the net proceeds from this Offering as disclosed in the Canadian Prospectus Supplement.</w:t>
      </w:r>
    </w:p>
    <w:p>
      <w:pPr>
        <w:spacing w:after="0" w:line="12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b w:val="1"/>
          <w:bCs w:val="1"/>
          <w:color w:val="auto"/>
        </w:rPr>
        <w:t>Indemnification of Purchasers</w:t>
      </w:r>
      <w:r>
        <w:rPr>
          <w:rFonts w:ascii="Times New Roman" w:cs="Times New Roman" w:eastAsia="Times New Roman" w:hAnsi="Times New Roman"/>
          <w:sz w:val="21"/>
          <w:szCs w:val="21"/>
          <w:color w:val="auto"/>
        </w:rPr>
        <w:t>. Subject to the provisions of this Section 4.8, the Company will, to the fullest extent permitted by applicable law, indemnify and hold each Purchaser and their Affiliates and each of their respective directors, officers, equity holders (regardless of whether such interests are held directly or indirectly), members, partners, principals, managers, portfolio managers, investment advisors, employees and agents, attorneys and advisors (and any other Persons with a functionally equivalent role of a Person holding such titles notwithstanding a lack of such title or any other title), each Person who controls such Purchaser (within the meaning of Section 15 of the U.S. Securities Act and Section 20 of the U.S. Exchange Act), and directors, officers, equity holders (regardless of whether such interests are held directly or indirectly), members, partners, principals, managers, portfolio managers, investment advisors, employees and agents, attorneys and advisors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21"/>
          <w:szCs w:val="21"/>
          <w:b w:val="1"/>
          <w:bCs w:val="1"/>
          <w:i w:val="1"/>
          <w:iCs w:val="1"/>
          <w:color w:val="auto"/>
        </w:rPr>
        <w:t>Purchaser Party</w:t>
      </w:r>
      <w:r>
        <w:rPr>
          <w:rFonts w:ascii="Times New Roman" w:cs="Times New Roman" w:eastAsia="Times New Roman" w:hAnsi="Times New Roman"/>
          <w:sz w:val="21"/>
          <w:szCs w:val="21"/>
          <w:color w:val="auto"/>
        </w:rPr>
        <w:t>”) harmless, to the fullest extent permitted by applicable law, from and against any and all losses, liabilities, obligations, claims, contingencies, damages, costs, actions, suits, proceedings, investigations, inquiries, and expenses, including all judgments, amounts paid in settlements, court costs, reasonable attorneys’ fees and other documented out of pocket expenses and costs of investigation (collectively, “</w:t>
      </w:r>
      <w:r>
        <w:rPr>
          <w:rFonts w:ascii="Times New Roman" w:cs="Times New Roman" w:eastAsia="Times New Roman" w:hAnsi="Times New Roman"/>
          <w:sz w:val="21"/>
          <w:szCs w:val="21"/>
          <w:b w:val="1"/>
          <w:bCs w:val="1"/>
          <w:i w:val="1"/>
          <w:iCs w:val="1"/>
          <w:color w:val="auto"/>
        </w:rPr>
        <w:t>Losses</w:t>
      </w:r>
      <w:r>
        <w:rPr>
          <w:rFonts w:ascii="Times New Roman" w:cs="Times New Roman" w:eastAsia="Times New Roman" w:hAnsi="Times New Roman"/>
          <w:sz w:val="21"/>
          <w:szCs w:val="21"/>
          <w:color w:val="auto"/>
        </w:rPr>
        <w:t>”) that any such Purchaser Party may suffer or incur as a result of, arising out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and Canadian Securities Laws or any conduct by such Purchaser Party which is finally judicially determined to constitute fraud, gross negligence or willful misconduct), (c) any untrue or alleged untrue statement of a material fact contained in the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(d) any violation or alleged violation by the Company of the U.S. Securities Act, the U.S. Exchange Act, Canadian Securities Laws, or any state or provincial securities law, or any rule or regulation thereunder in connection therewith, and the Company shall promptly reimburse the Purchaser Party for any legal or other documented expenses reasonably incurred in investigating, defending, preparing to defend, providing evidence in, preparing to serve or serving as a witness with respect to, settling, compromising or paying any such Loss in connection with any such action, proceeding or claim.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provided that the failure by a Purchaser Party to give such notice shall not relieve the Company of its indemnification obligations hereunder, except to the extent that the failure to give such notice is materially prejudicial to the Company’s ability to defend such claim or litigation.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such Purchaser Party,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(i) for any settlement by a Purchaser Party effected without the Company’s prior written consent, which shall not be unreasonably withheld, conditioned or delayed; or (ii) to the extent, but only to the extent that a loss, claim, damage or liability is attributable to any Purchaser Party’s breach of any of the representations made by</w:t>
      </w:r>
    </w:p>
    <w:p>
      <w:pPr>
        <w:sectPr>
          <w:pgSz w:w="11900" w:h="16838" w:orient="portrait"/>
          <w:cols w:equalWidth="0" w:num="1">
            <w:col w:w="11240"/>
          </w:cols>
          <w:pgMar w:left="320" w:top="108" w:right="339" w:bottom="0" w:gutter="0" w:footer="0" w:header="0"/>
        </w:sectPr>
      </w:pPr>
    </w:p>
    <w:bookmarkStart w:id="41" w:name="page42"/>
    <w:bookmarkEnd w:id="41"/>
    <w:p>
      <w:pPr>
        <w:jc w:val="both"/>
        <w:spacing w:after="0" w:line="247" w:lineRule="auto"/>
        <w:rPr>
          <w:sz w:val="20"/>
          <w:szCs w:val="20"/>
          <w:color w:val="auto"/>
        </w:rPr>
      </w:pPr>
      <w:r>
        <w:rPr>
          <w:rFonts w:ascii="Times New Roman" w:cs="Times New Roman" w:eastAsia="Times New Roman" w:hAnsi="Times New Roman"/>
          <w:sz w:val="21"/>
          <w:szCs w:val="21"/>
          <w:color w:val="auto"/>
        </w:rPr>
        <w:t>such Purchaser Party in the Transaction Documents. The Company shall not, without the prior written consent of the Purchaser Party, consent to entry of any judgment or enter into any settlement or other compromise unless such judgement, settlement or compromise (i) includes as an unconditional term thereof the claimant or plaintiff providing to such Purchaser Party a release from all liability in respect to such action, claim or proceeding, (ii) imposes no obligation or liability on the Purchaser Party, and</w:t>
      </w:r>
    </w:p>
    <w:p>
      <w:pPr>
        <w:spacing w:after="0" w:line="2" w:lineRule="exact"/>
        <w:rPr>
          <w:sz w:val="20"/>
          <w:szCs w:val="20"/>
          <w:color w:val="auto"/>
        </w:rPr>
      </w:pPr>
    </w:p>
    <w:p>
      <w:pPr>
        <w:jc w:val="both"/>
        <w:ind w:firstLine="8"/>
        <w:spacing w:after="0" w:line="233" w:lineRule="auto"/>
        <w:tabs>
          <w:tab w:leader="none" w:pos="3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include any admission as to fault, culpability, wrongdoing or malfeasance on the part of the Purchaser Party.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both"/>
        <w:ind w:right="20" w:firstLine="648"/>
        <w:spacing w:after="0" w:line="246"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b w:val="1"/>
          <w:bCs w:val="1"/>
          <w:color w:val="auto"/>
        </w:rPr>
        <w:t>Reservation of Common Shares</w:t>
      </w:r>
      <w:r>
        <w:rPr>
          <w:rFonts w:ascii="Times New Roman" w:cs="Times New Roman" w:eastAsia="Times New Roman" w:hAnsi="Times New Roman"/>
          <w:sz w:val="22"/>
          <w:szCs w:val="22"/>
          <w:color w:val="auto"/>
        </w:rPr>
        <w:t>. As of the date hereof, the Company has unlimited authorized shares, free of preemptive rights, of Common Shares for the purpose of enabling the Company to issue Shares, Pre-funded Warrant Shares and Warrant Shares pursuant to this Agreement.</w:t>
      </w:r>
    </w:p>
    <w:p>
      <w:pPr>
        <w:spacing w:after="0" w:line="12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b w:val="1"/>
          <w:bCs w:val="1"/>
          <w:color w:val="auto"/>
        </w:rPr>
        <w:t>Listing of Common Shares</w:t>
      </w:r>
      <w:r>
        <w:rPr>
          <w:rFonts w:ascii="Times New Roman" w:cs="Times New Roman" w:eastAsia="Times New Roman" w:hAnsi="Times New Roman"/>
          <w:sz w:val="22"/>
          <w:szCs w:val="22"/>
          <w:color w:val="auto"/>
        </w:rPr>
        <w:t>. The Company hereby agrees to use commercially reasonable efforts to maintain the listing or quotation of the Common Shares on the Exchanges, and prior to the Closing, the Company shall apply to list or quote all of the Shares, Pre-funded Warrant Shares and Warrant Shares on the Exchanges and promptly secure the listing of all of the Shares, Pre-funded Warrant Shares and Warrant Shares on the Exchanges. The Company further agrees, if the Company applies to have the Common Shares traded on any other Trading Market, it will then include in such application all of the Shares, Pre-funded Warrant Shares and Warrant Shares and will take such other action as is necessary to cause all of the Shares, Pre-funded Warrant Shares and Warrant Shares to be listed or quoted on such other Trading Market as promptly as possible. The Company will use reasonable best efforts and take all action reasonably necessary to continue the listing and trading of its Common Shares on a Trading Market and will comply in all material respects with the Company’s reporting, filing and other obligations under the bylaws or rules of the Trading Market. For so long as the Company maintains a listing or quotation of the Common Shares on a Trading Market, the Company agrees to maintain the eligibility of the Common Shares for electronic transfer through the Depository Trust Company, CDS Clearing and Depositary Services Inc. or another established clearing corporation, including by timely payment of fees to the Depository Trust Company or such other established clearing corporation in connection with such electronic transfer.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Certain Transactions and Confidentiality</w:t>
      </w:r>
      <w:r>
        <w:rPr>
          <w:rFonts w:ascii="Times New Roman" w:cs="Times New Roman" w:eastAsia="Times New Roman" w:hAnsi="Times New Roman"/>
          <w:sz w:val="22"/>
          <w:szCs w:val="22"/>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other than with respect to any Purchaser that has executed a confidentiality or non-disclosure agreement with the Company, ending at such time that the transactions contemplated by this Agreement are first publicly announced pursuant to the initial press release as described in Section 4.4 (or the earlier termination of this Agreement). Each Purchaser, severally and not jointly with the other Purchasers, covenants that until the earlier of (i) such time as the transactions contemplated by this Agreement are publicly disclosed by the Company pursuant to the initial press release as described in Section 4.4 and (ii) the Disclosure Time (or the earlier termination of this Agreement),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or after the time this Agreement is terminated,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or after the time this Agreement is terminated and (iii) no Purchaser shall have any duty to maintain the confidentiality of the existence and terms of this transaction or not to trade in the securities of the Company to the Company, any of its Subsidiaries, or any of their respective officers, directors, employees, Affiliates or agent, after the earliest of (x) issuance of the initial press release as described in Section 4.4, (y) the time this Agreement is terminated and (z) the Disclosure Time. Notwithstanding the foregoing, in the case of a Purchaser that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Securities covered by this Agreement and, in the case of a Purchaser that has implemented internal information barriers pursuant to an information controls policy to “wall-off” certain trading personnel, this Section 4.11 shall apply only with respect to activities of such walled-off trading personnel.</w:t>
      </w:r>
    </w:p>
    <w:p>
      <w:pPr>
        <w:spacing w:after="0" w:line="13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color w:val="auto"/>
        </w:rPr>
        <w:t>Blue Sky Filings</w:t>
      </w:r>
      <w:r>
        <w:rPr>
          <w:rFonts w:ascii="Times New Roman" w:cs="Times New Roman" w:eastAsia="Times New Roman" w:hAnsi="Times New Roman"/>
          <w:sz w:val="22"/>
          <w:szCs w:val="22"/>
          <w:color w:val="auto"/>
        </w:rPr>
        <w:t>. The Company shall take such action as the Company shall reasonably determine is necessary in order to obtain an exemption for the sale of the Securities or to qualify the Securities for sale to the Purchasers at the Closing under applicable securities or "</w:t>
      </w:r>
      <w:r>
        <w:rPr>
          <w:rFonts w:ascii="Times New Roman" w:cs="Times New Roman" w:eastAsia="Times New Roman" w:hAnsi="Times New Roman"/>
          <w:sz w:val="22"/>
          <w:szCs w:val="22"/>
          <w:b w:val="1"/>
          <w:bCs w:val="1"/>
          <w:i w:val="1"/>
          <w:iCs w:val="1"/>
          <w:color w:val="auto"/>
        </w:rPr>
        <w:t>Blue Sky</w:t>
      </w:r>
      <w:r>
        <w:rPr>
          <w:rFonts w:ascii="Times New Roman" w:cs="Times New Roman" w:eastAsia="Times New Roman" w:hAnsi="Times New Roman"/>
          <w:sz w:val="22"/>
          <w:szCs w:val="22"/>
          <w:color w:val="auto"/>
        </w:rPr>
        <w:t>" laws of the states of the United States, and shall provide evidence of such actions promptly upon request of any Purchaser.</w:t>
      </w:r>
    </w:p>
    <w:p>
      <w:pPr>
        <w:spacing w:after="0" w:line="14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color w:val="auto"/>
        </w:rPr>
        <w:t>Equal Treatment of Purchasers.</w:t>
      </w:r>
      <w:r>
        <w:rPr>
          <w:rFonts w:ascii="Times New Roman" w:cs="Times New Roman" w:eastAsia="Times New Roman" w:hAnsi="Times New Roman"/>
          <w:sz w:val="22"/>
          <w:szCs w:val="22"/>
          <w:color w:val="auto"/>
        </w:rPr>
        <w:t xml:space="preserve">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Fees and Expenses</w:t>
      </w:r>
      <w:r>
        <w:rPr>
          <w:rFonts w:ascii="Times New Roman" w:cs="Times New Roman" w:eastAsia="Times New Roman" w:hAnsi="Times New Roman"/>
          <w:sz w:val="22"/>
          <w:szCs w:val="22"/>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be solely responsible for the payment of any fees or commissions payable to the Placement Agents pursuant to the Engagement Letter. The Company shall pay all Transfer Agent fees (including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3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with no rejection notice received, (b) the next Trading Day after the date of transmission, if such notice or communication is delivered via email attachment at the email address as set forth on the signature pages attached hereto on a day that is not a Trading Day or later than 5:30 p.m. (New York City time) on any Trading</w:t>
      </w:r>
    </w:p>
    <w:p>
      <w:pPr>
        <w:spacing w:after="0" w:line="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Day, with no rejection notice received, (c) the second (2</w:t>
      </w:r>
      <w:r>
        <w:rPr>
          <w:rFonts w:ascii="Times New Roman" w:cs="Times New Roman" w:eastAsia="Times New Roman" w:hAnsi="Times New Roman"/>
          <w:sz w:val="34"/>
          <w:szCs w:val="34"/>
          <w:color w:val="auto"/>
          <w:vertAlign w:val="superscript"/>
        </w:rPr>
        <w:t>nd</w:t>
      </w:r>
      <w:r>
        <w:rPr>
          <w:rFonts w:ascii="Times New Roman" w:cs="Times New Roman" w:eastAsia="Times New Roman" w:hAnsi="Times New Roman"/>
          <w:sz w:val="21"/>
          <w:szCs w:val="21"/>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or furnish such notice with the Commission pursuant to a Current Report on Form 6-K or by issuing a press release containing such material non-public information.</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Amendments; Waivers</w:t>
      </w:r>
      <w:r>
        <w:rPr>
          <w:rFonts w:ascii="Times New Roman" w:cs="Times New Roman" w:eastAsia="Times New Roman" w:hAnsi="Times New Roman"/>
          <w:sz w:val="22"/>
          <w:szCs w:val="22"/>
          <w:color w:val="auto"/>
        </w:rPr>
        <w:t>. No provision of this Agreement may be waived, modified, supplemented or amended except in a written instrument signed, in the case of a supplement, amendment or modification, by the Company and Purchasers which purchased at least 50.1% in interest of the Shares together with the Pre-funded Warrant Shares (without regard to any limitation on exercise set forth in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subset of Purchasers), the consent of such disproportionately impacted Purchaser (or each member of such subset of Purchasers) shall also be required. Notwithstanding anything to the contrary herein, no provision of this Agreement may be waived, modified, supplemented or amended in a manner that is adverse to a Placement Agent without the written consent of such adversely impacted Placement Agent.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(or subset of Purchasers) relative to the comparable rights and obligations of the other Purchasers shall require the prior written consent of such adversely affected Purchaser (or each member of such subset of Purchasers). Any amendment effected in accordance with this Section 5.4 shall be binding upon each Purchaser and holder of Securities and the Company.</w:t>
      </w:r>
    </w:p>
    <w:p>
      <w:pPr>
        <w:spacing w:after="0" w:line="14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The headings herein are for convenience only, do not constitute a part of this Agreement and shall not be deemed to limit or affect any of the provisions 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 Affiliate or to any Person to whom such Purchaser assigns or transfers any Securities,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transferee agrees in writing to be bound, with respect to the transferred Securities, by the provisions of the Transaction Documents that apply to the "Purchasers."</w:t>
      </w:r>
    </w:p>
    <w:p>
      <w:pPr>
        <w:spacing w:after="0" w:line="13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b w:val="1"/>
          <w:bCs w:val="1"/>
          <w:color w:val="auto"/>
        </w:rPr>
        <w:t>No Third-Party Beneficiaries</w:t>
      </w:r>
      <w:r>
        <w:rPr>
          <w:rFonts w:ascii="Times New Roman" w:cs="Times New Roman" w:eastAsia="Times New Roman" w:hAnsi="Times New Roman"/>
          <w:sz w:val="22"/>
          <w:szCs w:val="22"/>
          <w:color w:val="auto"/>
        </w:rPr>
        <w:t>. The Placement Agents shall be third-party beneficiaries of (i) the representations and warranties of the Company in Section 3.1 and the representations and warranties of the Purchasers in Section 3.2 and (ii) Section 5.20. This Agreement is intended for the benefit of the parties hereto and their respective successors and permitted assigns and is not for the benefit of, nor may any provision hereof be enforced by, any other Person, except as otherwise set forth in Section 4.8 and this Section 5.7.</w:t>
      </w:r>
    </w:p>
    <w:p>
      <w:pPr>
        <w:spacing w:after="0" w:line="15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Borough of Manhattan.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4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b w:val="1"/>
          <w:bCs w:val="1"/>
          <w:color w:val="auto"/>
        </w:rPr>
        <w:t>Survival</w:t>
      </w:r>
      <w:r>
        <w:rPr>
          <w:rFonts w:ascii="Times New Roman" w:cs="Times New Roman" w:eastAsia="Times New Roman" w:hAnsi="Times New Roman"/>
          <w:sz w:val="22"/>
          <w:szCs w:val="22"/>
          <w:color w:val="auto"/>
        </w:rPr>
        <w:t>. The representations and warranties contained herein shall survive the Closing and the delivery of the Securities.</w:t>
      </w:r>
    </w:p>
    <w:p>
      <w:pPr>
        <w:spacing w:after="0" w:line="1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b w:val="1"/>
          <w:bCs w:val="1"/>
          <w:color w:val="auto"/>
        </w:rPr>
        <w:t>Execution</w:t>
      </w:r>
      <w:r>
        <w:rPr>
          <w:rFonts w:ascii="Times New Roman" w:cs="Times New Roman" w:eastAsia="Times New Roman" w:hAnsi="Times New Roman"/>
          <w:sz w:val="22"/>
          <w:szCs w:val="22"/>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 Counterparts may be delivered via facsimile, electronic mail (including any electronic signature covered by the U.S. federal ESIGN Act of 2000, Uniform Electronic Transactions Act, the Electronic Signatures and Records Act or other Applicable Laws, e.g., www.docusign.com) or other transmission method and any counterpart so delivered shall be deemed to have been duly and validly delivered and be valid and effective for all purposes.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3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b w:val="1"/>
          <w:bCs w:val="1"/>
          <w:color w:val="auto"/>
        </w:rPr>
        <w:t>Rescission and Withdrawal Right</w:t>
      </w:r>
      <w:r>
        <w:rPr>
          <w:rFonts w:ascii="Times New Roman" w:cs="Times New Roman" w:eastAsia="Times New Roman" w:hAnsi="Times New Roman"/>
          <w:sz w:val="22"/>
          <w:szCs w:val="22"/>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5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b w:val="1"/>
          <w:bCs w:val="1"/>
          <w:color w:val="auto"/>
        </w:rPr>
        <w:t>Replacement of Securities</w:t>
      </w:r>
      <w:r>
        <w:rPr>
          <w:rFonts w:ascii="Times New Roman" w:cs="Times New Roman" w:eastAsia="Times New Roman" w:hAnsi="Times New Roman"/>
          <w:sz w:val="22"/>
          <w:szCs w:val="22"/>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3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b w:val="1"/>
          <w:bCs w:val="1"/>
          <w:color w:val="auto"/>
        </w:rPr>
        <w:t>Remedies</w:t>
      </w:r>
      <w:r>
        <w:rPr>
          <w:rFonts w:ascii="Times New Roman" w:cs="Times New Roman" w:eastAsia="Times New Roman" w:hAnsi="Times New Roman"/>
          <w:sz w:val="22"/>
          <w:szCs w:val="22"/>
          <w:color w:val="auto"/>
        </w:rPr>
        <w:t>. In addition to being entitled to exercise all rights provided herein or granted by law, including recovery of damages, each of the Purchasers and the Company will be entitled to specific performance and injunctive or other equitable relief under the Transaction Documents, without the necessity of posting a bond.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Except as expressly provided in this Agreement or the other Transaction Documents, each party hereto agrees that it shall not have a remedy of punitive or consequential damages against the other and hereby waives any right or claim to punitive or consequential damages it may now have or may arise in the future.</w:t>
      </w:r>
    </w:p>
    <w:p>
      <w:pPr>
        <w:spacing w:after="0" w:line="13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b w:val="1"/>
          <w:bCs w:val="1"/>
          <w:color w:val="auto"/>
        </w:rPr>
        <w:t>Payment Set Aside</w:t>
      </w:r>
      <w:r>
        <w:rPr>
          <w:rFonts w:ascii="Times New Roman" w:cs="Times New Roman" w:eastAsia="Times New Roman" w:hAnsi="Times New Roman"/>
          <w:sz w:val="22"/>
          <w:szCs w:val="22"/>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any bankruptcy law, state, provincial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5.16 </w:t>
      </w:r>
      <w:r>
        <w:rPr>
          <w:rFonts w:ascii="Times New Roman" w:cs="Times New Roman" w:eastAsia="Times New Roman" w:hAnsi="Times New Roman"/>
          <w:sz w:val="21"/>
          <w:szCs w:val="21"/>
          <w:b w:val="1"/>
          <w:bCs w:val="1"/>
          <w:color w:val="auto"/>
        </w:rPr>
        <w:t>Independent Nature of Purchasers' Obligations and Rights</w:t>
      </w:r>
      <w:r>
        <w:rPr>
          <w:rFonts w:ascii="Times New Roman" w:cs="Times New Roman" w:eastAsia="Times New Roman" w:hAnsi="Times New Roman"/>
          <w:sz w:val="21"/>
          <w:szCs w:val="21"/>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or jointly or in concert (as defined in Canadian Securities Laws) in connection with this Offering for the purpose of the acquisition of the Securities. (including a "group" within the meaning of Section 13(d)(3) of the U.S. Exchange Act) with respect to such obligations or the transactions contemplated by the Transaction Documents, and the Company acknowledges that, to the knowledge of the Company, the Purchasers are not acting in concert or as a group, or jointly or in concert (as defined in Canadian Securities Laws) in connection with this Offering for the purpose of the acquisition of the Securities. Each Purchaser shall be entitled to independently protect and enforce its rights including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3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b w:val="1"/>
          <w:bCs w:val="1"/>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5.18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The parties agree that each of them 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Shares in any Transaction Document shall be subject to adjustment for reverse and forward stock splits, stock dividends, stock combinations and other similar transactions of the Common Shares that occur after the date of this Agreement. Furthermore, wherever required by the context of this Agreement, the singular shall include the plural and vice versa, and the masculine gender shall include the feminine and neuter genders and vice versa, and references to any agreement, document or instrument shall be deemed to refer to such agreement, document or instrument as amended, supplemented or modified from time to time. All article, section, paragraph or clause references not attributed to a particular document shall be references to such parts of this Agreement, and all exhibit, annex, letter and schedule references not attributed to a particular document shall be references to such exhibits, annexes, letters and schedules to this Agreement. In addition, the word "or" is not exclusive; the words "including," "includes," "included" and "include" are deemed to be followed by the words "without limitation"; the terms "herein," "hereof" and "hereunder" and other words of similar import refer to this Agreement as a whole and not to any particular section, paragraph or subdivision; and the phrase "to the knowledge of the Company" are deemed to be followed by the words "following due inquiry based on the Company's current controls".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5.19 </w:t>
      </w:r>
      <w:r>
        <w:rPr>
          <w:rFonts w:ascii="Times New Roman" w:cs="Times New Roman" w:eastAsia="Times New Roman" w:hAnsi="Times New Roman"/>
          <w:sz w:val="22"/>
          <w:szCs w:val="22"/>
          <w:b w:val="1"/>
          <w:bCs w:val="1"/>
          <w:color w:val="auto"/>
        </w:rPr>
        <w:t>WAIVER OF JURY TRIAL</w:t>
      </w:r>
      <w:r>
        <w:rPr>
          <w:rFonts w:ascii="Times New Roman" w:cs="Times New Roman" w:eastAsia="Times New Roman" w:hAnsi="Times New Roman"/>
          <w:sz w:val="22"/>
          <w:szCs w:val="22"/>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3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b w:val="1"/>
          <w:bCs w:val="1"/>
          <w:color w:val="auto"/>
        </w:rPr>
        <w:t>Exculpation of the Placement Agents</w:t>
      </w:r>
      <w:r>
        <w:rPr>
          <w:rFonts w:ascii="Times New Roman" w:cs="Times New Roman" w:eastAsia="Times New Roman" w:hAnsi="Times New Roman"/>
          <w:sz w:val="22"/>
          <w:szCs w:val="22"/>
          <w:color w:val="auto"/>
        </w:rPr>
        <w:t>. Each party hereto agrees for the express benefit of the Placement Agents and their respective Affiliates and representatives that:</w:t>
      </w:r>
    </w:p>
    <w:p>
      <w:pPr>
        <w:spacing w:after="0" w:line="127" w:lineRule="exact"/>
        <w:rPr>
          <w:sz w:val="20"/>
          <w:szCs w:val="20"/>
          <w:color w:val="auto"/>
        </w:rPr>
      </w:pPr>
    </w:p>
    <w:p>
      <w:pPr>
        <w:jc w:val="both"/>
        <w:ind w:left="660" w:firstLine="644"/>
        <w:spacing w:after="0" w:line="244" w:lineRule="auto"/>
        <w:tabs>
          <w:tab w:leader="none" w:pos="197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Placement Agents are acting as placement agents for the Company solely in connection with the sale of the Securities and are not acting in any other capacity and are not and shall not be construed as fiduciaries for any Purchaser, or any other person or entity in connection with the sale of the Securities.</w:t>
      </w:r>
    </w:p>
    <w:p>
      <w:pPr>
        <w:spacing w:after="0" w:line="132"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77"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Placement Agents nor any of their respective Affiliates or representatives (i) have any duties or obligations other than those specifically set forth in the engagement letter among the Company and the Placement Agents (the "</w:t>
      </w:r>
      <w:r>
        <w:rPr>
          <w:rFonts w:ascii="Times New Roman" w:cs="Times New Roman" w:eastAsia="Times New Roman" w:hAnsi="Times New Roman"/>
          <w:sz w:val="21"/>
          <w:szCs w:val="21"/>
          <w:b w:val="1"/>
          <w:bCs w:val="1"/>
          <w:i w:val="1"/>
          <w:iCs w:val="1"/>
          <w:color w:val="auto"/>
        </w:rPr>
        <w:t>Engagement Letter</w:t>
      </w:r>
      <w:r>
        <w:rPr>
          <w:rFonts w:ascii="Times New Roman" w:cs="Times New Roman" w:eastAsia="Times New Roman" w:hAnsi="Times New Roman"/>
          <w:sz w:val="21"/>
          <w:szCs w:val="21"/>
          <w:color w:val="auto"/>
        </w:rPr>
        <w:t>"); (ii) shall be liable for any improper payment made in accordance with the information provided by the Company; (iii) has made or will make any representation or warranty, express or implied, of any kind or character, and has not provided any advice or recommendation in connection with the purchase or sale of the Securities;</w:t>
      </w:r>
    </w:p>
    <w:p>
      <w:pPr>
        <w:spacing w:after="0" w:line="1" w:lineRule="exact"/>
        <w:rPr>
          <w:rFonts w:ascii="Times New Roman" w:cs="Times New Roman" w:eastAsia="Times New Roman" w:hAnsi="Times New Roman"/>
          <w:sz w:val="21"/>
          <w:szCs w:val="21"/>
          <w:color w:val="auto"/>
        </w:rPr>
      </w:pPr>
    </w:p>
    <w:p>
      <w:pPr>
        <w:jc w:val="both"/>
        <w:ind w:left="660" w:hanging="4"/>
        <w:spacing w:after="0" w:line="231" w:lineRule="auto"/>
        <w:tabs>
          <w:tab w:leader="none" w:pos="106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any responsibilities as to the validity, accuracy, completeness, value or genuineness, as of any date, of any information, certificates or documentation delivered by or on behalf of the Company pursuant to this Agreement, or in connection with any of the transactions contemplated by this Agreement, including any valuation, offering or marketing materials, or any omissions from such materials; or (v) shall be liable or have any obligation (including without limitation, for or with respect to any losses, claims, damages, obligations, penalties, judgments, awards, liabilities, costs, expenses or disbursements incurred by any Purchaser, the Company or any other person or entity), whether in contract, tort or otherwise to any Purchaser or to any person claiming through such Purchaser, (x) for any action taken, suffered or omitted by any of them in good faith and reasonably believed to be authorized or within the discretion or rights or powers conferred upon them by this Agreement, (y) for anything which any of them may do or refrain from doing in connection with this Agreement, except for such party's own gross negligence, willful misconduct or bad faith, or (z) for anything otherwise in connection with the purchase and sale of the Securities.</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7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Placement Agents and their respective Affiliates and representatives shall be entitled to (i) rely on, and shall be protected in acting upon, any certificate, instrument, opinion, notice, letter or any other document or security delivered to any of them by or on behalf of the Company, and (ii) be indemnified by the Company for acting as Placement Agents hereunder pursuant the indemnification provisions set forth in the Engagement Letter.</w:t>
      </w:r>
    </w:p>
    <w:p>
      <w:pPr>
        <w:spacing w:after="0" w:line="15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5.21 Termination. This Agreement may be terminated by any Purchaser, as to such Purchaser’s obligations hereunder only and without any effect whatsoever on the obligations between the Company and the other Purchasers, by written notice to the other parties, if the Offering has not closed on or before October 31, 2025, or any other such date as has been mutually agreed to by the Purchaser and the Company; provided, however, that no such termination will affect the right of any party to sue for any breach by any other party (or parties).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hereto have caused this Securities Purchase Agreement to be duly executed by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authorized signatories as of the date first indicated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Title:_______________________________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Email:______________________________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FOR PURCHASER FOLLOWS]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Cybin Inc. Securities Purchase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undersigned have caused this Securities Purchase Agreement to be duly executed by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authorized signatories as of the date first indicated above.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Purchaser: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Signature of Authorized Signatory of Purchaser: </w:t>
      </w:r>
      <w:r>
        <w:rPr>
          <w:rFonts w:ascii="Times New Roman" w:cs="Times New Roman" w:eastAsia="Times New Roman" w:hAnsi="Times New Roman"/>
          <w:sz w:val="22"/>
          <w:szCs w:val="22"/>
          <w:color w:val="auto"/>
        </w:rPr>
        <w:t>_________________</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 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 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Address of Authorized Signatory: 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 to Purchaser: 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Delivery of Securities to Purchaser (if not same as address for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Subscription Amount: US$_________________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Pre-funded Warrants: 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Pre-funded Warrant Beneficial Ownership Limitation (4.99% or 9.99%): 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Warrants: 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Warrant Beneficial Ownership Limitation (4.99% or 9.99%): 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EIN Number: 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Type (options listed below):</w:t>
      </w:r>
    </w:p>
    <w:p>
      <w:pPr>
        <w:spacing w:after="0" w:line="179" w:lineRule="exact"/>
        <w:rPr>
          <w:sz w:val="20"/>
          <w:szCs w:val="20"/>
          <w:color w:val="auto"/>
        </w:rPr>
      </w:pPr>
    </w:p>
    <w:p>
      <w:pPr>
        <w:ind w:left="260" w:hanging="252"/>
        <w:spacing w:after="0"/>
        <w:tabs>
          <w:tab w:leader="none" w:pos="260" w:val="left"/>
        </w:tabs>
        <w:numPr>
          <w:ilvl w:val="0"/>
          <w:numId w:val="4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Partnership</w:t>
      </w:r>
    </w:p>
    <w:p>
      <w:pPr>
        <w:spacing w:after="0" w:line="192" w:lineRule="exact"/>
        <w:rPr>
          <w:rFonts w:ascii="MS PGothic" w:cs="MS PGothic" w:eastAsia="MS PGothic" w:hAnsi="MS PGothic"/>
          <w:sz w:val="22"/>
          <w:szCs w:val="22"/>
          <w:color w:val="auto"/>
        </w:rPr>
      </w:pPr>
    </w:p>
    <w:p>
      <w:pPr>
        <w:ind w:left="260" w:hanging="252"/>
        <w:spacing w:after="0"/>
        <w:tabs>
          <w:tab w:leader="none" w:pos="260" w:val="left"/>
        </w:tabs>
        <w:numPr>
          <w:ilvl w:val="0"/>
          <w:numId w:val="4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S-Corporation</w:t>
      </w:r>
    </w:p>
    <w:p>
      <w:pPr>
        <w:spacing w:after="0" w:line="179" w:lineRule="exact"/>
        <w:rPr>
          <w:rFonts w:ascii="MS PGothic" w:cs="MS PGothic" w:eastAsia="MS PGothic" w:hAnsi="MS PGothic"/>
          <w:sz w:val="22"/>
          <w:szCs w:val="22"/>
          <w:color w:val="auto"/>
        </w:rPr>
      </w:pPr>
    </w:p>
    <w:p>
      <w:pPr>
        <w:ind w:left="260" w:hanging="252"/>
        <w:spacing w:after="0"/>
        <w:tabs>
          <w:tab w:leader="none" w:pos="260" w:val="left"/>
        </w:tabs>
        <w:numPr>
          <w:ilvl w:val="0"/>
          <w:numId w:val="4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Bank</w:t>
      </w:r>
    </w:p>
    <w:p>
      <w:pPr>
        <w:spacing w:after="0" w:line="179" w:lineRule="exact"/>
        <w:rPr>
          <w:rFonts w:ascii="MS PGothic" w:cs="MS PGothic" w:eastAsia="MS PGothic" w:hAnsi="MS PGothic"/>
          <w:sz w:val="22"/>
          <w:szCs w:val="22"/>
          <w:color w:val="auto"/>
        </w:rPr>
      </w:pPr>
    </w:p>
    <w:p>
      <w:pPr>
        <w:ind w:left="260" w:hanging="252"/>
        <w:spacing w:after="0"/>
        <w:tabs>
          <w:tab w:leader="none" w:pos="260" w:val="left"/>
        </w:tabs>
        <w:numPr>
          <w:ilvl w:val="0"/>
          <w:numId w:val="4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Broker</w:t>
      </w:r>
    </w:p>
    <w:p>
      <w:pPr>
        <w:spacing w:after="0" w:line="192" w:lineRule="exact"/>
        <w:rPr>
          <w:rFonts w:ascii="MS PGothic" w:cs="MS PGothic" w:eastAsia="MS PGothic" w:hAnsi="MS PGothic"/>
          <w:sz w:val="22"/>
          <w:szCs w:val="22"/>
          <w:color w:val="auto"/>
        </w:rPr>
      </w:pPr>
    </w:p>
    <w:p>
      <w:pPr>
        <w:ind w:left="260" w:hanging="252"/>
        <w:spacing w:after="0"/>
        <w:tabs>
          <w:tab w:leader="none" w:pos="260" w:val="left"/>
        </w:tabs>
        <w:numPr>
          <w:ilvl w:val="0"/>
          <w:numId w:val="4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Nominee</w:t>
      </w:r>
    </w:p>
    <w:p>
      <w:pPr>
        <w:spacing w:after="0" w:line="179" w:lineRule="exact"/>
        <w:rPr>
          <w:rFonts w:ascii="MS PGothic" w:cs="MS PGothic" w:eastAsia="MS PGothic" w:hAnsi="MS PGothic"/>
          <w:sz w:val="22"/>
          <w:szCs w:val="22"/>
          <w:color w:val="auto"/>
        </w:rPr>
      </w:pPr>
    </w:p>
    <w:p>
      <w:pPr>
        <w:ind w:left="260" w:hanging="252"/>
        <w:spacing w:after="0"/>
        <w:tabs>
          <w:tab w:leader="none" w:pos="260" w:val="left"/>
        </w:tabs>
        <w:numPr>
          <w:ilvl w:val="0"/>
          <w:numId w:val="4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Corporation</w:t>
      </w:r>
    </w:p>
    <w:p>
      <w:pPr>
        <w:spacing w:after="0" w:line="179" w:lineRule="exact"/>
        <w:rPr>
          <w:rFonts w:ascii="MS PGothic" w:cs="MS PGothic" w:eastAsia="MS PGothic" w:hAnsi="MS PGothic"/>
          <w:sz w:val="22"/>
          <w:szCs w:val="22"/>
          <w:color w:val="auto"/>
        </w:rPr>
      </w:pPr>
    </w:p>
    <w:p>
      <w:pPr>
        <w:ind w:left="260" w:hanging="252"/>
        <w:spacing w:after="0"/>
        <w:tabs>
          <w:tab w:leader="none" w:pos="260" w:val="left"/>
        </w:tabs>
        <w:numPr>
          <w:ilvl w:val="0"/>
          <w:numId w:val="4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Non-Profit Organization</w:t>
      </w:r>
    </w:p>
    <w:p>
      <w:pPr>
        <w:spacing w:after="0" w:line="192" w:lineRule="exact"/>
        <w:rPr>
          <w:rFonts w:ascii="MS PGothic" w:cs="MS PGothic" w:eastAsia="MS PGothic" w:hAnsi="MS PGothic"/>
          <w:sz w:val="22"/>
          <w:szCs w:val="22"/>
          <w:color w:val="auto"/>
        </w:rPr>
      </w:pPr>
    </w:p>
    <w:p>
      <w:pPr>
        <w:ind w:left="260" w:hanging="252"/>
        <w:spacing w:after="0"/>
        <w:tabs>
          <w:tab w:leader="none" w:pos="260" w:val="left"/>
        </w:tabs>
        <w:numPr>
          <w:ilvl w:val="0"/>
          <w:numId w:val="4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Other: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jc w:val="both"/>
        <w:ind w:left="572" w:right="5520" w:hanging="572"/>
        <w:spacing w:after="0" w:line="266" w:lineRule="auto"/>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exact name that your Securities are to be registered in (attach additional sheets, if necessary). You may use a nominee name if appropriate:</w:t>
      </w:r>
    </w:p>
    <w:p>
      <w:pPr>
        <w:spacing w:after="0" w:line="189" w:lineRule="exact"/>
        <w:rPr>
          <w:rFonts w:ascii="Times New Roman" w:cs="Times New Roman" w:eastAsia="Times New Roman" w:hAnsi="Times New Roman"/>
          <w:sz w:val="18"/>
          <w:szCs w:val="18"/>
          <w:color w:val="auto"/>
        </w:rPr>
      </w:pPr>
    </w:p>
    <w:p>
      <w:pPr>
        <w:ind w:left="572" w:right="5520" w:hanging="572"/>
        <w:spacing w:after="0" w:line="282" w:lineRule="auto"/>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Purchaser and the registered holder listed in response to item 1 above:</w:t>
      </w:r>
    </w:p>
    <w:p>
      <w:pPr>
        <w:spacing w:after="0" w:line="175"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address of the registered holder listed in response to item</w:t>
      </w:r>
    </w:p>
    <w:p>
      <w:pPr>
        <w:spacing w:after="0" w:line="27"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above:</w:t>
      </w:r>
    </w:p>
    <w:p>
      <w:pPr>
        <w:spacing w:after="0" w:line="220" w:lineRule="exact"/>
        <w:rPr>
          <w:rFonts w:ascii="Times New Roman" w:cs="Times New Roman" w:eastAsia="Times New Roman" w:hAnsi="Times New Roman"/>
          <w:sz w:val="18"/>
          <w:szCs w:val="18"/>
          <w:color w:val="auto"/>
        </w:rPr>
      </w:pPr>
    </w:p>
    <w:p>
      <w:pPr>
        <w:ind w:left="572" w:right="5520" w:hanging="572"/>
        <w:spacing w:after="0" w:line="282" w:lineRule="auto"/>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Social Security Number or Tax Identification Number of the registered holder listed in the response to item 1 above:</w:t>
      </w:r>
    </w:p>
    <w:p>
      <w:pPr>
        <w:spacing w:after="0" w:line="175" w:lineRule="exact"/>
        <w:rPr>
          <w:rFonts w:ascii="Times New Roman" w:cs="Times New Roman" w:eastAsia="Times New Roman" w:hAnsi="Times New Roman"/>
          <w:sz w:val="18"/>
          <w:szCs w:val="18"/>
          <w:color w:val="auto"/>
        </w:rPr>
      </w:pPr>
    </w:p>
    <w:p>
      <w:pPr>
        <w:ind w:left="572" w:right="5520" w:hanging="572"/>
        <w:spacing w:after="0" w:line="282" w:lineRule="auto"/>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DTC Participant (broker-dealer at which the account or accounts to be credited with the Securities are maintained):</w:t>
      </w:r>
    </w:p>
    <w:p>
      <w:pPr>
        <w:spacing w:after="0" w:line="175"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Participant Number:</w:t>
      </w:r>
    </w:p>
    <w:p>
      <w:pPr>
        <w:spacing w:after="0" w:line="238" w:lineRule="exact"/>
        <w:rPr>
          <w:rFonts w:ascii="Times New Roman" w:cs="Times New Roman" w:eastAsia="Times New Roman" w:hAnsi="Times New Roman"/>
          <w:sz w:val="18"/>
          <w:szCs w:val="18"/>
          <w:color w:val="auto"/>
        </w:rPr>
      </w:pPr>
    </w:p>
    <w:p>
      <w:pPr>
        <w:ind w:left="572" w:right="5520" w:hanging="572"/>
        <w:spacing w:after="0" w:line="282" w:lineRule="auto"/>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Account at DTC Participant being credited with the Securities **:</w:t>
      </w:r>
    </w:p>
    <w:p>
      <w:pPr>
        <w:spacing w:after="0" w:line="175"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Number at DTC Participant being credited with the Securities:</w:t>
      </w:r>
    </w:p>
    <w:p>
      <w:pPr>
        <w:spacing w:after="0" w:line="184" w:lineRule="exact"/>
        <w:rPr>
          <w:rFonts w:ascii="Times New Roman" w:cs="Times New Roman" w:eastAsia="Times New Roman" w:hAnsi="Times New Roman"/>
          <w:sz w:val="18"/>
          <w:szCs w:val="18"/>
          <w:color w:val="auto"/>
        </w:rPr>
      </w:pPr>
    </w:p>
    <w:p>
      <w:pPr>
        <w:ind w:left="-8" w:firstLine="656"/>
        <w:spacing w:after="0" w:line="262" w:lineRule="auto"/>
        <w:tabs>
          <w:tab w:leader="none" w:pos="918" w:val="left"/>
        </w:tabs>
        <w:numPr>
          <w:ilvl w:val="2"/>
          <w:numId w:val="4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In order to ensure timely settlement, please cause your broker or custodian to include the name of the ultimate beneficial holder or sub-account to which the Securities shall be credited in the DWAC authorization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-450215</wp:posOffset>
            </wp:positionV>
            <wp:extent cx="3385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85820" cy="8890"/>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-732790</wp:posOffset>
            </wp:positionV>
            <wp:extent cx="33858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-1153160</wp:posOffset>
            </wp:positionV>
            <wp:extent cx="33858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-1435735</wp:posOffset>
            </wp:positionV>
            <wp:extent cx="33858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-1856105</wp:posOffset>
            </wp:positionV>
            <wp:extent cx="33858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-2275840</wp:posOffset>
            </wp:positionV>
            <wp:extent cx="33858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-2696210</wp:posOffset>
            </wp:positionV>
            <wp:extent cx="3385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85820" cy="8890"/>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-3115945</wp:posOffset>
            </wp:positionV>
            <wp:extent cx="33858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95885</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Form of Pre-funded Warrant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3" w:name="page54"/>
    <w:bookmarkEnd w:id="53"/>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A final base shelf prospectus containing important information relating to the securities offered has been filed with the securities regulatory authorities in each of the provinces and territories of Canada and with the United States Securities and Exchange Commission in the United States. A copy of the final base shelf prospectus, any amendments thereto and any applicable shelf prospectus supplement that has been filed, is required to be delivered with this document.</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document does not provide full disclosure of all material facts relating to the securities offered. Investors should read the final base shelf prospectus, any amendment and any applicable shelf prospectus supplement for disclosure of those facts, especially risk factors relating to the securities offered, before making an investment decision.</w:t>
      </w:r>
    </w:p>
    <w:p>
      <w:pPr>
        <w:spacing w:after="0" w:line="1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The terms of the securities described in this document are preliminary and subject to change. Cybin Inc. has filed a registration statement (and the accompanying base prospectus) with the SEC for the offering to which this communication relates. Before you invest, you should read the base prospectus and other documents Cybin Inc. has filed with the SEC for more complete information about Cybin Inc. and the offering. You may get these documents for free by visiting EDGAR on the SEC website at </w:t>
      </w:r>
      <w:r>
        <w:rPr>
          <w:rFonts w:ascii="Times New Roman" w:cs="Times New Roman" w:eastAsia="Times New Roman" w:hAnsi="Times New Roman"/>
          <w:sz w:val="22"/>
          <w:szCs w:val="22"/>
          <w:i w:val="1"/>
          <w:iCs w:val="1"/>
          <w:u w:val="single" w:color="auto"/>
          <w:color w:val="0563C1"/>
        </w:rPr>
        <w:t>www.sec.gov</w:t>
      </w:r>
      <w:r>
        <w:rPr>
          <w:rFonts w:ascii="Times New Roman" w:cs="Times New Roman" w:eastAsia="Times New Roman" w:hAnsi="Times New Roman"/>
          <w:sz w:val="22"/>
          <w:szCs w:val="22"/>
          <w:i w:val="1"/>
          <w:iCs w:val="1"/>
          <w:color w:val="000000"/>
        </w:rPr>
        <w:t>. Alternatively, copies may be obtained from Jefferies LLC, Attention: Equity Syndicate Prospectus Department, 520</w:t>
      </w:r>
      <w:r>
        <w:rPr>
          <w:rFonts w:ascii="Times New Roman" w:cs="Times New Roman" w:eastAsia="Times New Roman" w:hAnsi="Times New Roman"/>
          <w:sz w:val="22"/>
          <w:szCs w:val="22"/>
          <w:i w:val="1"/>
          <w:iCs w:val="1"/>
          <w:color w:val="0563C1"/>
        </w:rPr>
        <w:t xml:space="preserve"> </w:t>
      </w:r>
      <w:r>
        <w:rPr>
          <w:rFonts w:ascii="Times New Roman" w:cs="Times New Roman" w:eastAsia="Times New Roman" w:hAnsi="Times New Roman"/>
          <w:sz w:val="22"/>
          <w:szCs w:val="22"/>
          <w:i w:val="1"/>
          <w:iCs w:val="1"/>
          <w:color w:val="000000"/>
        </w:rPr>
        <w:t xml:space="preserve">Madison Avenue, New York, New York 10022, by telephone at (877) 821-7388 or by email at </w:t>
      </w:r>
      <w:r>
        <w:rPr>
          <w:rFonts w:ascii="Times New Roman" w:cs="Times New Roman" w:eastAsia="Times New Roman" w:hAnsi="Times New Roman"/>
          <w:sz w:val="22"/>
          <w:szCs w:val="22"/>
          <w:i w:val="1"/>
          <w:iCs w:val="1"/>
          <w:u w:val="single" w:color="auto"/>
          <w:color w:val="0563C1"/>
        </w:rPr>
        <w:t>Prospectus_Department@Jefferies.com</w:t>
      </w:r>
      <w:r>
        <w:rPr>
          <w:rFonts w:ascii="Times New Roman" w:cs="Times New Roman" w:eastAsia="Times New Roman" w:hAnsi="Times New Roman"/>
          <w:sz w:val="22"/>
          <w:szCs w:val="22"/>
          <w:i w:val="1"/>
          <w:iCs w:val="1"/>
          <w:color w:val="000000"/>
        </w:rPr>
        <w:t>; and TD Securities (USA) LLC, 1 Vanderbilt Avenue, New York, NY 10017, by telephone</w:t>
      </w:r>
      <w:r>
        <w:rPr>
          <w:rFonts w:ascii="Times New Roman" w:cs="Times New Roman" w:eastAsia="Times New Roman" w:hAnsi="Times New Roman"/>
          <w:sz w:val="22"/>
          <w:szCs w:val="22"/>
          <w:i w:val="1"/>
          <w:iCs w:val="1"/>
          <w:color w:val="0563C1"/>
        </w:rPr>
        <w:t xml:space="preserve"> </w:t>
      </w:r>
      <w:r>
        <w:rPr>
          <w:rFonts w:ascii="Times New Roman" w:cs="Times New Roman" w:eastAsia="Times New Roman" w:hAnsi="Times New Roman"/>
          <w:sz w:val="22"/>
          <w:szCs w:val="22"/>
          <w:i w:val="1"/>
          <w:iCs w:val="1"/>
          <w:color w:val="000000"/>
        </w:rPr>
        <w:t xml:space="preserve">at (855) 495-9846, or by email at </w:t>
      </w:r>
      <w:r>
        <w:rPr>
          <w:rFonts w:ascii="Times New Roman" w:cs="Times New Roman" w:eastAsia="Times New Roman" w:hAnsi="Times New Roman"/>
          <w:sz w:val="22"/>
          <w:szCs w:val="22"/>
          <w:i w:val="1"/>
          <w:iCs w:val="1"/>
          <w:u w:val="single" w:color="auto"/>
          <w:color w:val="0563C1"/>
        </w:rPr>
        <w:t>TD.ECM_Prospectus@tdsecurities.com</w:t>
      </w:r>
      <w:r>
        <w:rPr>
          <w:rFonts w:ascii="Times New Roman" w:cs="Times New Roman" w:eastAsia="Times New Roman" w:hAnsi="Times New Roman"/>
          <w:sz w:val="22"/>
          <w:szCs w:val="22"/>
          <w:i w:val="1"/>
          <w:iCs w:val="1"/>
          <w:color w:val="000000"/>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PRE-FUNDED COMMON SHARES PURCHASE WARRANT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5"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b w:val="1"/>
          <w:bCs w:val="1"/>
          <w:color w:val="auto"/>
        </w:rPr>
        <w:t>Warrant Shares: [●]</w:t>
      </w:r>
      <w:r>
        <w:rPr>
          <w:sz w:val="20"/>
          <w:szCs w:val="20"/>
          <w:color w:val="auto"/>
        </w:rPr>
        <w:tab/>
      </w:r>
      <w:r>
        <w:rPr>
          <w:rFonts w:ascii="Times New Roman" w:cs="Times New Roman" w:eastAsia="Times New Roman" w:hAnsi="Times New Roman"/>
          <w:sz w:val="17"/>
          <w:szCs w:val="17"/>
          <w:b w:val="1"/>
          <w:bCs w:val="1"/>
          <w:color w:val="auto"/>
        </w:rPr>
        <w:t>Date: [●], 2025</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THIS PRE-FUNDED COMMON SHARES PURCHASE WARRANT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Pre-Funded Warrant</w:t>
      </w:r>
      <w:r>
        <w:rPr>
          <w:rFonts w:ascii="Times New Roman" w:cs="Times New Roman" w:eastAsia="Times New Roman" w:hAnsi="Times New Roman"/>
          <w:sz w:val="22"/>
          <w:szCs w:val="22"/>
          <w:color w:val="auto"/>
        </w:rPr>
        <w:t>") certifies that, for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received,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its permitted assigns (the "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22"/>
          <w:szCs w:val="22"/>
          <w:b w:val="1"/>
          <w:bCs w:val="1"/>
          <w:color w:val="auto"/>
        </w:rPr>
        <w:t>Initial Exercise Date</w:t>
      </w:r>
      <w:r>
        <w:rPr>
          <w:rFonts w:ascii="Times New Roman" w:cs="Times New Roman" w:eastAsia="Times New Roman" w:hAnsi="Times New Roman"/>
          <w:sz w:val="22"/>
          <w:szCs w:val="22"/>
          <w:color w:val="auto"/>
        </w:rPr>
        <w:t>") until this Pre-Funded Warrant is exercised in full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but not thereafter, to subscribe for and purchase from Cybin Inc., a company existing under the laws of the Province of Ontario (Canada)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 purchase price per Common Share (each, as subject to adjustment hereunder, a "</w:t>
      </w:r>
      <w:r>
        <w:rPr>
          <w:rFonts w:ascii="Times New Roman" w:cs="Times New Roman" w:eastAsia="Times New Roman" w:hAnsi="Times New Roman"/>
          <w:sz w:val="22"/>
          <w:szCs w:val="22"/>
          <w:b w:val="1"/>
          <w:bCs w:val="1"/>
          <w:color w:val="auto"/>
        </w:rPr>
        <w:t>Pre-Funded Warrant Share</w:t>
      </w:r>
      <w:r>
        <w:rPr>
          <w:rFonts w:ascii="Times New Roman" w:cs="Times New Roman" w:eastAsia="Times New Roman" w:hAnsi="Times New Roman"/>
          <w:sz w:val="22"/>
          <w:szCs w:val="22"/>
          <w:color w:val="auto"/>
        </w:rPr>
        <w:t>") equal to the Exercise Price (as defined in Section 2.2(a)).</w:t>
      </w:r>
    </w:p>
    <w:p>
      <w:pPr>
        <w:spacing w:after="0" w:line="14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to the terms defined elsewhere in this Pre-Funded Warrant, the following terms have the following meanings: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Saturday, Sunday or any other day (excluding Lincoln's Birthday (February 12) and Election Day) on which commercial banks in the City of New York are authorized or required by law or other governmental action to remain closed; provided that, for clarification, commercial banks shall not be deemed to be authorized or required by law to remain closed due to "stay-at-home", "shelter-in-place", "non-essential employee" or any other similar orders or restrictions or the closure of any physical branch locations at the direction of any governmental authority so long as the electronic funds transfer systems (including wire transfers) of commercial banks in the City of New York are generally open for use by customers on such day.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means NYSE American LLC.</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 action, claim, suit, arbitration, hearing, investigation, notice of violation, inquiry or proceeding (including an informal investigation or partial proceeding, such as a deposition), whether commenced or threatened in writing or (to the Corporation's knowledge) otherwise.</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the Corporation's Registration Statement on Form F-10 (File No. 333-289139), including any applicable prospectus supplements thereto, or such other form as may be available to the Corporation relating to and providing for the registration of the Pre-Funded Warrants and Pre-funded Warrant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NYSE American is open for trading.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Exchange Act</w:t>
      </w:r>
      <w:r>
        <w:rPr>
          <w:rFonts w:ascii="Times New Roman" w:cs="Times New Roman" w:eastAsia="Times New Roman" w:hAnsi="Times New Roman"/>
          <w:sz w:val="22"/>
          <w:szCs w:val="22"/>
          <w:color w:val="auto"/>
        </w:rPr>
        <w:t>" means the United States Securities 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has the meaning ascribed to such term in Regulation S under the U.S. Securities 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means the United States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has the meaning ascribed to such term in Regulation S under the U.S. Securities Act.</w:t>
      </w:r>
    </w:p>
    <w:p>
      <w:pPr>
        <w:spacing w:after="0" w:line="16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EXERCISE</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Exercise of Pre-Funded Warrant</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Exercise of the purchase rights represented by this Pre-Funded Warrant may be made, in whole or in part, at any time or times on or after the Initial Exercise Date and on or before the Termination Date by delivery to the Corporation of a duly executed PDF copy submitted by e-mail (or e-mail attachment) of the notice of exercise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Notice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Exercise</w:t>
      </w:r>
      <w:r>
        <w:rPr>
          <w:rFonts w:ascii="Times New Roman" w:cs="Times New Roman" w:eastAsia="Times New Roman" w:hAnsi="Times New Roman"/>
          <w:sz w:val="21"/>
          <w:szCs w:val="21"/>
          <w:color w:val="auto"/>
        </w:rPr>
        <w:t>") and payment of the aggregate Exercise Price for the Pre-Funded Warrant Shares specified in the applicable Notice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Exercise by wire transfer unless the "cashless exercise" procedure specified in Section 2.2(b)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Pre-Funded Warrant to the Corporation until the Holder has purchased all of the Pre-Funded Warrant Shares available hereunder and the Pre-Funded Warrant has been exercised in full, in which case, the Holder shall surrender this Pre-Funded Warrant to the Corporation for cancellation within three (3) Business Days of the date on which the final Notice of Exercise is delivered to the Corporation. Partial exercises of this Pre-Funded Warrant resulting in purchases of a portion of the total number of Pre-Funded Warrant Shares available hereunder shall have the effect of lowering the outstanding number of Pre-Funded Warrant Shares purchasable hereunder in an amount equal to the applicable number of Pre-Funded Warrant Shares purchased. The Holder and the Corporation shall maintain records showing the number of Pre-Funded Warrant Shares purchased and the date of such purchases. The Corporation shall deliver any objection to any Notice of Exercise within two (2) Business Days of receipt of such notice. </w:t>
      </w:r>
      <w:r>
        <w:rPr>
          <w:rFonts w:ascii="Times New Roman" w:cs="Times New Roman" w:eastAsia="Times New Roman" w:hAnsi="Times New Roman"/>
          <w:sz w:val="21"/>
          <w:szCs w:val="21"/>
          <w:b w:val="1"/>
          <w:bCs w:val="1"/>
          <w:color w:val="auto"/>
        </w:rPr>
        <w:t>The Holder and any permitted assignee, by acceptance of this Pre-Funded</w:t>
      </w:r>
    </w:p>
    <w:p>
      <w:pPr>
        <w:spacing w:after="0" w:line="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Warrant, acknowledge and agree that, by reason of the provisions of this paragraph, following the purchase of a portion of the Pre-Funded Warrant Shares hereunder, the number of Pre-Funded Warrant Shares available for purchase hereunder at any given time may be less than the amount stated on the face hereof.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Exercise Price</w:t>
      </w:r>
    </w:p>
    <w:p>
      <w:pPr>
        <w:spacing w:after="0" w:line="170" w:lineRule="exact"/>
        <w:rPr>
          <w:sz w:val="20"/>
          <w:szCs w:val="20"/>
          <w:color w:val="auto"/>
        </w:rPr>
      </w:pPr>
    </w:p>
    <w:p>
      <w:pPr>
        <w:jc w:val="both"/>
        <w:ind w:left="660" w:hanging="652"/>
        <w:spacing w:after="0" w:line="235" w:lineRule="auto"/>
        <w:tabs>
          <w:tab w:leader="none" w:pos="6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exercise price of this Pre-Funded Warrant, except for a nominal exercise price of US$0.00001 per Pre-Funded Warrant Share, was pre-funded to the Corporation on or prior to the Initial Exercise Date and, consequently, no additional consideration (other than the nominal exercise price of US$0.00001 per Pre-Funded Warrant Share) shall be required to be paid by the Holder to any Person to effect any exercise of this Pre-Funded Warrant. The Holder shall not be entitled to the return or refund of all, or any portion, of such pre-paid aggregate exercise price under any circumstance or for any reason whatsoever. The remaining unpaid exercise price per Pre-Funded Warrant Share shall be US$0.00001, subject to adjustment hereunder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9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term of the Pre-Funded Warrants, the Holder may elect to exercise the Pre-Funded Warrants, in whole or in part, at such time by means of a "cashless exercise" in which the Holder shall be entitled to receive a number of Pre-Funded Warrant Shares equal to the quotient obtained by dividing [(A-B) (X)] by (A), where:</w:t>
      </w:r>
    </w:p>
    <w:p>
      <w:pPr>
        <w:spacing w:after="0" w:line="132" w:lineRule="exact"/>
        <w:rPr>
          <w:rFonts w:ascii="Times New Roman" w:cs="Times New Roman" w:eastAsia="Times New Roman" w:hAnsi="Times New Roman"/>
          <w:sz w:val="22"/>
          <w:szCs w:val="22"/>
          <w:color w:val="auto"/>
        </w:rPr>
      </w:pPr>
    </w:p>
    <w:p>
      <w:pPr>
        <w:ind w:left="1300" w:hanging="644"/>
        <w:spacing w:after="0" w:line="258" w:lineRule="auto"/>
        <w:tabs>
          <w:tab w:leader="none" w:pos="135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VWAP on the Trading Day immediately preceding the date on which the Holder elects to exercise any Pre-Funded Warrants by means of a "cashless exercise," as set forth in the applicable Notice of Exercise;</w:t>
      </w:r>
    </w:p>
    <w:p>
      <w:pPr>
        <w:spacing w:after="0" w:line="117"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as adjusted hereunder; and</w:t>
      </w:r>
    </w:p>
    <w:p>
      <w:pPr>
        <w:spacing w:after="0" w:line="179" w:lineRule="exact"/>
        <w:rPr>
          <w:sz w:val="20"/>
          <w:szCs w:val="20"/>
          <w:color w:val="auto"/>
        </w:rPr>
      </w:pPr>
    </w:p>
    <w:p>
      <w:pPr>
        <w:jc w:val="both"/>
        <w:ind w:left="1300" w:hanging="644"/>
        <w:spacing w:after="0" w:line="244" w:lineRule="auto"/>
        <w:tabs>
          <w:tab w:leader="none" w:pos="135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Pre-Funded Warrant Shares that would be issuable upon exercise of this Pre-Funded Warrant in accordance with the terms of this Pre-Funded Warrant if such exercise were by means of a cash exercise rather than a cashless exercise.</w:t>
      </w:r>
    </w:p>
    <w:p>
      <w:pPr>
        <w:spacing w:after="0" w:line="129"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means, for any date, the price determined by the first of the following clauses that applies: (a) the daily volume weighted average price of the Common Shares for such date (or if no trading occurs on such date, on the nearest preceding date on which trades occurred) on the principal trading market on which the Common Shares are then listed or quoted in the United States, (b) if the Common Shares are not then listed or quoted on a trading market in the United States but are listed or quoted on a trading market in Canada, the daily volume weighted average price of the Common Shares for such date (or if no trading occurs on such date, on the nearest preceding date on which trades occurred) on the principal trading market on which the Common Shares are then listed or quoted in Canada, converted into U.S. dollars based on the average daily rate of exchange reported by the Bank of Canada for the date of such trades (or, if no rate is reported for such date, the rate so reported for the next preceding date on which a rate was reported), or</w:t>
      </w:r>
    </w:p>
    <w:p>
      <w:pPr>
        <w:spacing w:after="0" w:line="5" w:lineRule="exact"/>
        <w:rPr>
          <w:sz w:val="20"/>
          <w:szCs w:val="20"/>
          <w:color w:val="auto"/>
        </w:rPr>
      </w:pPr>
    </w:p>
    <w:p>
      <w:pPr>
        <w:jc w:val="both"/>
        <w:ind w:left="660" w:hanging="4"/>
        <w:spacing w:after="0" w:line="235" w:lineRule="auto"/>
        <w:tabs>
          <w:tab w:leader="none" w:pos="97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other cases, the fair market value of a Common Share as determined by an independent appraiser selected in good faith by the holders of a majority in interest of the Pre-Funded Warrants then outstanding and reasonably acceptable to the Corporation, the fees and expenses of which shall be paid by the Corporation.</w:t>
      </w:r>
    </w:p>
    <w:p>
      <w:pPr>
        <w:spacing w:after="0" w:line="13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Mechanics of Exercise</w:t>
      </w:r>
    </w:p>
    <w:p>
      <w:pPr>
        <w:spacing w:after="0" w:line="179" w:lineRule="exact"/>
        <w:rPr>
          <w:sz w:val="20"/>
          <w:szCs w:val="20"/>
          <w:color w:val="auto"/>
        </w:rPr>
      </w:pPr>
    </w:p>
    <w:p>
      <w:pPr>
        <w:jc w:val="both"/>
        <w:ind w:left="660" w:hanging="652"/>
        <w:spacing w:after="0" w:line="234" w:lineRule="auto"/>
        <w:tabs>
          <w:tab w:leader="none" w:pos="69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Pre-Funded Warrant Shares Upon Exercise. </w:t>
      </w:r>
      <w:r>
        <w:rPr>
          <w:rFonts w:ascii="Times New Roman" w:cs="Times New Roman" w:eastAsia="Times New Roman" w:hAnsi="Times New Roman"/>
          <w:sz w:val="22"/>
          <w:szCs w:val="22"/>
          <w:color w:val="auto"/>
        </w:rPr>
        <w:t>The Corporation shall cause the Pre-Funded Warrant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purchased hereunder to be transmitted by its transfer agent to the Holder by either (A) if there is an effective Registration Statement registering the Pre-Funded Warrant Shares or if the Pre-Funded Warrant is being exercised on a cashless basis, crediting the account of the Holder's or its designee's balance account with The Depository Trust Company through its Deposit or Withdrawal at Custodian system ("</w:t>
      </w:r>
      <w:r>
        <w:rPr>
          <w:rFonts w:ascii="Times New Roman" w:cs="Times New Roman" w:eastAsia="Times New Roman" w:hAnsi="Times New Roman"/>
          <w:sz w:val="22"/>
          <w:szCs w:val="22"/>
          <w:b w:val="1"/>
          <w:bCs w:val="1"/>
          <w:color w:val="auto"/>
        </w:rPr>
        <w:t>DWAC</w:t>
      </w:r>
      <w:r>
        <w:rPr>
          <w:rFonts w:ascii="Times New Roman" w:cs="Times New Roman" w:eastAsia="Times New Roman" w:hAnsi="Times New Roman"/>
          <w:sz w:val="22"/>
          <w:szCs w:val="22"/>
          <w:color w:val="auto"/>
        </w:rPr>
        <w:t>") if the Corporation is then a participant in such system, (B) electronic book entry by crediting the account of the Holder's or its designee's balance account with CDS the number of Pre-Funded Warrant Shares to which the Holder is entitled pursuant to such exercise to the address specified by the Holder in the Notice of Exercise or (C) direct registration system ("</w:t>
      </w:r>
      <w:r>
        <w:rPr>
          <w:rFonts w:ascii="Times New Roman" w:cs="Times New Roman" w:eastAsia="Times New Roman" w:hAnsi="Times New Roman"/>
          <w:sz w:val="22"/>
          <w:szCs w:val="22"/>
          <w:b w:val="1"/>
          <w:bCs w:val="1"/>
          <w:color w:val="auto"/>
        </w:rPr>
        <w:t>DRS</w:t>
      </w:r>
      <w:r>
        <w:rPr>
          <w:rFonts w:ascii="Times New Roman" w:cs="Times New Roman" w:eastAsia="Times New Roman" w:hAnsi="Times New Roman"/>
          <w:sz w:val="22"/>
          <w:szCs w:val="22"/>
          <w:color w:val="auto"/>
        </w:rPr>
        <w:t>") statement or a physical certificate, in each case, within one (1) Trading Day (the "</w:t>
      </w:r>
      <w:r>
        <w:rPr>
          <w:rFonts w:ascii="Times New Roman" w:cs="Times New Roman" w:eastAsia="Times New Roman" w:hAnsi="Times New Roman"/>
          <w:sz w:val="22"/>
          <w:szCs w:val="22"/>
          <w:b w:val="1"/>
          <w:bCs w:val="1"/>
          <w:color w:val="auto"/>
        </w:rPr>
        <w:t>Pre-Funded Warrant Share Delivery Date</w:t>
      </w:r>
      <w:r>
        <w:rPr>
          <w:rFonts w:ascii="Times New Roman" w:cs="Times New Roman" w:eastAsia="Times New Roman" w:hAnsi="Times New Roman"/>
          <w:sz w:val="22"/>
          <w:szCs w:val="22"/>
          <w:color w:val="auto"/>
        </w:rPr>
        <w:t>") of receipt of the Notice of Exercise and the Exercise Price (other than in the case of a cashless exercise).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line="66"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2"/>
          <w:szCs w:val="22"/>
          <w:color w:val="auto"/>
        </w:rPr>
        <w:t>Upon delivery of the Notice of Exercise and receipt by the Corporation of the Exercise Price (other than in the case of a cashless exercise), the Holder shall be deemed for all corporate purposes to have become the holder of record of the Pre-Funded Warrant Shares with respect to which this Pre-Funded Warrant has been exercised, irrespective of the date of delivery of the Pre-Funded Warrant Shares.</w:t>
      </w:r>
    </w:p>
    <w:p>
      <w:pPr>
        <w:spacing w:after="0" w:line="132" w:lineRule="exact"/>
        <w:rPr>
          <w:sz w:val="20"/>
          <w:szCs w:val="20"/>
          <w:color w:val="auto"/>
        </w:rPr>
      </w:pPr>
    </w:p>
    <w:p>
      <w:pPr>
        <w:jc w:val="both"/>
        <w:ind w:left="660" w:hanging="652"/>
        <w:spacing w:after="0" w:line="243" w:lineRule="auto"/>
        <w:tabs>
          <w:tab w:leader="none" w:pos="69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Compensation for Buy-In on Failure to Timely Deliver Pre-Funded Warrant Shares Upon Exercise. </w:t>
      </w:r>
      <w:r>
        <w:rPr>
          <w:rFonts w:ascii="Times New Roman" w:cs="Times New Roman" w:eastAsia="Times New Roman" w:hAnsi="Times New Roman"/>
          <w:sz w:val="21"/>
          <w:szCs w:val="21"/>
          <w:color w:val="auto"/>
        </w:rPr>
        <w:t>In addition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rights available to the Holder, if the Corporation fails to cause the Transfer Agent to transmit to the Holder the Pre-Funded Warrant Shares in accordance with the provisions of Section 2.3(a) above pursuant to an exercise on or before the Pre-Funded Warrant Share Delivery Date, and if after such date the Holder is required by its broker to purchase (in an open market transaction or otherwise) or the Holder’s brokerage firm otherwise purchases, Common Shares to deliver in satisfaction of a sale by the Holder of the Pre-Funded Warrant Shares which the Holder anticipated receiving upon such exercise (a "</w:t>
      </w:r>
      <w:r>
        <w:rPr>
          <w:rFonts w:ascii="Times New Roman" w:cs="Times New Roman" w:eastAsia="Times New Roman" w:hAnsi="Times New Roman"/>
          <w:sz w:val="21"/>
          <w:szCs w:val="21"/>
          <w:b w:val="1"/>
          <w:bCs w:val="1"/>
          <w:color w:val="auto"/>
        </w:rPr>
        <w:t>Buy-In</w:t>
      </w:r>
      <w:r>
        <w:rPr>
          <w:rFonts w:ascii="Times New Roman" w:cs="Times New Roman" w:eastAsia="Times New Roman" w:hAnsi="Times New Roman"/>
          <w:sz w:val="21"/>
          <w:szCs w:val="21"/>
          <w:color w:val="auto"/>
        </w:rPr>
        <w:t>"), then the Corporation shall (A) pay in cash to the Holder the amount, if any, by which (x) the Holder’s total purchase price (including brokerage commissions, if any) for the Common Shares so purchased exceeds (y) the amount obtained by multiplying (1) the number of Pre-Funded Warrant Shares that the Corporation was required to deliver to the Holder in connection with the exercise at issue times (2) the price at which the sell order giving rise to such purchase obligation was executed, and (B) at the option of the Holder, either reinstate the portion of the Pre-Funded Warrant and equivalent number of Pre-Funded Warrant Shares for which such exercise was not honored (in which case such exercise shall be deemed rescinded) or deliver to the Holder the number of Common Shares that would have been issued had the Corporation timely complied with its exercise and delivery obligations hereunder. For example, if the Holder purchases Common Shares having a total purchase price of $11,000 to cover a Buy-In with respect to an attempted exercise of Common Shares an aggregate sale price giving rise to such purchase obligation of $10,000, under clause (A) of the immediately preceding sentence the Corporation shall be required to pay the Holder $1,000. The Holder shall provide the Corporation written notice indicating the amounts payable to the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Common Shares upon exercise of the Pre-Funded Warrant as required pursuant to the terms hereof.</w:t>
      </w:r>
    </w:p>
    <w:p>
      <w:pPr>
        <w:spacing w:after="0" w:line="155" w:lineRule="exact"/>
        <w:rPr>
          <w:rFonts w:ascii="Times New Roman" w:cs="Times New Roman" w:eastAsia="Times New Roman" w:hAnsi="Times New Roman"/>
          <w:sz w:val="21"/>
          <w:szCs w:val="21"/>
          <w:color w:val="auto"/>
        </w:rPr>
      </w:pPr>
    </w:p>
    <w:p>
      <w:pPr>
        <w:jc w:val="both"/>
        <w:ind w:left="660" w:hanging="652"/>
        <w:spacing w:after="0" w:line="238" w:lineRule="auto"/>
        <w:tabs>
          <w:tab w:leader="none" w:pos="68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New Pre-Funded Warrants Upon Exercise. </w:t>
      </w:r>
      <w:r>
        <w:rPr>
          <w:rFonts w:ascii="Times New Roman" w:cs="Times New Roman" w:eastAsia="Times New Roman" w:hAnsi="Times New Roman"/>
          <w:sz w:val="22"/>
          <w:szCs w:val="22"/>
          <w:color w:val="auto"/>
        </w:rPr>
        <w:t>If this Pre-Funded Warrant shall have been exercised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at the request of a Holder and upon surrender of this Pre-Funded Warrant certificate, at the time of delivery of the Pre-Funded Warrant Shares, deliver to the Holder a new Pre-Funded Warrant certificate evidencing the rights of the Holder to purchase the unpurchased Pre-Funded Warrant Shares called for by this Pre-Funded Warrant, which new Pre-Funded Warrant certificate shall in all other respects be identical with this Pre-Funded Warrant.</w:t>
      </w:r>
    </w:p>
    <w:p>
      <w:pPr>
        <w:spacing w:after="0" w:line="136" w:lineRule="exact"/>
        <w:rPr>
          <w:rFonts w:ascii="Times New Roman" w:cs="Times New Roman" w:eastAsia="Times New Roman" w:hAnsi="Times New Roman"/>
          <w:sz w:val="22"/>
          <w:szCs w:val="22"/>
          <w:color w:val="auto"/>
        </w:rPr>
      </w:pPr>
    </w:p>
    <w:p>
      <w:pPr>
        <w:jc w:val="both"/>
        <w:ind w:left="660" w:hanging="652"/>
        <w:spacing w:after="0" w:line="238" w:lineRule="auto"/>
        <w:tabs>
          <w:tab w:leader="none" w:pos="69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Fractional Shares or Scrip. </w:t>
      </w:r>
      <w:r>
        <w:rPr>
          <w:rFonts w:ascii="Times New Roman" w:cs="Times New Roman" w:eastAsia="Times New Roman" w:hAnsi="Times New Roman"/>
          <w:sz w:val="22"/>
          <w:szCs w:val="22"/>
          <w:color w:val="auto"/>
        </w:rPr>
        <w:t>No fractional shares or scrip representing fractional shares shall be issued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this Pre-Funded Warrant. As to any fraction of a Pre-Funded Warrant Share which the Holder would otherwise be entitled to purchase upon such exercise, the Corporation shall, at its election, either pay a cash adjustment in respect of such final fraction in an amount equal to such fraction multiplied by the Exercise Price or round up to the next whole share.</w:t>
      </w:r>
    </w:p>
    <w:p>
      <w:pPr>
        <w:spacing w:after="0" w:line="136" w:lineRule="exact"/>
        <w:rPr>
          <w:rFonts w:ascii="Times New Roman" w:cs="Times New Roman" w:eastAsia="Times New Roman" w:hAnsi="Times New Roman"/>
          <w:sz w:val="22"/>
          <w:szCs w:val="22"/>
          <w:color w:val="auto"/>
        </w:rPr>
      </w:pPr>
    </w:p>
    <w:p>
      <w:pPr>
        <w:jc w:val="both"/>
        <w:ind w:left="660" w:hanging="652"/>
        <w:spacing w:after="0" w:line="237" w:lineRule="auto"/>
        <w:tabs>
          <w:tab w:leader="none" w:pos="67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Charges, Taxes and Expenses. </w:t>
      </w:r>
      <w:r>
        <w:rPr>
          <w:rFonts w:ascii="Times New Roman" w:cs="Times New Roman" w:eastAsia="Times New Roman" w:hAnsi="Times New Roman"/>
          <w:sz w:val="22"/>
          <w:szCs w:val="22"/>
          <w:color w:val="auto"/>
        </w:rPr>
        <w:t>Issuance of Pre-Funded Warrant Shares shall be made without charge to the Holder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issue or transfer tax or other incidental expense in respect of the issuance of such Pre-Funded Warrant Shares, all of which taxes and expenses shall be paid by the Corporation, and such Pre-Funded Warrant Shares shall be issued in the name of the Holder. The Corporation shall pay all transfer agent fees required for same-day processing of any Notice of Exercise, as well as all fees to CDS and the Depository Trust Company (or another established clearing corporation performing similar functions) required for same day electronic delivery of the Pre-Funded Warrant Shares.</w:t>
      </w:r>
    </w:p>
    <w:p>
      <w:pPr>
        <w:spacing w:after="0" w:line="148" w:lineRule="exact"/>
        <w:rPr>
          <w:rFonts w:ascii="Times New Roman" w:cs="Times New Roman" w:eastAsia="Times New Roman" w:hAnsi="Times New Roman"/>
          <w:sz w:val="22"/>
          <w:szCs w:val="22"/>
          <w:color w:val="auto"/>
        </w:rPr>
      </w:pPr>
    </w:p>
    <w:p>
      <w:pPr>
        <w:ind w:left="660" w:hanging="652"/>
        <w:spacing w:after="0" w:line="262" w:lineRule="auto"/>
        <w:tabs>
          <w:tab w:leader="none" w:pos="67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Closing of Books. </w:t>
      </w:r>
      <w:r>
        <w:rPr>
          <w:rFonts w:ascii="Times New Roman" w:cs="Times New Roman" w:eastAsia="Times New Roman" w:hAnsi="Times New Roman"/>
          <w:sz w:val="22"/>
          <w:szCs w:val="22"/>
          <w:color w:val="auto"/>
        </w:rPr>
        <w:t>The Corporation will not close its shareholder books or records in any manner which prevents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timely exercise of this Pre-Funded Warrant, pursuant to the terms hereof.</w:t>
      </w:r>
    </w:p>
    <w:p>
      <w:pPr>
        <w:spacing w:after="0" w:line="10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Holder's Exercise Limitations</w:t>
      </w:r>
    </w:p>
    <w:p>
      <w:pPr>
        <w:spacing w:after="0" w:line="170" w:lineRule="exact"/>
        <w:rPr>
          <w:sz w:val="20"/>
          <w:szCs w:val="20"/>
          <w:color w:val="auto"/>
        </w:rPr>
      </w:pPr>
    </w:p>
    <w:p>
      <w:pPr>
        <w:jc w:val="both"/>
        <w:ind w:left="660" w:hanging="652"/>
        <w:spacing w:after="0" w:line="243" w:lineRule="auto"/>
        <w:tabs>
          <w:tab w:leader="none" w:pos="69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shall not effect any exercise of this Pre-Funded Warrant, and a Holder shall not have the right to exercise any portion of this Pre-Funded Warrant, pursuant to SECTION 2 or otherwise, to the extent that after giving effect to such issuance after exercise as set forth on the applicable Notice of Exercise, the Holder (together with the Holder's affiliates (as such term is defined in Rule 144 under the U.S. Securities Act)), and any other Person that is a member of a "</w:t>
      </w:r>
      <w:r>
        <w:rPr>
          <w:rFonts w:ascii="Times New Roman" w:cs="Times New Roman" w:eastAsia="Times New Roman" w:hAnsi="Times New Roman"/>
          <w:sz w:val="21"/>
          <w:szCs w:val="21"/>
          <w:b w:val="1"/>
          <w:bCs w:val="1"/>
          <w:color w:val="auto"/>
        </w:rPr>
        <w:t>group</w:t>
      </w:r>
      <w:r>
        <w:rPr>
          <w:rFonts w:ascii="Times New Roman" w:cs="Times New Roman" w:eastAsia="Times New Roman" w:hAnsi="Times New Roman"/>
          <w:sz w:val="21"/>
          <w:szCs w:val="21"/>
          <w:color w:val="auto"/>
        </w:rPr>
        <w:t>" (as defined in Rule 13d-5(b)(1) under the U.S. Exchange Act) (such Persons, "</w:t>
      </w:r>
      <w:r>
        <w:rPr>
          <w:rFonts w:ascii="Times New Roman" w:cs="Times New Roman" w:eastAsia="Times New Roman" w:hAnsi="Times New Roman"/>
          <w:sz w:val="21"/>
          <w:szCs w:val="21"/>
          <w:b w:val="1"/>
          <w:bCs w:val="1"/>
          <w:color w:val="auto"/>
        </w:rPr>
        <w:t>Attribution Parties</w:t>
      </w:r>
      <w:r>
        <w:rPr>
          <w:rFonts w:ascii="Times New Roman" w:cs="Times New Roman" w:eastAsia="Times New Roman" w:hAnsi="Times New Roman"/>
          <w:sz w:val="21"/>
          <w:szCs w:val="21"/>
          <w:color w:val="auto"/>
        </w:rPr>
        <w:t>"), would beneficially own Common Shares in excess of the Beneficial Ownership Limitation (as defined below). For purposes of the foregoing sentence, the number of Common Shares beneficially owned by the Holder and its Attribution Parties shall include the number of Common Shares issuable upon exercise of this Pre-Funded Warrant with respect to which such determination is being made, but shall exclude the number of Common Shares which would be issuable upon (i) exercise of the remaining, nonexercised portion of this Pre-Funded Warrant beneficially owned by the Holder or any of its affiliates or other Attribution Parties and (ii) exercise or conversion of the unexercised or nonconverted portion of any other securities of the Corporation (including, without limitation, any other securities of the Corporation or a subsidiary which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subject to a limitation on conversion or exercise analogous to the limitation contained herein beneficially owned by the Holder or any of its affiliates or other Attribution Parties. Beneficial ownership shall be calculated in accordance with: (i) Section 1.8 of National Instrument 62-104 Take-Over Bids and Issuer Bids ("</w:t>
      </w:r>
      <w:r>
        <w:rPr>
          <w:rFonts w:ascii="Times New Roman" w:cs="Times New Roman" w:eastAsia="Times New Roman" w:hAnsi="Times New Roman"/>
          <w:sz w:val="21"/>
          <w:szCs w:val="21"/>
          <w:b w:val="1"/>
          <w:bCs w:val="1"/>
          <w:color w:val="auto"/>
        </w:rPr>
        <w:t>NI 62-104</w:t>
      </w:r>
      <w:r>
        <w:rPr>
          <w:rFonts w:ascii="Times New Roman" w:cs="Times New Roman" w:eastAsia="Times New Roman" w:hAnsi="Times New Roman"/>
          <w:sz w:val="21"/>
          <w:szCs w:val="21"/>
          <w:color w:val="auto"/>
        </w:rPr>
        <w:t>"), it being acknowledged by the Holder that the Corporation is not representing to</w:t>
      </w:r>
    </w:p>
    <w:p>
      <w:pPr>
        <w:sectPr>
          <w:pgSz w:w="11900" w:h="16904" w:orient="portrait"/>
          <w:cols w:equalWidth="0" w:num="1">
            <w:col w:w="11240"/>
          </w:cols>
          <w:pgMar w:left="320" w:top="112" w:right="339" w:bottom="0" w:gutter="0" w:footer="0" w:header="0"/>
        </w:sectPr>
      </w:pPr>
    </w:p>
    <w:bookmarkStart w:id="57" w:name="page58"/>
    <w:bookmarkEnd w:id="57"/>
    <w:p>
      <w:pPr>
        <w:jc w:val="both"/>
        <w:spacing w:after="0"/>
        <w:rPr>
          <w:sz w:val="20"/>
          <w:szCs w:val="20"/>
          <w:color w:val="auto"/>
        </w:rPr>
      </w:pPr>
      <w:r>
        <w:rPr>
          <w:rFonts w:ascii="Times New Roman" w:cs="Times New Roman" w:eastAsia="Times New Roman" w:hAnsi="Times New Roman"/>
          <w:sz w:val="22"/>
          <w:szCs w:val="22"/>
          <w:color w:val="auto"/>
        </w:rPr>
        <w:t>the Holder that such calculation is in compliance with Section 1.8 of NI 62-104 or (ii) Section 13(d) of the U.S. Exchange Act and the rules and regulations promulgated thereunder, it being acknowledged by the Holder that the Corporation is not representing to the Holder that such calculation is in compliance with Section 13(d) of the U.S. Exchange Act and the Holder is solely responsible for any schedules required to be filed in accordance therewith.</w:t>
      </w:r>
    </w:p>
    <w:p>
      <w:pPr>
        <w:spacing w:after="0" w:line="1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128905</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0"/>
          </w:cols>
          <w:pgMar w:left="980" w:top="112" w:right="339" w:bottom="1440" w:gutter="0" w:footer="0" w:header="0"/>
        </w:sectPr>
      </w:pPr>
    </w:p>
    <w:bookmarkStart w:id="58" w:name="page59"/>
    <w:bookmarkEnd w:id="58"/>
    <w:p>
      <w:pPr>
        <w:jc w:val="both"/>
        <w:ind w:left="660" w:hanging="652"/>
        <w:spacing w:after="0" w:line="234" w:lineRule="auto"/>
        <w:tabs>
          <w:tab w:leader="none" w:pos="69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limitation contained in this Section 2.4 applies, the determination of whether this Pre-Funded Warrant is exercisable (in relation to other securities owned by the Holder together with any affiliates or other Attribution Parties) and of which portion of this Pre-Funded Warrant is exercisable shall be in the sole discretion of the Holder, and the submission of a Notice of Exercise shall be deemed to be the Holder's determination of whether this Pre-Funded Warrant is exercisable (in relation to other securities owned by the Holder together with any affiliates or other Attribution Parties) and of which portion of this Pre-Funded Warrant is exercisable, in each case subject to the Beneficial Ownership Limitation, and the Corporation shall have no obligation to verify or confirm the accuracy of such determination and shall have no liability for exercises of the Pre-Funded Warrant that are not in compliance with the Beneficial Ownership Limitation (other than to the extent that information on the number of outstanding Common Shares is provided by the Corporation and relied upon by the Holder).</w:t>
      </w:r>
    </w:p>
    <w:p>
      <w:pPr>
        <w:spacing w:after="0" w:line="139" w:lineRule="exact"/>
        <w:rPr>
          <w:rFonts w:ascii="Times New Roman" w:cs="Times New Roman" w:eastAsia="Times New Roman" w:hAnsi="Times New Roman"/>
          <w:sz w:val="22"/>
          <w:szCs w:val="22"/>
          <w:color w:val="auto"/>
        </w:rPr>
      </w:pPr>
    </w:p>
    <w:p>
      <w:pPr>
        <w:jc w:val="both"/>
        <w:ind w:left="660" w:hanging="652"/>
        <w:spacing w:after="0" w:line="234" w:lineRule="auto"/>
        <w:tabs>
          <w:tab w:leader="none" w:pos="6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2.4, in determining the number of outstanding Common Shares, the Holder may rely on the number of outstanding Common Shares as reflected in (A) the Corporation's most recent periodic or annual report filed with the Canadian securities commissions, United States securities commissions or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as the case may be, (B) a more recent public announcement by the Corporation or (C) a more recent written notice by the Corporation or its transfer agent setting forth the number of Common Shares outstanding. Upon the written or oral request of a Holder, the Corporation shall within one Trading Day confirm orally and in writing to the Holder the number of Common Shares then outstanding. In any case, the number of outstanding Common Shares shall be determined after giving effect to the conversion or exercise of securities of the Corporation, including this Pre-Funded Warrant, by the Holder or its affiliates or other Attribution Parties since the date as of which such number of outstanding Common Shares was reported.</w:t>
      </w:r>
    </w:p>
    <w:p>
      <w:pPr>
        <w:spacing w:after="0" w:line="148"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Beneficial Ownership Limitation</w:t>
      </w:r>
      <w:r>
        <w:rPr>
          <w:rFonts w:ascii="Times New Roman" w:cs="Times New Roman" w:eastAsia="Times New Roman" w:hAnsi="Times New Roman"/>
          <w:sz w:val="22"/>
          <w:szCs w:val="22"/>
          <w:color w:val="auto"/>
        </w:rPr>
        <w:t>" shall be: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both"/>
        <w:ind w:left="1300" w:hanging="644"/>
        <w:spacing w:after="0" w:line="223" w:lineRule="auto"/>
        <w:tabs>
          <w:tab w:leader="none" w:pos="131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[INSERT IF ELECTED BY HOLDER: [</w:t>
      </w:r>
      <w:r>
        <w:rPr>
          <w:rFonts w:ascii="Times New Roman" w:cs="Times New Roman" w:eastAsia="Times New Roman" w:hAnsi="Times New Roman"/>
          <w:sz w:val="22"/>
          <w:szCs w:val="22"/>
          <w:b w:val="1"/>
          <w:bCs w:val="1"/>
          <w:u w:val="single" w:color="auto"/>
          <w:color w:val="auto"/>
        </w:rPr>
        <w:t>4.99%</w:t>
      </w:r>
      <w:r>
        <w:rPr>
          <w:rFonts w:ascii="Times New Roman" w:cs="Times New Roman" w:eastAsia="Times New Roman" w:hAnsi="Times New Roman"/>
          <w:sz w:val="22"/>
          <w:szCs w:val="22"/>
          <w:b w:val="1"/>
          <w:bCs w:val="1"/>
          <w:color w:val="auto"/>
        </w:rPr>
        <w:t xml:space="preserve"> of the number of the Common Shares outstanding immediately after giving effect to the issuance of any Common Shares upon exercise of the Pre-Funded Warrants; provided, however, that: (A) the Holder may, in its sole discretion, elect that this subsection (i) ceases to apply to the Holder by sending written notice of such election to the Corporation, in which case this subsection (i) will cease to apply to the Holder on the 61</w:t>
      </w:r>
      <w:r>
        <w:rPr>
          <w:rFonts w:ascii="Times New Roman" w:cs="Times New Roman" w:eastAsia="Times New Roman" w:hAnsi="Times New Roman"/>
          <w:sz w:val="35"/>
          <w:szCs w:val="35"/>
          <w:b w:val="1"/>
          <w:bCs w:val="1"/>
          <w:color w:val="auto"/>
          <w:vertAlign w:val="superscript"/>
        </w:rPr>
        <w:t>st</w:t>
      </w:r>
      <w:r>
        <w:rPr>
          <w:rFonts w:ascii="Times New Roman" w:cs="Times New Roman" w:eastAsia="Times New Roman" w:hAnsi="Times New Roman"/>
          <w:sz w:val="22"/>
          <w:szCs w:val="22"/>
          <w:b w:val="1"/>
          <w:bCs w:val="1"/>
          <w:color w:val="auto"/>
        </w:rPr>
        <w:t xml:space="preserve"> day after receipt of such notice or on such later date specified in the notice;]</w:t>
      </w:r>
    </w:p>
    <w:p>
      <w:pPr>
        <w:spacing w:after="0" w:line="138"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3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9.99%</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number of the Common Shares outstanding immediately after giving effect to the issuance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Shares upon exercise of the Pre-Funded Warrants; provided, however, that: (A) the Holder may, in its sole discretion, subject to (B) elect that this subsection (ii) ceases to apply to the Holder by sending written notice</w:t>
      </w:r>
    </w:p>
    <w:p>
      <w:pPr>
        <w:spacing w:after="0" w:line="1" w:lineRule="exact"/>
        <w:rPr>
          <w:sz w:val="20"/>
          <w:szCs w:val="20"/>
          <w:color w:val="auto"/>
        </w:rPr>
      </w:pPr>
    </w:p>
    <w:p>
      <w:pPr>
        <w:jc w:val="both"/>
        <w:ind w:left="1300"/>
        <w:spacing w:after="0" w:line="214" w:lineRule="auto"/>
        <w:rPr>
          <w:sz w:val="20"/>
          <w:szCs w:val="20"/>
          <w:color w:val="auto"/>
        </w:rPr>
      </w:pPr>
      <w:r>
        <w:rPr>
          <w:rFonts w:ascii="Times New Roman" w:cs="Times New Roman" w:eastAsia="Times New Roman" w:hAnsi="Times New Roman"/>
          <w:sz w:val="22"/>
          <w:szCs w:val="22"/>
          <w:color w:val="auto"/>
        </w:rPr>
        <w:t>of such election to the Corporation, in which case this subsection (ii) will cease to apply to the Holder on the 61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22"/>
          <w:szCs w:val="22"/>
          <w:color w:val="auto"/>
        </w:rPr>
        <w:t xml:space="preserve"> day after receipt of such notice or on such later date specified in the notice, and (B) the Holder has filed, and Cboe Canada has cleared for acceptance, a personal information form in the form prescribed by Cboe Canada ("</w:t>
      </w:r>
      <w:r>
        <w:rPr>
          <w:rFonts w:ascii="Times New Roman" w:cs="Times New Roman" w:eastAsia="Times New Roman" w:hAnsi="Times New Roman"/>
          <w:sz w:val="22"/>
          <w:szCs w:val="22"/>
          <w:b w:val="1"/>
          <w:bCs w:val="1"/>
          <w:color w:val="auto"/>
        </w:rPr>
        <w:t>PIF</w:t>
      </w:r>
      <w:r>
        <w:rPr>
          <w:rFonts w:ascii="Times New Roman" w:cs="Times New Roman" w:eastAsia="Times New Roman" w:hAnsi="Times New Roman"/>
          <w:sz w:val="22"/>
          <w:szCs w:val="22"/>
          <w:color w:val="auto"/>
        </w:rPr>
        <w:t>"); or</w:t>
      </w:r>
    </w:p>
    <w:p>
      <w:pPr>
        <w:spacing w:after="0" w:line="150" w:lineRule="exact"/>
        <w:rPr>
          <w:sz w:val="20"/>
          <w:szCs w:val="20"/>
          <w:color w:val="auto"/>
        </w:rPr>
      </w:pPr>
    </w:p>
    <w:p>
      <w:pPr>
        <w:jc w:val="both"/>
        <w:ind w:left="1300" w:hanging="644"/>
        <w:spacing w:after="0" w:line="235" w:lineRule="auto"/>
        <w:tabs>
          <w:tab w:leader="none" w:pos="134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has made the election set out in subsection (ii)(A) and Cboe Canada has cleared for acceptance a PIF in accordance with subsection (ii)(B), </w:t>
      </w:r>
      <w:r>
        <w:rPr>
          <w:rFonts w:ascii="Times New Roman" w:cs="Times New Roman" w:eastAsia="Times New Roman" w:hAnsi="Times New Roman"/>
          <w:sz w:val="22"/>
          <w:szCs w:val="22"/>
          <w:b w:val="1"/>
          <w:bCs w:val="1"/>
          <w:u w:val="single" w:color="auto"/>
          <w:color w:val="auto"/>
        </w:rPr>
        <w:t>19.99%</w:t>
      </w:r>
      <w:r>
        <w:rPr>
          <w:rFonts w:ascii="Times New Roman" w:cs="Times New Roman" w:eastAsia="Times New Roman" w:hAnsi="Times New Roman"/>
          <w:sz w:val="22"/>
          <w:szCs w:val="22"/>
          <w:color w:val="auto"/>
        </w:rPr>
        <w:t xml:space="preserve"> of the number of Common Shares outstanding immediately after giving effect to the issuance of any Common Shares upon exercise of the Pre-Funded Warrants; provided, however, that (A) the Holder may, in its sole discretion, subject to (B), elect that this subsection (ii) ceases to apply to the Holder by sending written notice of such election to the Corporation, in which case this subsection (ii) will cease to apply to the Holder and (B) the requisite shareholder approval has been obtained in accordance with applicable Cboe Canada and NYSE American policies or the policies of such exchange(s) on which the Common Shares are listed at the relevant time.</w:t>
      </w:r>
    </w:p>
    <w:p>
      <w:pPr>
        <w:spacing w:after="0" w:line="13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Upon receipt of the notice under subsection (iii) above, the Corporation shall use its commercially reasonable best efforts to obtain the requisite shareholder approval in accordance with applicable Cboe Canada and NYSE American rules or the policies of such exchange(s) on which the Common Shares are listed at the relevant time to permit the Pre-Funded Warrant exercise as soon as practicable. The provisions of this paragraph shall be construed and implemented in a manner otherwise than in strict conformity with the terms of this Section 2.4 to correct this Section 2.4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Pre-Funded Warrant.</w:t>
      </w:r>
    </w:p>
    <w:p>
      <w:pPr>
        <w:spacing w:after="0" w:line="13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CERTAIN ADJUSTMENTS</w:t>
      </w:r>
    </w:p>
    <w:p>
      <w:pPr>
        <w:spacing w:after="0" w:line="17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Stock Dividends and Splits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Subject to approval by Cboe Canada and NYSE American (or any other stock exchange that the Common Shares are listed on), if the Corporation, at any time while this Pre-Funded Warrant is outstanding:</w:t>
      </w:r>
    </w:p>
    <w:p>
      <w:pPr>
        <w:spacing w:after="0" w:line="118" w:lineRule="exact"/>
        <w:rPr>
          <w:sz w:val="20"/>
          <w:szCs w:val="20"/>
          <w:color w:val="auto"/>
        </w:rPr>
      </w:pPr>
    </w:p>
    <w:p>
      <w:pPr>
        <w:jc w:val="both"/>
        <w:ind w:left="660" w:hanging="652"/>
        <w:spacing w:after="0" w:line="261" w:lineRule="auto"/>
        <w:tabs>
          <w:tab w:leader="none" w:pos="68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pays a stock dividend or otherwise makes a distribution or distributions on shares of its Common Shares or any other equity or equity equivalent securities payable in Common Shares (which, for avoidance of doubt, shall not include any Common Shares issued by the Corporation upon exercise of this Pre-Funded Warrant or any other Pre-Funded Warrants),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ind w:left="680" w:hanging="672"/>
        <w:spacing w:after="0"/>
        <w:tabs>
          <w:tab w:leader="none" w:pos="6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subdivides outstanding Common Shares into a larger number of shares,</w:t>
      </w:r>
    </w:p>
    <w:p>
      <w:pPr>
        <w:spacing w:after="0" w:line="166"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combines (including by way of reverse stock split) outstanding Common Shares into a smaller number of shares, or</w:t>
      </w:r>
    </w:p>
    <w:p>
      <w:pPr>
        <w:spacing w:after="0" w:line="179"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issues by reclassification of the outstanding Common Shares any capital shares of the Corporation,</w:t>
      </w:r>
    </w:p>
    <w:p>
      <w:pPr>
        <w:spacing w:after="0" w:line="1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then in each case the number of Pre-Funded Warrant Shares shall be multiplied by a fraction of which the numerator shall be the number of Common Shares (excluding treasury shares, if any) outstanding immediately after such event and of which the denominator shall be the number of Common Shares outstanding immediately before such event. Simultaneously with any adjustement to the number of Pre-Funded Warrant Shares, the Exercise Price shall be increased or decreased proprotionately, so that after such adjustment, the aggregate Exercise Price payable hereunder for the increased or decreased number of Pre-Funded Warrant Shares shall be the same as the aggregate Exercise Price in effect immediately prior to such adjustement. Any adjustment made pursuant to this Section 3.1 shall become effective immediately after the record date for the determination of shareholders entitled to receive such dividend or distribution (provided, that such adjustment shall be reversed if such dividend or distribution is terminated prior to the making thereof) and shall become effective immediately after the effective date in the case of a subdivision, combination or re-classification. If a dispute shall at any time arise with respect to any adjustment of the Exercise Price, the number of Common Shares purchasable pursuant to this Pre-Funded Warrant certificate or any adjustments provided for in this Section 4, such dispute will be conclusively determined by the auditors of the Corporation or if they are unable or unwilling to act by such other firm of independent chartered accountants of recognized national standing as may be selected by the directors of the Corporation, acting reasonably and in good faith, and any such determination will be binding upon the Corporation and the Holder. The Corporation will provide such auditors or accountants with access to all necessary records of the Corporation.</w:t>
      </w:r>
    </w:p>
    <w:p>
      <w:pPr>
        <w:spacing w:after="0" w:line="14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Fundamental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at any time while this Pre-Funded Warrant is outstanding:</w:t>
      </w:r>
    </w:p>
    <w:p>
      <w:pPr>
        <w:spacing w:after="0" w:line="166" w:lineRule="exact"/>
        <w:rPr>
          <w:sz w:val="20"/>
          <w:szCs w:val="20"/>
          <w:color w:val="auto"/>
        </w:rPr>
      </w:pPr>
    </w:p>
    <w:p>
      <w:pPr>
        <w:ind w:left="660" w:hanging="652"/>
        <w:spacing w:after="0" w:line="258" w:lineRule="auto"/>
        <w:tabs>
          <w:tab w:leader="none" w:pos="6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effects any merger or consolidation of the Corporation with or into another Person,</w:t>
      </w:r>
    </w:p>
    <w:p>
      <w:pPr>
        <w:spacing w:after="0" w:line="117" w:lineRule="exact"/>
        <w:rPr>
          <w:rFonts w:ascii="Times New Roman" w:cs="Times New Roman" w:eastAsia="Times New Roman" w:hAnsi="Times New Roman"/>
          <w:sz w:val="22"/>
          <w:szCs w:val="22"/>
          <w:color w:val="auto"/>
        </w:rPr>
      </w:pPr>
    </w:p>
    <w:p>
      <w:pPr>
        <w:ind w:left="660" w:hanging="652"/>
        <w:spacing w:after="0" w:line="258" w:lineRule="auto"/>
        <w:tabs>
          <w:tab w:leader="none" w:pos="69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(or any Subsidiary), directly or indirectly, effects any sale, lease, license, assignment, transfer, conveyance or other disposition of all or substantially all of its assets in one or a series of related transactions,</w:t>
      </w:r>
    </w:p>
    <w:p>
      <w:pPr>
        <w:spacing w:after="0" w:line="131"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purchase offer, tender offer or exchange offer (whether by the Corporation or another Person) is completed pursuant to which holders of Common Shares are permitted to sell, tender or exchange their shares for other securities, cash or property and has been accepted by the holders of 50% or more of the outstanding Common Shares,</w:t>
      </w:r>
    </w:p>
    <w:p>
      <w:pPr>
        <w:spacing w:after="0" w:line="132"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9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or</w:t>
      </w:r>
    </w:p>
    <w:p>
      <w:pPr>
        <w:spacing w:after="0" w:line="132" w:lineRule="exact"/>
        <w:rPr>
          <w:rFonts w:ascii="Times New Roman" w:cs="Times New Roman" w:eastAsia="Times New Roman" w:hAnsi="Times New Roman"/>
          <w:sz w:val="22"/>
          <w:szCs w:val="22"/>
          <w:color w:val="auto"/>
        </w:rPr>
      </w:pPr>
    </w:p>
    <w:p>
      <w:pPr>
        <w:jc w:val="both"/>
        <w:ind w:left="660" w:hanging="652"/>
        <w:spacing w:after="0" w:line="236" w:lineRule="auto"/>
        <w:tabs>
          <w:tab w:leader="none" w:pos="6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Common Shares (not including any Common Shares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22"/>
          <w:szCs w:val="22"/>
          <w:b w:val="1"/>
          <w:bCs w:val="1"/>
          <w:color w:val="auto"/>
        </w:rPr>
        <w:t>Fundamental Transaction</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both"/>
        <w:spacing w:after="0" w:line="242" w:lineRule="auto"/>
        <w:rPr>
          <w:sz w:val="20"/>
          <w:szCs w:val="20"/>
          <w:color w:val="auto"/>
        </w:rPr>
      </w:pPr>
      <w:r>
        <w:rPr>
          <w:rFonts w:ascii="Times New Roman" w:cs="Times New Roman" w:eastAsia="Times New Roman" w:hAnsi="Times New Roman"/>
          <w:sz w:val="21"/>
          <w:szCs w:val="21"/>
          <w:color w:val="auto"/>
        </w:rPr>
        <w:t>then, upon any subsequent exercise of this Pre-Funded Warrant, and subject to the prior approval of Cboe Canada and NYSE American (or any other stock exchange that the Common Shares are listed on), the Holder shall have the right to receive, for each Pre-Funded Warrant Share that would have been issuable upon such exercise immediately prior to the occurrence of such Fundamental Transaction, at the option of the Holder (without regard to any limitation in Section 2.4 on the exercise of this Pre-Funded Warrant), the number of common shares of the successor or acquiring corporation or of the Corporation, if it is the surviving corporation, and any additional consideration (the "</w:t>
      </w:r>
      <w:r>
        <w:rPr>
          <w:rFonts w:ascii="Times New Roman" w:cs="Times New Roman" w:eastAsia="Times New Roman" w:hAnsi="Times New Roman"/>
          <w:sz w:val="21"/>
          <w:szCs w:val="21"/>
          <w:b w:val="1"/>
          <w:bCs w:val="1"/>
          <w:color w:val="auto"/>
        </w:rPr>
        <w:t>Alternate Consideration</w:t>
      </w:r>
      <w:r>
        <w:rPr>
          <w:rFonts w:ascii="Times New Roman" w:cs="Times New Roman" w:eastAsia="Times New Roman" w:hAnsi="Times New Roman"/>
          <w:sz w:val="21"/>
          <w:szCs w:val="21"/>
          <w:color w:val="auto"/>
        </w:rPr>
        <w:t>") receivable as a result of such Fundamental Transaction by a holder of the number of Common Shares for which this Pre-Funded Warrant is exercisable immediately prior to such Fundamental Transaction (without regard to any limitation in Section 2.4 on the exercise of this Pre-Funded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Corporation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Pre-Funded Warrant following such Fundamental Transaction. The Corporation shall cause any successor entity in a Fundamental Transaction in which the Corporation is not the survivor (the "</w:t>
      </w:r>
      <w:r>
        <w:rPr>
          <w:rFonts w:ascii="Times New Roman" w:cs="Times New Roman" w:eastAsia="Times New Roman" w:hAnsi="Times New Roman"/>
          <w:sz w:val="21"/>
          <w:szCs w:val="21"/>
          <w:b w:val="1"/>
          <w:bCs w:val="1"/>
          <w:color w:val="auto"/>
        </w:rPr>
        <w:t>Successor Entity</w:t>
      </w:r>
      <w:r>
        <w:rPr>
          <w:rFonts w:ascii="Times New Roman" w:cs="Times New Roman" w:eastAsia="Times New Roman" w:hAnsi="Times New Roman"/>
          <w:sz w:val="21"/>
          <w:szCs w:val="21"/>
          <w:color w:val="auto"/>
        </w:rPr>
        <w:t>") to assume in writing all of the obligations of the Corporation under this Pre-Funded Warrant in accordance with the provisions of this Section 3.2 pursuant to written agreements prior to such Fundamental Transaction and shall, at the option of the Holder, deliver to the Holder in exchange for this Pre-Funded Warrant a security of the Successor Entity evidenced by a written instrument substantially similar in form and substance to this Pre-Funded Warrant which is exercisable for a corresponding number of shares of capital stock of such Successor Entity (or its parent entity) equivalent to the Common Shares acquirable and receivable upon exercise of this Pre-Funded Warrant (without regard to any limitations on the exercise of this Pre-Funded Warrant) prior to such Fundamental Transaction, and with an exercise price which applies the exercise price hereunder to such shares of capital stock (but taking into account the relative value of the Common Shares pursuant to such Fundamental Transaction and the value of such shares of capital stock, such number of shares of capital stock and such exercise price being for the purpose of protecting the economic value of this Pre-Funded Warrant immediately prior to the consummation of such Fundamental Transaction), and which is reasonably satisfactory in form and substance to the Holder. Upon the occurrence of any such Fundamental Transaction, the Successor Entity shall be added to the term “Corporation” under this Pre-Funded Warrant (so that from and after the occurrence or consummation of such Fundamental Transaction, each and every provision of this Pre-Funded Warrant referring to the "Corporation" shall refer instead to each of the Corporation and the Successor Entity or Successor Entities, jointly and severally), and the Successor Entity or Successor Entities, jointly and severally with the Corporation, may exercise every right and power of the Corporation prior thereto and the Successor Entity or Successor Entities shall assume all of the obligations of the Corporation prior thereto under this Pre-Funded Warrant with the same effect as if the Corporation and such Successor Entity or Successor Entities, jointly and severally, had been named as the Corporation herein; provided, however, that to the extent that the Holder’s right to participate in any such Fundamental Transaction rights would result in the Holder and its Attribution Parties, collectively, beneficially owning in excess of the Beneficial Ownership Limitation of the Common Shares that would be issued and outstanding following receipt of such Fundamental Transaction rights (such excess amount of Common Shares, the "</w:t>
      </w:r>
      <w:r>
        <w:rPr>
          <w:rFonts w:ascii="Times New Roman" w:cs="Times New Roman" w:eastAsia="Times New Roman" w:hAnsi="Times New Roman"/>
          <w:sz w:val="21"/>
          <w:szCs w:val="21"/>
          <w:b w:val="1"/>
          <w:bCs w:val="1"/>
          <w:color w:val="auto"/>
        </w:rPr>
        <w:t>Excess Fundamental Transaction Rights</w:t>
      </w:r>
      <w:r>
        <w:rPr>
          <w:rFonts w:ascii="Times New Roman" w:cs="Times New Roman" w:eastAsia="Times New Roman" w:hAnsi="Times New Roman"/>
          <w:sz w:val="21"/>
          <w:szCs w:val="21"/>
          <w:color w:val="auto"/>
        </w:rPr>
        <w:t>"),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Shares in excess of the Beneficial Ownership Limitation and (2) the Holder so certifies in writing to the Corporation and specifies the number of Common Shares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 subsequent Fundamental Transaction rights to be held similarly in abeyance) to the same extent as if there had been no such limitation. For the avoidance of doubt, the Holder shall be entitled to the benefits of the provisions of this Section 3.2 regardless of (i) whether the Corporation has sufficient authorized Common Shares for the issuance of Pre-Funded Warrant Shares and/or (ii) whether a Fundamental Transaction occurs prior to the Initial Exercise Date.</w:t>
      </w:r>
    </w:p>
    <w:p>
      <w:pPr>
        <w:spacing w:after="0" w:line="3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Notwithstanding anything to the contrary, in the event of a Fundamental Transaction, the Corporation or any Successor Entity shall, at the Holder's option, exercisable at any time concurrently with, or within thirty (30) days after, the consummation of the Fundamental Transaction (or, if later, the date of the public announcement of the applicable Fundamental Transaction), purchase this Pre-Funded Warrant from the Holder by paying to the Holder an amount of cash equal to the Black Scholes Value (as defined below) of the remaining unexercised portion of this Pre-Funded Warrant on the date of the consummation of such Fundamental Transaction, provided, however, that, if the Fundamental Transaction is not within the Corporation's control, including not approved by the Corporation's Board of Directors, the Holder shall only be entitled to receive from the Corporation's or any Successor Entity the same type or form of consideration (and in the same proportion) that is being offered and paid to the holders of Common Shares of the Corporation in connection with such Fundamental Transaction. The payment of the Black Scholes Value will be made by wire transfer of immediately available funds within five (5) Trading Days of the Holder's election (or, if later, on the effective date of the Fundamental Transaction). As used herein, “Black Scholes Value” means the value of this Pre-Funded Warrant based on the Black-Scholes Option Pricing Model obtained from the "OV" function on Bloomberg Financial Markets determined as of the day of consummation of the applicable Fundamental Transaction for pricing purposes and reflecting</w:t>
      </w:r>
    </w:p>
    <w:p>
      <w:pPr>
        <w:spacing w:after="0" w:line="4" w:lineRule="exact"/>
        <w:rPr>
          <w:sz w:val="20"/>
          <w:szCs w:val="20"/>
          <w:color w:val="auto"/>
        </w:rPr>
      </w:pPr>
    </w:p>
    <w:p>
      <w:pPr>
        <w:jc w:val="both"/>
        <w:ind w:firstLine="8"/>
        <w:spacing w:after="0" w:line="245" w:lineRule="auto"/>
        <w:tabs>
          <w:tab w:leader="none" w:pos="36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risk-free interest rate corresponding to the U.S. Treasury rate for a period equal to the time between the date of the public announcement of the applicable Fundamental Transaction and the Termination Date, (B) an expected volatility equal to the greater of (i) 100% and (ii) the 100 day volatility, each obtained from the HVT function on Bloomberg Financial Markets (determined utilizing a 365 day annualization factor) as of the Trading Day immediately following the public announcement of the applicable Fundamental Transaction, (C) the underlying price per share used in such calculation shall be the greater of (i) the</w:t>
      </w:r>
    </w:p>
    <w:p>
      <w:pPr>
        <w:sectPr>
          <w:pgSz w:w="11900" w:h="16838" w:orient="portrait"/>
          <w:cols w:equalWidth="0" w:num="1">
            <w:col w:w="11240"/>
          </w:cols>
          <w:pgMar w:left="320" w:top="112" w:right="339" w:bottom="0" w:gutter="0" w:footer="0" w:header="0"/>
        </w:sectPr>
      </w:pPr>
    </w:p>
    <w:bookmarkStart w:id="62" w:name="page63"/>
    <w:bookmarkEnd w:id="62"/>
    <w:p>
      <w:pPr>
        <w:jc w:val="both"/>
        <w:spacing w:after="0" w:line="238" w:lineRule="auto"/>
        <w:rPr>
          <w:sz w:val="20"/>
          <w:szCs w:val="20"/>
          <w:color w:val="auto"/>
        </w:rPr>
      </w:pPr>
      <w:r>
        <w:rPr>
          <w:rFonts w:ascii="Times New Roman" w:cs="Times New Roman" w:eastAsia="Times New Roman" w:hAnsi="Times New Roman"/>
          <w:sz w:val="22"/>
          <w:szCs w:val="22"/>
          <w:color w:val="auto"/>
        </w:rPr>
        <w:t>sum of the price per share being offered in cash, if any, plus the value of any non-cash consideration, if any, being offered in such Fundamental Transaction and (ii) the greater of (x) the last VWAP of the Common Shares immediately prior to the public announcement of such Fundamental Transaction and (y) the last VWAP of the Common Shares immediately prior to the consummation of such Fundamental Transaction (D) a remaining option time equal to the time between the date of the public announcement of the applicable Fundamental Transaction and the Termination Date and (E) a zero cost of borrow.</w:t>
      </w:r>
    </w:p>
    <w:p>
      <w:pPr>
        <w:spacing w:after="0" w:line="13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Subsequent Rights Offerings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to any adjustments pursuant to Section 3.1 above, if, subject to the prior approval of Cboe Canada and NYSE American (or any other stock exchange that the Common Shares are listed on), at any time the Corporation grants, issues or sells any Common Shares or rights to purchase stock, warrants, securities or other property pro rata to the record holders of any class of Common Shares (the "</w:t>
      </w:r>
      <w:r>
        <w:rPr>
          <w:rFonts w:ascii="Times New Roman" w:cs="Times New Roman" w:eastAsia="Times New Roman" w:hAnsi="Times New Roman"/>
          <w:sz w:val="22"/>
          <w:szCs w:val="22"/>
          <w:b w:val="1"/>
          <w:bCs w:val="1"/>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Common Shares acquirable upon complete exercise of this Pre-Funded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u w:val="single" w:color="auto"/>
          <w:color w:val="auto"/>
        </w:rPr>
        <w:t>Pro Rata Distributions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During such time as this Pre-Funded Warrant is outstanding, and subject to the prior approval of Cboe Canada and NYSE American (or any other stock exchange that the Common Shares are listed on), if the Corporation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at any time after the issuance of this Pre-Funded Warrant, then, in each such case, the Holder shall be entitled to participate in such Distribution to the same extent that the Holder would have participated therein if the Holder had held the number of Common Shares acquirable upon complete exercise of this Pre-Funded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or constructive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u w:val="single" w:color="auto"/>
          <w:color w:val="auto"/>
        </w:rPr>
        <w:t>No Adjustment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3, no adjustment shall be made in the acquisition rights attached to the Pre-Funded Warrants if the issue of Common Shares is being made in connection with (a) any share incentive plan or restricted share plan or share purchase plan in force from time to time for directors, officers, employees, consultants or other service providers of the Corporation; or (b) the satisfaction of existing instruments issued on or prior to October 28, 2025 provided that such existing instruments are not amended on or after such date to increase the number of shares issuable pursuant to the terms thereof, to decrease the conversion price, exercise price or other relevant price thereof or to extend the term thereof.</w:t>
      </w:r>
    </w:p>
    <w:p>
      <w:pPr>
        <w:spacing w:after="0" w:line="1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Calculations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u w:val="single" w:color="auto"/>
          <w:color w:val="auto"/>
        </w:rPr>
        <w:t>Notice to Holder</w:t>
      </w:r>
    </w:p>
    <w:p>
      <w:pPr>
        <w:spacing w:after="0" w:line="166" w:lineRule="exact"/>
        <w:rPr>
          <w:sz w:val="20"/>
          <w:szCs w:val="20"/>
          <w:color w:val="auto"/>
        </w:rPr>
      </w:pPr>
    </w:p>
    <w:p>
      <w:pPr>
        <w:jc w:val="both"/>
        <w:ind w:left="660" w:hanging="652"/>
        <w:spacing w:after="0" w:line="241" w:lineRule="auto"/>
        <w:tabs>
          <w:tab w:leader="none" w:pos="6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 to Exercise Price. </w:t>
      </w:r>
      <w:r>
        <w:rPr>
          <w:rFonts w:ascii="Times New Roman" w:cs="Times New Roman" w:eastAsia="Times New Roman" w:hAnsi="Times New Roman"/>
          <w:sz w:val="22"/>
          <w:szCs w:val="22"/>
          <w:color w:val="auto"/>
        </w:rPr>
        <w:t>Whenever the Exercise Price is adjusted pursuant to any provision of this 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promptly deliver to the Holder by email a notice setting forth the Exercise Price after such adjustment and any resulting adjustment to the number of Pre-Funded Warrant Shares and setting forth a brief statement of the facts requiring such adjustment.</w:t>
      </w:r>
    </w:p>
    <w:p>
      <w:pPr>
        <w:spacing w:after="0" w:line="144" w:lineRule="exact"/>
        <w:rPr>
          <w:rFonts w:ascii="Times New Roman" w:cs="Times New Roman" w:eastAsia="Times New Roman" w:hAnsi="Times New Roman"/>
          <w:sz w:val="22"/>
          <w:szCs w:val="22"/>
          <w:color w:val="auto"/>
        </w:rPr>
      </w:pPr>
    </w:p>
    <w:p>
      <w:pPr>
        <w:jc w:val="both"/>
        <w:ind w:left="660" w:hanging="652"/>
        <w:spacing w:after="0" w:line="232" w:lineRule="auto"/>
        <w:tabs>
          <w:tab w:leader="none" w:pos="69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Notice to Allow Exercise by Holder. </w:t>
      </w:r>
      <w:r>
        <w:rPr>
          <w:rFonts w:ascii="Times New Roman" w:cs="Times New Roman" w:eastAsia="Times New Roman" w:hAnsi="Times New Roman"/>
          <w:sz w:val="22"/>
          <w:szCs w:val="22"/>
          <w:color w:val="auto"/>
        </w:rPr>
        <w:t>If (A) the Corporation shall declare a dividend (or any other distribution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whatever form) on the Common Shares, (B) the Corporation shall declare a special nonrecurring cash dividend on or a redemption of the Common Shares, (C) the Corporation shall authorize the granting to all holders of the Common Shares rights or warrants to subscribe for or purchase any capital shares of any class or of any rights, (D) the approval of any shareholders of the Corporation shall be required in connection with any reclassification of the Common Shares, any consolidation or merger to which the Corporation (or any of its Subsidiaries) is a party, any sale or transfer of all or substantially all of its assets, or any compulsory share exchange whereby the Common Shares is converted into other securities, cash or property, (E) the Corporation shall authorize the voluntary or involuntary dissolution, liquidation or winding up of the affairs of the Corporation, or (F) a Fundamental Transaction shall have occurred then, in each case, the Corporation shall cause to be delivered by email to the Holder at its last email address as it shall appear upon the Pre-Funded Warrant Register of the Corporation, at least five (5) Business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shares of the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Pre-Funded Warrant constitutes, or contains, material, non-public information regarding the Corporation or any of the Subsidiaries, the Corporation shall simultaneously file such notice on SEDAR+ and EDGAR. The Holder shall remain entitled to exercise this Pre-Funded Warrant during the period commencing on the date of such notice to the effective date of the event triggering such notice except as may otherwise be expressly set forth herein.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437" w:gutter="0" w:footer="0" w:header="0"/>
        </w:sectPr>
      </w:pPr>
    </w:p>
    <w:bookmarkStart w:id="64" w:name="page65"/>
    <w:bookmarkEnd w:id="64"/>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TRANSFER OF PRE-FUNDED WARRANT</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Transferability</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Neither this Pre-Funded Warrant nor any of the rights hereunder may be transferred, in whole or in part; provided that the Pre-Funded Warrant Shares issued upon exercise of this Pre-Funded Warrant may be transferred in whole or in part by the Holder without requiring the consent of the Corporation.</w:t>
      </w:r>
    </w:p>
    <w:p>
      <w:pPr>
        <w:spacing w:after="0" w:line="1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New Pre-Funded Warrants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This Pre-Funded Warrant may be divided or combined with other Pre-Funded Warrants upon presentation hereof at the aforesaid office of the Corporation, together with a written notice specifying the names and denominations in which new Pre-Funded Warrants are to be issued, signed by the Holder or its agent or attorney. Subject to compliance with Section 4.1, as to any transfer which may be involved in such division or combination, the Corporation shall execute and deliver a new Pre-Funded Warrant or Pre-Funded Warrants in exchange for the Pre-Funded Warrant or Pre-Funded Warrants to be divided or combined in accordance with such notice. All Pre-Funded Warrants issued on transfers or exchanges shall be dated the Initial Exercise Date and shall be identical to this Pre-Funded Warrant except as to the number of Pre-Funded Warrant Shares issuable pursuant thereto.</w:t>
      </w:r>
    </w:p>
    <w:p>
      <w:pPr>
        <w:spacing w:after="0" w:line="1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Pre-Funded Warrant Register</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shall register this Pre-Funded Warrant, upon records to be maintained by the Corporation for that purpose (the "</w:t>
      </w:r>
      <w:r>
        <w:rPr>
          <w:rFonts w:ascii="Times New Roman" w:cs="Times New Roman" w:eastAsia="Times New Roman" w:hAnsi="Times New Roman"/>
          <w:sz w:val="22"/>
          <w:szCs w:val="22"/>
          <w:b w:val="1"/>
          <w:bCs w:val="1"/>
          <w:color w:val="auto"/>
        </w:rPr>
        <w:t>Pre-Funded Warrant Register</w:t>
      </w:r>
      <w:r>
        <w:rPr>
          <w:rFonts w:ascii="Times New Roman" w:cs="Times New Roman" w:eastAsia="Times New Roman" w:hAnsi="Times New Roman"/>
          <w:sz w:val="22"/>
          <w:szCs w:val="22"/>
          <w:color w:val="auto"/>
        </w:rPr>
        <w:t>"), in the name of the record Holder hereof from time to time. The Corporation may deem and treat the registered Holder of this Pre-Funded Warrant as the absolute owner hereof for the purpose of any exercise hereof or any distribution to the Holder, and for all other purposes, absent actual notice to the contrary.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No Rights as Shareholder Until Exercise; No Settlement in Cash</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Pre-Funded Warrant does not entitle the Holder to any voting rights, dividends or other rights as a shareholder of the Corporation prior to the exercise hereof as set forth in Section 2.3(a), except as expressly set forth in SECTION 3. In no event shall the Corporation be required to net cash settle an exercise of this Pre-Funded Warrant.</w:t>
      </w:r>
    </w:p>
    <w:p>
      <w:pPr>
        <w:spacing w:after="0" w:line="1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Loss, Theft, Destruction or Mutilation of Pre-Funded Warrant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covenants that upon receipt by the Corporation of evidence reasonably satisfactory to it of the loss, theft, destruction or mutilation of this Pre-Funded Warrant or any share certificate relating to the Pre-Funded Warrant Shares, and in case of loss, theft or destruction, of indemnity or security reasonably satisfactory to it (which, in the case of the Pre-Funded Warrant, shall not include the posting of any bond), and upon surrender and cancellation of such Pre-Funded Warrant or share certificate, if mutilated, the Corporation will make and deliver a new Pre-Funded Warrant or share certificate of like tenor and dated as of such cancellation, in lieu of such Pre-Funded Warrant or share certificate.</w:t>
      </w:r>
    </w:p>
    <w:p>
      <w:pPr>
        <w:spacing w:after="0" w:line="15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Saturdays, Sundays, Holidays, etc.</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the last or appointed day for the taking of any action or the expiration of any right required or granted herein shall not be a Trading Day, then such action may be taken or such right may be exercised on the next succeeding Trading Day.</w:t>
      </w:r>
    </w:p>
    <w:p>
      <w:pPr>
        <w:spacing w:after="0" w:line="11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Authorized Shares</w:t>
      </w:r>
    </w:p>
    <w:p>
      <w:pPr>
        <w:spacing w:after="0" w:line="183" w:lineRule="exact"/>
        <w:rPr>
          <w:sz w:val="20"/>
          <w:szCs w:val="20"/>
          <w:color w:val="auto"/>
        </w:rPr>
      </w:pPr>
    </w:p>
    <w:p>
      <w:pPr>
        <w:jc w:val="both"/>
        <w:ind w:left="660" w:hanging="652"/>
        <w:spacing w:after="0" w:line="235" w:lineRule="auto"/>
        <w:tabs>
          <w:tab w:leader="none" w:pos="6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take all such reasonable action as may be necessary to assure that such Pre-Funded Warrant Shares may be issued as provided herein without violation of any applicable law or regulation, or of any requirements of the trading market upon which the Common Shares may be listed. The Corporation covenants that all Pre-Funded Warrant Shares which may be issued upon the exercise of the purchase rights represented by this Pre-Funded Warrant will, upon exercise of the purchase rights represented by this Pre-Funded Warrant and payment for such Pre-Funded Warrant Shares in accordance herewith, be duly authorized, validly issued, fully paid and nonassessable and free from all taxes, liens and charges created by the Corporation in respect of the issue thereof (other than taxes in respect of any transfer occurring contemporaneously with such issue).</w:t>
      </w:r>
    </w:p>
    <w:p>
      <w:pPr>
        <w:spacing w:after="0" w:line="137"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69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and to the extent as waived or consented to by the Holder, the Corporation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Pre-Funded Warrant, but will at all times in good faith assist in the carrying out of all such terms and in the taking of all such actions as may be reasonably necessary or appropriate to protect the rights of Holder as set forth in this Pre-Funded Warrant against impairment. Without limiting the generality of the foregoing, the Corporation will (i) take all such action as may be necessary or appropriate in order that the Corporation may validly and legally issue fully paid and nonassessable Pre-Funded Warrant Shares upon the exercise of this Pre-Funded Warrant and (ii) use commercially reasonable efforts to obtain all such authorizations, exemptions or consents from any public regulatory body having jurisdiction thereof, as may be, necessary to enable the Corporation to perform its obligations under this Pre-Funded Warrant.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jc w:val="both"/>
        <w:ind w:left="660" w:hanging="652"/>
        <w:spacing w:after="0"/>
        <w:tabs>
          <w:tab w:leader="none" w:pos="69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taking any action which would result in an adjustment in the number of Pre-Funded Warrant Shares for which this Pre-Funded Warrant is exercisable or in the Exercise Price, the Corporation shall obtain all such authorizations or exemptions thereof, or consents thereto, as may be reasonably necessary from any public regulatory body or bodies having jurisdiction thereof.</w:t>
      </w:r>
    </w:p>
    <w:p>
      <w:pPr>
        <w:spacing w:after="0" w:line="13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Jurisdiction</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All questions concerning the construction, validity, enforcement and interpretation of this Pre-Funded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Pre-Funded Warrant (whether brought against a party hereto or its respective affiliates, directors, officers, shareholders, partners, members, employees or agents) shall be commenced exclusively in the state and federal courts sitting in the City of New York, Borough of Manhattan.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Pre-Funded Warrant),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Pre-Funded Warrant and agrees that such service shall constitute good and sufficient service of process and notice thereof. Nothing contained herein shall be deemed to limit in any way any right to serve process in any other manner permitted by law. If any party shall commence an action, suit or Proceeding to enforce any provisions of this Pre-Funded Warrant, the prevailing party in such action, suit or Proceeding shall be reimbursed by the non-prevailing party for its reasonable attorneys' fees and other costs and expenses incurred with the investigation, preparation and prosecution of such action or Proceeding.</w:t>
      </w:r>
    </w:p>
    <w:p>
      <w:pPr>
        <w:spacing w:after="0" w:line="14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Restrictions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Holder acknowledges that the Pre-Funded Warrant Shares acquired upon the exercise of this Pre-Funded Warrant, if not registered, will have restrictions upon resale imposed by U.S. state and federal securities laws. If Pre-Funded Warrant Shares are issued in a cashless exercise, the Corporation acknowledges and agrees that in accordance with Section 3(a)(9) of the U.S. Securities Act, the Pre-Funded Warrant Shares shall take on the characteristics of the Pre-Funded Warrants being exercised, and the holding period of the Pre-Funded Warrant Shares being issued may be tacked on to the holding period of the Pre-Funded Warrants. The Corporation agrees not to take any position contrary to this Section 5.6.</w:t>
      </w:r>
    </w:p>
    <w:p>
      <w:pPr>
        <w:spacing w:after="0" w:line="15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Nonwaiver and Expenses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jc w:val="both"/>
        <w:spacing w:after="0" w:line="235" w:lineRule="auto"/>
        <w:rPr>
          <w:sz w:val="20"/>
          <w:szCs w:val="20"/>
          <w:color w:val="auto"/>
        </w:rPr>
      </w:pPr>
      <w:r>
        <w:rPr>
          <w:rFonts w:ascii="Times New Roman" w:cs="Times New Roman" w:eastAsia="Times New Roman" w:hAnsi="Times New Roman"/>
          <w:sz w:val="22"/>
          <w:szCs w:val="22"/>
          <w:color w:val="auto"/>
        </w:rPr>
        <w:t>No course of dealing or any delay or failure to exercise any right hereunder on the part of Holder shall operate as a waiver of such right or otherwise prejudice the Holder's rights, powers or remedies. Without limiting any other provision of this Pre-Funded Warrant, if the Corporation willfully and knowingly fails to comply with any provision of this Pre-Funded Warrant, which results in any material damages to the Holder, the Corporation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Notices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Any notice, request or other document required or permitted to be given or delivered to the Holder by the Corporation shall be in writing and shall be deemed given and effective on the earliest of: (a) the time of transmission, if such notice or communication is delivered via email attachment at the email address as set forth herein or on the books and records of the Corporation at or prior to 5:30 p.m. (New York City time) on a Trading Day, with no rejection notice received, (b) the next Trading Day after the date of transmission, if such notice or communication is delivered via email attachment at the email address as set forth herein or on the books and records of the Corporation on a day that is not a Trading Day or later than 5:30 p.m. (New York City time) on any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Trading Day, with no rejection notice received, (c) the second (2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22"/>
          <w:szCs w:val="22"/>
          <w:color w:val="auto"/>
        </w:rPr>
        <w:t>) Trading Day following the date of mailing, if sent by U.S. nationally recognized overnight courier service or (d) upon actual receipt by the party to whom such notice is required to be given. The address for such notices and communications shall be the address as set forth herein or on the books and records of the Corporation.</w:t>
      </w:r>
    </w:p>
    <w:p>
      <w:pPr>
        <w:spacing w:after="0" w:line="13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u w:val="single" w:color="auto"/>
          <w:color w:val="auto"/>
        </w:rPr>
        <w:t>Limitation of Liability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 provision hereof, in the absence of any affirmative action by the Holder to exercise this Pre-Funded Warrant to purchase Pre-Funded Warrant Shares, and no enumeration herein of the rights or privileges of the Holder, shall give rise to any liability of the Holder for the purchase price of any Common Shares or as a shareholder of the Corporation, whether such liability is asserted by the Corporation or by creditors of the Corporation.</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u w:val="single" w:color="auto"/>
          <w:color w:val="auto"/>
        </w:rPr>
        <w:t>Remedies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Holder, in addition to being entitled to exercise all rights granted by law, including recovery of damages, will be entitled to specific performance of its rights under this Pre-Funded Warrant. The Corporation agrees that monetary damages would not be adequate compensation for any loss incurred by reason of a breach by it of the provisions of this Pre-Funded Warrant and hereby agrees to waive and not to assert the defense in any action for specific performance that a remedy at law would be adequate.</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u w:val="single" w:color="auto"/>
          <w:color w:val="auto"/>
        </w:rPr>
        <w:t>Successors and Assigns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Subject to applicable securities laws, this Pre-Funded Warrant and the rights and obligations evidenced hereby shall inure to the benefit of and be binding upon the successors and permitted assigns of the Corporation and the successors and permitted assigns of Holder. The provisions of this Pre-Funded Warrant are intended to be for the benefit of any Holder from time to time of this Pre-Funded Warrant and shall be enforceable by the Holder or holder of Pre-Funded Warrant Shares.</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u w:val="single" w:color="auto"/>
          <w:color w:val="auto"/>
        </w:rPr>
        <w:t>Amendment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both"/>
        <w:spacing w:after="0" w:line="259" w:lineRule="auto"/>
        <w:rPr>
          <w:sz w:val="20"/>
          <w:szCs w:val="20"/>
          <w:color w:val="auto"/>
        </w:rPr>
      </w:pPr>
      <w:r>
        <w:rPr>
          <w:rFonts w:ascii="Times New Roman" w:cs="Times New Roman" w:eastAsia="Times New Roman" w:hAnsi="Times New Roman"/>
          <w:sz w:val="22"/>
          <w:szCs w:val="22"/>
          <w:color w:val="auto"/>
        </w:rPr>
        <w:t>This Pre-Funded Warrant may be modified or amended or the provisions hereof waived with the written consent of the Corporation and the Holder.</w:t>
      </w:r>
    </w:p>
    <w:p>
      <w:pPr>
        <w:spacing w:after="0" w:line="11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5.13</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Wherever possible, each provision of this Pre-Funded Warrant shall be interpreted in such manner as to be effective and valid under applicable law, but if any provision of this Pre-Funded Warrant shall be prohibited by or invalid under applicable law, such provision shall be ineffective to the extent of such prohibition or invalidity, without invalidating the remainder of such provisions or the remaining provisions of this Pre-Funded Warrant.</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u w:val="single" w:color="auto"/>
          <w:color w:val="auto"/>
        </w:rPr>
        <w:t>Headings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headings used in this Pre-Funded Warrant are for the convenience of reference only and shall not, for any purpose, be deemed a part of this Pre-Funded Warrant.</w:t>
      </w:r>
    </w:p>
    <w:p>
      <w:pPr>
        <w:spacing w:after="0" w:line="1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5.15</w:t>
      </w:r>
      <w:r>
        <w:rPr>
          <w:sz w:val="20"/>
          <w:szCs w:val="20"/>
          <w:color w:val="auto"/>
        </w:rPr>
        <w:tab/>
      </w:r>
      <w:r>
        <w:rPr>
          <w:rFonts w:ascii="Times New Roman" w:cs="Times New Roman" w:eastAsia="Times New Roman" w:hAnsi="Times New Roman"/>
          <w:sz w:val="21"/>
          <w:szCs w:val="21"/>
          <w:b w:val="1"/>
          <w:bCs w:val="1"/>
          <w:u w:val="single" w:color="auto"/>
          <w:color w:val="auto"/>
        </w:rPr>
        <w:t>Currency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references to currency herein shall be deemed to refer to United States dollars, unless otherwise specified.</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5.16</w:t>
      </w:r>
      <w:r>
        <w:rPr>
          <w:sz w:val="20"/>
          <w:szCs w:val="20"/>
          <w:color w:val="auto"/>
        </w:rPr>
        <w:tab/>
      </w:r>
      <w:r>
        <w:rPr>
          <w:rFonts w:ascii="Times New Roman" w:cs="Times New Roman" w:eastAsia="Times New Roman" w:hAnsi="Times New Roman"/>
          <w:sz w:val="21"/>
          <w:szCs w:val="21"/>
          <w:b w:val="1"/>
          <w:bCs w:val="1"/>
          <w:u w:val="single" w:color="auto"/>
          <w:color w:val="auto"/>
        </w:rPr>
        <w:t>No Impairment</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will not, by amendment of its Articles of Incorporation or any other voluntary action, avoid or seek to avoid the observance or performance of any of the terms of this Pre-Funded Warrant certificate, but will at all times in good faith assist in the carrying out of all such terms and in the taking of all such action as may be necessary or appropriate in order to protect the rights of the Holder against impairment.</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5.17</w:t>
      </w:r>
      <w:r>
        <w:rPr>
          <w:sz w:val="20"/>
          <w:szCs w:val="20"/>
          <w:color w:val="auto"/>
        </w:rPr>
        <w:tab/>
      </w:r>
      <w:r>
        <w:rPr>
          <w:rFonts w:ascii="Times New Roman" w:cs="Times New Roman" w:eastAsia="Times New Roman" w:hAnsi="Times New Roman"/>
          <w:sz w:val="21"/>
          <w:szCs w:val="21"/>
          <w:b w:val="1"/>
          <w:bCs w:val="1"/>
          <w:u w:val="single" w:color="auto"/>
          <w:color w:val="auto"/>
        </w:rPr>
        <w:t>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shall be the essence hereof.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this Pre-Funded Warrant to be executed by its officer thereunto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as of the date first above indicated.</w:t>
      </w:r>
    </w:p>
    <w:p>
      <w:pPr>
        <w:spacing w:after="0" w:line="1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1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CYBIN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hereby elects to purchase ________ Pre-Funded Warrant Shares of the Corporation pursuant to the terms of the</w:t>
      </w:r>
    </w:p>
    <w:p>
      <w:pPr>
        <w:spacing w:after="0" w:line="2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attached Pre-Funded Warrant, and tenders herewith payment of the Exercise Price in full, together with all applicable transfer taxes, if 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 shall take the form of (check applicable box):</w:t>
      </w:r>
    </w:p>
    <w:p>
      <w:pPr>
        <w:spacing w:after="0" w:line="175" w:lineRule="exact"/>
        <w:rPr>
          <w:sz w:val="20"/>
          <w:szCs w:val="20"/>
          <w:color w:val="auto"/>
        </w:rPr>
      </w:pPr>
    </w:p>
    <w:p>
      <w:pPr>
        <w:ind w:left="260" w:hanging="252"/>
        <w:spacing w:after="0"/>
        <w:tabs>
          <w:tab w:leader="none" w:pos="260"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260" w:hanging="252"/>
        <w:spacing w:after="0" w:line="261" w:lineRule="auto"/>
        <w:tabs>
          <w:tab w:leader="none" w:pos="260" w:val="left"/>
        </w:tabs>
        <w:numPr>
          <w:ilvl w:val="0"/>
          <w:numId w:val="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event there is no effective Registration Statement registering, or no current prospectus available for, the Pre-Funded Warrants Shares, by the cancellation of such number of Pre-Funded Warrant Shares as is necessary, in accordance with the formula set forth in subsection 2.2(b) of the Pre-Funded Warrant, to exercise this Pre-Funded Warrant with respect to the maximum number of Pre-Funded Warrant Shares purchasable pursuant to the cashless exercise procedure set forth in subsection 2.2(b) of the Pre-Funded Warrant.</w:t>
      </w:r>
    </w:p>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undersigned hereby irrevocably directs that the said Pre-Funded Warrant Shares be issued, registered and delivered as follows (one (only) of the following must be checked):</w:t>
      </w:r>
    </w:p>
    <w:p>
      <w:pPr>
        <w:spacing w:after="0" w:line="131" w:lineRule="exact"/>
        <w:rPr>
          <w:sz w:val="20"/>
          <w:szCs w:val="20"/>
          <w:color w:val="auto"/>
        </w:rPr>
      </w:pPr>
    </w:p>
    <w:p>
      <w:pPr>
        <w:ind w:left="1140" w:hanging="700"/>
        <w:spacing w:after="0"/>
        <w:tabs>
          <w:tab w:leader="none" w:pos="1140" w:val="left"/>
        </w:tabs>
        <w:numPr>
          <w:ilvl w:val="0"/>
          <w:numId w:val="6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by certificates (please confirm DRS statements or physical certificates); or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4000" w:type="dxa"/>
            <w:vAlign w:val="bottom"/>
            <w:gridSpan w:val="2"/>
          </w:tcPr>
          <w:p>
            <w:pPr>
              <w:ind w:left="10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DRS Statements</w:t>
            </w:r>
          </w:p>
        </w:tc>
        <w:tc>
          <w:tcPr>
            <w:tcW w:w="4360" w:type="dxa"/>
            <w:vAlign w:val="bottom"/>
            <w:gridSpan w:val="2"/>
          </w:tcPr>
          <w:p>
            <w:pPr>
              <w:ind w:left="56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physical certificates</w:t>
            </w:r>
          </w:p>
        </w:tc>
        <w:tc>
          <w:tcPr>
            <w:tcW w:w="2880" w:type="dxa"/>
            <w:vAlign w:val="bottom"/>
          </w:tcPr>
          <w:p>
            <w:pPr>
              <w:spacing w:after="0"/>
              <w:rPr>
                <w:sz w:val="24"/>
                <w:szCs w:val="24"/>
                <w:color w:val="auto"/>
              </w:rPr>
            </w:pPr>
          </w:p>
        </w:tc>
      </w:tr>
      <w:tr>
        <w:trPr>
          <w:trHeight w:val="663"/>
        </w:trPr>
        <w:tc>
          <w:tcPr>
            <w:tcW w:w="4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Name(s) in Full and</w:t>
            </w:r>
          </w:p>
        </w:tc>
        <w:tc>
          <w:tcPr>
            <w:tcW w:w="436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Address(es)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Common</w:t>
            </w:r>
          </w:p>
        </w:tc>
      </w:tr>
      <w:tr>
        <w:trPr>
          <w:trHeight w:val="216"/>
        </w:trPr>
        <w:tc>
          <w:tcPr>
            <w:tcW w:w="4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Social Insurance</w:t>
            </w:r>
          </w:p>
        </w:tc>
        <w:tc>
          <w:tcPr>
            <w:tcW w:w="3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38"/>
        </w:trPr>
        <w:tc>
          <w:tcPr>
            <w:tcW w:w="4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Number(s) (if applicable)</w:t>
            </w:r>
          </w:p>
        </w:tc>
        <w:tc>
          <w:tcPr>
            <w:tcW w:w="3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459"/>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371"/>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372"/>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371"/>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372"/>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371"/>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372"/>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4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Name(s) in Full and</w:t>
            </w:r>
          </w:p>
        </w:tc>
        <w:tc>
          <w:tcPr>
            <w:tcW w:w="436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Address(es)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Common</w:t>
            </w:r>
          </w:p>
        </w:tc>
      </w:tr>
      <w:tr>
        <w:trPr>
          <w:trHeight w:val="216"/>
        </w:trPr>
        <w:tc>
          <w:tcPr>
            <w:tcW w:w="4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Social Insurance</w:t>
            </w:r>
          </w:p>
        </w:tc>
        <w:tc>
          <w:tcPr>
            <w:tcW w:w="3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38"/>
        </w:trPr>
        <w:tc>
          <w:tcPr>
            <w:tcW w:w="4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Number(s) (if applicable)</w:t>
            </w:r>
          </w:p>
        </w:tc>
        <w:tc>
          <w:tcPr>
            <w:tcW w:w="3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459"/>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372"/>
        </w:trPr>
        <w:tc>
          <w:tcPr>
            <w:tcW w:w="3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5" w:lineRule="exact"/>
        <w:rPr>
          <w:sz w:val="20"/>
          <w:szCs w:val="20"/>
          <w:color w:val="auto"/>
        </w:rPr>
      </w:pPr>
    </w:p>
    <w:p>
      <w:pPr>
        <w:ind w:left="1140" w:hanging="700"/>
        <w:spacing w:after="0"/>
        <w:tabs>
          <w:tab w:leader="none" w:pos="1140" w:val="left"/>
        </w:tabs>
        <w:numPr>
          <w:ilvl w:val="0"/>
          <w:numId w:val="6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by electronic deposit (please confirm CDS or DWAC settelement); or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3220" w:type="dxa"/>
            <w:vAlign w:val="bottom"/>
            <w:gridSpan w:val="4"/>
          </w:tcPr>
          <w:p>
            <w:pPr>
              <w:ind w:left="108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CDS Settlement</w:t>
            </w:r>
          </w:p>
        </w:tc>
        <w:tc>
          <w:tcPr>
            <w:tcW w:w="5260" w:type="dxa"/>
            <w:vAlign w:val="bottom"/>
          </w:tcPr>
          <w:p>
            <w:pPr>
              <w:ind w:left="130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DWAC Settlement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CDS Settlement</w:t>
            </w:r>
          </w:p>
        </w:tc>
        <w:tc>
          <w:tcPr>
            <w:tcW w:w="5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and Address</w:t>
            </w:r>
          </w:p>
        </w:tc>
        <w:tc>
          <w:tcPr>
            <w:tcW w:w="52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Delivery Address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0" w:type="dxa"/>
            <w:vAlign w:val="bottom"/>
          </w:tcPr>
          <w:p>
            <w:pPr>
              <w:spacing w:after="0"/>
              <w:rPr>
                <w:sz w:val="1"/>
                <w:szCs w:val="1"/>
                <w:color w:val="auto"/>
              </w:rPr>
            </w:pPr>
          </w:p>
        </w:tc>
      </w:tr>
      <w:tr>
        <w:trPr>
          <w:trHeight w:val="238"/>
        </w:trPr>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Registered Holder</w:t>
            </w:r>
          </w:p>
        </w:tc>
        <w:tc>
          <w:tcPr>
            <w:tcW w:w="526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32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CDS &amp; Co.</w:t>
            </w:r>
          </w:p>
        </w:tc>
        <w:tc>
          <w:tcPr>
            <w:tcW w:w="52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Participant: ______________________________________</w:t>
            </w:r>
          </w:p>
        </w:tc>
        <w:tc>
          <w:tcPr>
            <w:tcW w:w="2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20" w:type="dxa"/>
            <w:vAlign w:val="bottom"/>
            <w:gridSpan w:val="4"/>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300-100 Adelaide Street West</w:t>
            </w: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CUID: _________________________________________</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Toronto, ON M5H 1S3</w:t>
            </w: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Deposit ID: _____________________________________</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Participant Contact: _______________________________</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Telephone: ______________________________________</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DWAC Settlement</w:t>
            </w:r>
          </w:p>
        </w:tc>
        <w:tc>
          <w:tcPr>
            <w:tcW w:w="5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and Address</w:t>
            </w:r>
          </w:p>
        </w:tc>
        <w:tc>
          <w:tcPr>
            <w:tcW w:w="52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Delivery Address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0" w:type="dxa"/>
            <w:vAlign w:val="bottom"/>
          </w:tcPr>
          <w:p>
            <w:pPr>
              <w:spacing w:after="0"/>
              <w:rPr>
                <w:sz w:val="1"/>
                <w:szCs w:val="1"/>
                <w:color w:val="auto"/>
              </w:rPr>
            </w:pPr>
          </w:p>
        </w:tc>
      </w:tr>
      <w:tr>
        <w:trPr>
          <w:trHeight w:val="238"/>
        </w:trPr>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Registered Holder</w:t>
            </w:r>
          </w:p>
        </w:tc>
        <w:tc>
          <w:tcPr>
            <w:tcW w:w="526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32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Cede &amp; Co.</w:t>
            </w:r>
          </w:p>
        </w:tc>
        <w:tc>
          <w:tcPr>
            <w:tcW w:w="52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Participant: ______________________________________</w:t>
            </w:r>
          </w:p>
        </w:tc>
        <w:tc>
          <w:tcPr>
            <w:tcW w:w="2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20" w:type="dxa"/>
            <w:vAlign w:val="bottom"/>
            <w:gridSpan w:val="4"/>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55 Water St.</w:t>
            </w: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DTC Participant #: ________________________________</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York, NY</w:t>
            </w: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 ________________________________________</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10041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Participant Contact: _______________________________</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Telephone: ______________________________________</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3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[SIGNATURE OF HOLDER]</w:t>
            </w:r>
          </w:p>
        </w:tc>
        <w:tc>
          <w:tcPr>
            <w:tcW w:w="5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Investing Entity:</w:t>
            </w:r>
          </w:p>
        </w:tc>
        <w:tc>
          <w:tcPr>
            <w:tcW w:w="1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18415</wp:posOffset>
            </wp:positionV>
            <wp:extent cx="45777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17145</wp:posOffset>
            </wp:positionV>
            <wp:extent cx="56064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17145</wp:posOffset>
            </wp:positionV>
            <wp:extent cx="56661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67633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B</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Form of Warrant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120650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3" w:name="page74"/>
    <w:bookmarkEnd w:id="73"/>
    <w:p>
      <w:pPr>
        <w:jc w:val="both"/>
        <w:spacing w:after="0"/>
        <w:rPr>
          <w:sz w:val="20"/>
          <w:szCs w:val="20"/>
          <w:color w:val="auto"/>
        </w:rPr>
      </w:pPr>
      <w:r>
        <w:rPr>
          <w:rFonts w:ascii="Times New Roman" w:cs="Times New Roman" w:eastAsia="Times New Roman" w:hAnsi="Times New Roman"/>
          <w:sz w:val="22"/>
          <w:szCs w:val="22"/>
          <w:i w:val="1"/>
          <w:iCs w:val="1"/>
          <w:color w:val="auto"/>
        </w:rPr>
        <w:t>A final base shelf prospectus containing important information relating to the securities offered has been filed with the securities regulatory authorities in each of the provinces and territories of Canada and with the United States Securities and Exchange Commission in the United States. A copy of the final base shelf prospectus, any amendments thereto and any applicable shelf prospectus supplement that has been filed, is required to be delivered with this document.</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document does not provide full disclosure of all material facts relating to the securities offered. Investors should read the final base shelf prospectus, any amendment and any applicable shelf prospectus supplement for disclosure of those facts, especially risk factors relating to the securities offered, before making an investment decision.</w:t>
      </w:r>
    </w:p>
    <w:p>
      <w:pPr>
        <w:spacing w:after="0" w:line="1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The terms of the securities described in this document are preliminary and subject to change. Cybin Inc. has filed a registration statement (and the accompanying base prospectus) with the SEC for the offering to which this communication relates. Before you invest, you should read the base prospectus and other documents Cybin Inc. has filed with the SEC for more complete information about Cybin Inc. and the offering. You may get these documents for free by visiting EDGAR on the SEC website at </w:t>
      </w:r>
      <w:r>
        <w:rPr>
          <w:rFonts w:ascii="Times New Roman" w:cs="Times New Roman" w:eastAsia="Times New Roman" w:hAnsi="Times New Roman"/>
          <w:sz w:val="22"/>
          <w:szCs w:val="22"/>
          <w:i w:val="1"/>
          <w:iCs w:val="1"/>
          <w:u w:val="single" w:color="auto"/>
          <w:color w:val="0000FF"/>
        </w:rPr>
        <w:t>www.sec.gov</w:t>
      </w:r>
      <w:r>
        <w:rPr>
          <w:rFonts w:ascii="Times New Roman" w:cs="Times New Roman" w:eastAsia="Times New Roman" w:hAnsi="Times New Roman"/>
          <w:sz w:val="22"/>
          <w:szCs w:val="22"/>
          <w:i w:val="1"/>
          <w:iCs w:val="1"/>
          <w:color w:val="000000"/>
        </w:rPr>
        <w:t>. Alternatively, copies may be obtained from Jefferies LLC, Attention: Equity Syndicate Prospectus Department, 520</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i w:val="1"/>
          <w:iCs w:val="1"/>
          <w:color w:val="000000"/>
        </w:rPr>
        <w:t xml:space="preserve">Madison Avenue, New York, New York 10022, by telephone at (877) 821-7388 or by email at </w:t>
      </w:r>
      <w:r>
        <w:rPr>
          <w:rFonts w:ascii="Times New Roman" w:cs="Times New Roman" w:eastAsia="Times New Roman" w:hAnsi="Times New Roman"/>
          <w:sz w:val="22"/>
          <w:szCs w:val="22"/>
          <w:i w:val="1"/>
          <w:iCs w:val="1"/>
          <w:u w:val="single" w:color="auto"/>
          <w:color w:val="0000FF"/>
        </w:rPr>
        <w:t>Prospectus_Department@Jefferies.com</w:t>
      </w:r>
      <w:r>
        <w:rPr>
          <w:rFonts w:ascii="Times New Roman" w:cs="Times New Roman" w:eastAsia="Times New Roman" w:hAnsi="Times New Roman"/>
          <w:sz w:val="22"/>
          <w:szCs w:val="22"/>
          <w:i w:val="1"/>
          <w:iCs w:val="1"/>
          <w:color w:val="000000"/>
        </w:rPr>
        <w:t>; and TD Securities (USA) LLC, 1 Vanderbilt Avenue, New York, NY 10017, by telephone</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i w:val="1"/>
          <w:iCs w:val="1"/>
          <w:color w:val="000000"/>
        </w:rPr>
        <w:t xml:space="preserve">at (855) 495-9846, or by email at </w:t>
      </w:r>
      <w:r>
        <w:rPr>
          <w:rFonts w:ascii="Times New Roman" w:cs="Times New Roman" w:eastAsia="Times New Roman" w:hAnsi="Times New Roman"/>
          <w:sz w:val="22"/>
          <w:szCs w:val="22"/>
          <w:i w:val="1"/>
          <w:iCs w:val="1"/>
          <w:u w:val="single" w:color="auto"/>
          <w:color w:val="0000FF"/>
        </w:rPr>
        <w:t>TD.ECM_Prospectus@tdsecurities.com</w:t>
      </w:r>
      <w:r>
        <w:rPr>
          <w:rFonts w:ascii="Times New Roman" w:cs="Times New Roman" w:eastAsia="Times New Roman" w:hAnsi="Times New Roman"/>
          <w:sz w:val="22"/>
          <w:szCs w:val="22"/>
          <w:i w:val="1"/>
          <w:iCs w:val="1"/>
          <w:color w:val="000000"/>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COMMON SHARE PURCHASE WARRANT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88"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b w:val="1"/>
          <w:bCs w:val="1"/>
          <w:color w:val="auto"/>
        </w:rPr>
        <w:t>Warrant Shares: [●]</w:t>
      </w:r>
      <w:r>
        <w:rPr>
          <w:sz w:val="20"/>
          <w:szCs w:val="20"/>
          <w:color w:val="auto"/>
        </w:rPr>
        <w:tab/>
      </w:r>
      <w:r>
        <w:rPr>
          <w:rFonts w:ascii="Times New Roman" w:cs="Times New Roman" w:eastAsia="Times New Roman" w:hAnsi="Times New Roman"/>
          <w:sz w:val="17"/>
          <w:szCs w:val="17"/>
          <w:b w:val="1"/>
          <w:bCs w:val="1"/>
          <w:color w:val="auto"/>
        </w:rPr>
        <w:t>Date: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THIS COMMON SHARE PURCHASE WARRANT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certifies that, for value received,</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or its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assigns (the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22"/>
          <w:szCs w:val="22"/>
          <w:b w:val="1"/>
          <w:bCs w:val="1"/>
          <w:color w:val="auto"/>
        </w:rPr>
        <w:t>Initial Exercise Date</w:t>
      </w:r>
      <w:r>
        <w:rPr>
          <w:rFonts w:ascii="Times New Roman" w:cs="Times New Roman" w:eastAsia="Times New Roman" w:hAnsi="Times New Roman"/>
          <w:sz w:val="22"/>
          <w:szCs w:val="22"/>
          <w:color w:val="auto"/>
        </w:rPr>
        <w:t>") and on or prior to 5:00 p.m. (Eastern time) on the Termination Date (as defined in Section 1), subject to the acceleration in accordance with sections 2.3(i) or 2.3(j) but not thereafter, to subscribe for and purchase from Cybin Inc., a company existing under the laws of the Province of Ontario (Canada)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 purchase price per Common Share (each, as subject to adjustment hereunder, a "</w:t>
      </w:r>
      <w:r>
        <w:rPr>
          <w:rFonts w:ascii="Times New Roman" w:cs="Times New Roman" w:eastAsia="Times New Roman" w:hAnsi="Times New Roman"/>
          <w:sz w:val="22"/>
          <w:szCs w:val="22"/>
          <w:b w:val="1"/>
          <w:bCs w:val="1"/>
          <w:color w:val="auto"/>
        </w:rPr>
        <w:t>Warrant Share</w:t>
      </w:r>
      <w:r>
        <w:rPr>
          <w:rFonts w:ascii="Times New Roman" w:cs="Times New Roman" w:eastAsia="Times New Roman" w:hAnsi="Times New Roman"/>
          <w:sz w:val="22"/>
          <w:szCs w:val="22"/>
          <w:color w:val="auto"/>
        </w:rPr>
        <w:t>") equal to the Exercise Price (as defined in Section 2.2(a)).</w:t>
      </w:r>
    </w:p>
    <w:p>
      <w:pPr>
        <w:spacing w:after="0" w:line="13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to the terms defined elsewhere in this Warrant, the following terms have the following meanings: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Saturday, Sunday or any other day (excluding Lincoln's Birthday (February 12) and Election Day) on which commercial banks in the City of New York are authorized or required by law or other governmental action to remain closed; provided that, for clarification, commercial banks shall not be deemed to be authorized or required by law to remain closed due to "stay-at-home", "shelter-in-place", "non-essential employee" or any other similar orders or restrictions or the closure of any physical branch locations at the direction of any governmental authority so long as the electronic funds transfer systems (including wire transfers) of commercial banks in the City of New York are generally open for use by customers on such day.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means the Cboe Canada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means NYSE American LLC.</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 action, claim, suit, arbitration, hearing, investigation, notice of violation, inquiry or proceeding (including an informal investigation or partial proceeding, such as a deposition), whether commenced or threatened in writing or (to the Corporation's knowledge) otherwise.</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the Corporation's Registration Statement on Form F-10 (File No. 333-289139), including any applicable prospectus supplements thereto, or such other form as may be available to the Corporation relating to and providing for the registration of the Warrants and Warrant Shares.</w:t>
      </w:r>
    </w:p>
    <w:p>
      <w:pPr>
        <w:spacing w:after="0" w:line="1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means the date that is the earlier of: (i) June 30, 2027; (ii) thirty days following the publication by press release of topline data for the APPROACH trial of CYB003 in major depressive disorder (NCT06564818); and (iii) thirty days following the date of the VWAP Acceleration Notice (as defined herein), given in accordance with s. 2.3(i).</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NYSE American is open for trading.</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Market</w:t>
      </w:r>
      <w:r>
        <w:rPr>
          <w:rFonts w:ascii="Times New Roman" w:cs="Times New Roman" w:eastAsia="Times New Roman" w:hAnsi="Times New Roman"/>
          <w:sz w:val="22"/>
          <w:szCs w:val="22"/>
          <w:color w:val="auto"/>
        </w:rPr>
        <w:t>" means any of the following markets or exchanges on which the Common Shares are listed or quoted for trading on the date in question: Cboe Canada and NYSE American (or any successors to any of the foregoing).</w:t>
      </w:r>
    </w:p>
    <w:p>
      <w:pPr>
        <w:spacing w:after="0" w:line="12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means Odyssey Trust Company, at its principal office at 1230 - 300 5 Avenue SW, Calgary, Alberta T2P 3C4, and any successor transfer agent of the Corporation.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Exchange Act</w:t>
      </w:r>
      <w:r>
        <w:rPr>
          <w:rFonts w:ascii="Times New Roman" w:cs="Times New Roman" w:eastAsia="Times New Roman" w:hAnsi="Times New Roman"/>
          <w:sz w:val="22"/>
          <w:szCs w:val="22"/>
          <w:color w:val="auto"/>
        </w:rPr>
        <w:t>" means the United States Securities 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has the meaning ascribed to such term in Regulation S under the U.S.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means the United States Securities Act of 1933,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has the meaning ascribed to such term in Regulation S under the U.S. Securities Act.</w:t>
      </w:r>
    </w:p>
    <w:p>
      <w:pPr>
        <w:spacing w:after="0" w:line="1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means, for any date, the price determined by the first of the following clauses that applies: (a) the daily volume weighted average price of the Common Shares for such date (or if no trading occurs on such date, on the nearest preceding date on which trades occurred) on the principal trading market on which the Common Shares are then listed or quoted in the United States (b) if the Common Shares are not then listed or quoted on a trading market in the United States but are listed or quoted on a trading market in Canada, the daily volume weighted average price of the Common Shares for such date (or if no trading occurs on such date, on the nearest preceding date on which trades occurred) on the principal trading market on which the Common Shares are then listed or quoted in Canada, converted into U.S. dollars based on the average daily rate of exchange reported by the Bank of Canada for the date of such trades (or, if no rate is reported for such date, the rate so reported for the next preceding date on which a rate was reported), or (c) in all other cases, the fair market value of a Common Share as determined by an independent appraiser selected in good faith by the holders of a majority in interest of the Warrants then outstanding and reasonably acceptable to the Corporation, the fees and expenses of which shall be paid by the 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EXERCISE</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Exercise of Warrant</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Exercise of the purchase rights represented by this Warrant may be made, in whole or in part, at any time or times on or after the Initial Exercise Date and on or before the Termination Date by delivery to the Corporation of a duly executed PDF copy submitted by e-mail (or e-mail attachment) of the notice of exercise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Notice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Exercise</w:t>
      </w:r>
      <w:r>
        <w:rPr>
          <w:rFonts w:ascii="Times New Roman" w:cs="Times New Roman" w:eastAsia="Times New Roman" w:hAnsi="Times New Roman"/>
          <w:sz w:val="21"/>
          <w:szCs w:val="21"/>
          <w:color w:val="auto"/>
        </w:rPr>
        <w:t>") and payment of the aggregate Exercise Price for the Warrant Shares specified in the applicable Notice of Exercise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wire transfer.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Corporation until the Holder has purchased all of the Warrant Shares available hereunder and the Warrant has been exercised in full, in which case, the Holder shall surrender this Warrant to the Corporation for cancellation within three (3) Business Days of the date on which the final Notice of Exercise is delivered to the Corporation.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Corporation shall maintain records showing the number of Warrant Shares purchased and the date of such purchases. The Corporation shall deliver any objection to any Notice of Exercise within two (2) Business Days of receipt of such notice. </w:t>
      </w:r>
      <w:r>
        <w:rPr>
          <w:rFonts w:ascii="Times New Roman" w:cs="Times New Roman" w:eastAsia="Times New Roman" w:hAnsi="Times New Roman"/>
          <w:sz w:val="21"/>
          <w:szCs w:val="21"/>
          <w:b w:val="1"/>
          <w:bCs w:val="1"/>
          <w:color w:val="auto"/>
        </w:rPr>
        <w:t>The Holder and any permitted assignee, by acceptance of this</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3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Exercise Price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exercise price per Warrant Share under this Warrant shall be US$8.14, subject to adjustment hereunder (the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w:t>
      </w:r>
      <w:r>
        <w:rPr>
          <w:rFonts w:ascii="Times New Roman" w:cs="Times New Roman" w:eastAsia="Times New Roman" w:hAnsi="Times New Roman"/>
          <w:sz w:val="22"/>
          <w:szCs w:val="22"/>
          <w:color w:val="auto"/>
        </w:rPr>
        <w:t>").</w:t>
      </w:r>
    </w:p>
    <w:p>
      <w:pPr>
        <w:spacing w:after="0" w:line="12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Mechanics of Exercise</w:t>
      </w:r>
    </w:p>
    <w:p>
      <w:pPr>
        <w:spacing w:after="0" w:line="166" w:lineRule="exact"/>
        <w:rPr>
          <w:sz w:val="20"/>
          <w:szCs w:val="20"/>
          <w:color w:val="auto"/>
        </w:rPr>
      </w:pPr>
    </w:p>
    <w:p>
      <w:pPr>
        <w:jc w:val="both"/>
        <w:ind w:left="660" w:hanging="652"/>
        <w:spacing w:after="0" w:line="234" w:lineRule="auto"/>
        <w:tabs>
          <w:tab w:leader="none" w:pos="68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Warrant Shares Upon Exercise. </w:t>
      </w:r>
      <w:r>
        <w:rPr>
          <w:rFonts w:ascii="Times New Roman" w:cs="Times New Roman" w:eastAsia="Times New Roman" w:hAnsi="Times New Roman"/>
          <w:sz w:val="22"/>
          <w:szCs w:val="22"/>
          <w:color w:val="auto"/>
        </w:rPr>
        <w:t>The Corporation shall cause the Warrant Shares purchased hereunder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transmitted by its transfer agent to the Holder by either (A) if there is an effective Registration Statement registering the Warrant Shares,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2"/>
          <w:szCs w:val="22"/>
          <w:b w:val="1"/>
          <w:bCs w:val="1"/>
          <w:color w:val="auto"/>
        </w:rPr>
        <w:t>DWAC</w:t>
      </w:r>
      <w:r>
        <w:rPr>
          <w:rFonts w:ascii="Times New Roman" w:cs="Times New Roman" w:eastAsia="Times New Roman" w:hAnsi="Times New Roman"/>
          <w:sz w:val="22"/>
          <w:szCs w:val="22"/>
          <w:color w:val="auto"/>
        </w:rPr>
        <w:t>") if the Corporation is then a participant in such system, (B) electronic book entry by crediting the account of the Holder's or its designee's balance account with CDS the number of Warrant Shares to which the Holder is entitled pursuant to such exercise to the address specified by the Holder in the Notice of Exercise or (C) by direct registration system ("</w:t>
      </w:r>
      <w:r>
        <w:rPr>
          <w:rFonts w:ascii="Times New Roman" w:cs="Times New Roman" w:eastAsia="Times New Roman" w:hAnsi="Times New Roman"/>
          <w:sz w:val="22"/>
          <w:szCs w:val="22"/>
          <w:b w:val="1"/>
          <w:bCs w:val="1"/>
          <w:color w:val="auto"/>
        </w:rPr>
        <w:t>DRS</w:t>
      </w:r>
      <w:r>
        <w:rPr>
          <w:rFonts w:ascii="Times New Roman" w:cs="Times New Roman" w:eastAsia="Times New Roman" w:hAnsi="Times New Roman"/>
          <w:sz w:val="22"/>
          <w:szCs w:val="22"/>
          <w:color w:val="auto"/>
        </w:rPr>
        <w:t>") statement or a physical certificate, in each case, by the date that is the earlier of (i) one (1) Trading Day after the delivery to the Corporation of the Notice of Exercise and (ii) the number of Trading Days comprising the Standard Settlement Period after the delivery to the Corporation of the Notice of Exercise (the "</w:t>
      </w:r>
      <w:r>
        <w:rPr>
          <w:rFonts w:ascii="Times New Roman" w:cs="Times New Roman" w:eastAsia="Times New Roman" w:hAnsi="Times New Roman"/>
          <w:sz w:val="22"/>
          <w:szCs w:val="22"/>
          <w:b w:val="1"/>
          <w:bCs w:val="1"/>
          <w:color w:val="auto"/>
        </w:rPr>
        <w:t>Warrant Share Delivery Date</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Upon delivery of the Notice of Exercise and receipt by the Corporation of the Exercise Price, the Holder shall be deemed for all corporate purposes to have become the holder of record of the Warrant Shares with respect to which this Warrant has been exercised, irrespective of the date of delivery of the Warrant Shares. If the Corporation fails for any reason to deliver to the Holder the Warrant Shares subject to a Notice of Exercise by the Warrant Share Delivery Date, the Corporation shall pay to the Holder, in cash, as liquidated damages and not as a penalty, for each $1,000 of Warrant Shares subject to such exercise (based on the VWAP of the Common Shares on the date of the applicable Notice of</w:t>
      </w:r>
    </w:p>
    <w:p>
      <w:pPr>
        <w:spacing w:after="0" w:line="1" w:lineRule="exact"/>
        <w:rPr>
          <w:sz w:val="20"/>
          <w:szCs w:val="20"/>
          <w:color w:val="auto"/>
        </w:rPr>
      </w:pPr>
    </w:p>
    <w:p>
      <w:pPr>
        <w:jc w:val="both"/>
        <w:ind w:left="660"/>
        <w:spacing w:after="0" w:line="219" w:lineRule="auto"/>
        <w:rPr>
          <w:sz w:val="20"/>
          <w:szCs w:val="20"/>
          <w:color w:val="auto"/>
        </w:rPr>
      </w:pPr>
      <w:r>
        <w:rPr>
          <w:rFonts w:ascii="Times New Roman" w:cs="Times New Roman" w:eastAsia="Times New Roman" w:hAnsi="Times New Roman"/>
          <w:sz w:val="22"/>
          <w:szCs w:val="22"/>
          <w:color w:val="auto"/>
        </w:rPr>
        <w:t>Exercise), $10 per Trading Day (increasing to $20 per Trading Day on the third (3</w:t>
      </w:r>
      <w:r>
        <w:rPr>
          <w:rFonts w:ascii="Times New Roman" w:cs="Times New Roman" w:eastAsia="Times New Roman" w:hAnsi="Times New Roman"/>
          <w:sz w:val="35"/>
          <w:szCs w:val="35"/>
          <w:color w:val="auto"/>
          <w:vertAlign w:val="superscript"/>
        </w:rPr>
        <w:t>rd</w:t>
      </w:r>
      <w:r>
        <w:rPr>
          <w:rFonts w:ascii="Times New Roman" w:cs="Times New Roman" w:eastAsia="Times New Roman" w:hAnsi="Times New Roman"/>
          <w:sz w:val="22"/>
          <w:szCs w:val="22"/>
          <w:color w:val="auto"/>
        </w:rPr>
        <w:t>) Trading Day after the Warrant Share Delivery Date) for each Trading Day after such Warrant Share Delivery Date until such Warrant Shares are delivered or Holder rescinds such exercise. The Corporation agrees to maintain a transfer agent that is a participant in the FAST program so long as this Warrant remains outstanding and exercisable. As used herein, "</w:t>
      </w:r>
      <w:r>
        <w:rPr>
          <w:rFonts w:ascii="Times New Roman" w:cs="Times New Roman" w:eastAsia="Times New Roman" w:hAnsi="Times New Roman"/>
          <w:sz w:val="22"/>
          <w:szCs w:val="22"/>
          <w:b w:val="1"/>
          <w:bCs w:val="1"/>
          <w:u w:val="single" w:color="auto"/>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on the Corporation's primary Trading Market with respect to the Common Shares as in effect on the date of delivery of the Notice of Exercise.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jc w:val="both"/>
        <w:ind w:left="660" w:hanging="652"/>
        <w:spacing w:after="0" w:line="241" w:lineRule="auto"/>
        <w:tabs>
          <w:tab w:leader="none" w:pos="69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New Warrants Upon Exercise. </w:t>
      </w:r>
      <w:r>
        <w:rPr>
          <w:rFonts w:ascii="Times New Roman" w:cs="Times New Roman" w:eastAsia="Times New Roman" w:hAnsi="Times New Roman"/>
          <w:sz w:val="22"/>
          <w:szCs w:val="22"/>
          <w:color w:val="auto"/>
        </w:rPr>
        <w:t>If this Warrant shall have been exercised in part, the Corporation shall,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31" w:lineRule="exact"/>
        <w:rPr>
          <w:rFonts w:ascii="Times New Roman" w:cs="Times New Roman" w:eastAsia="Times New Roman" w:hAnsi="Times New Roman"/>
          <w:sz w:val="22"/>
          <w:szCs w:val="22"/>
          <w:color w:val="auto"/>
        </w:rPr>
      </w:pPr>
    </w:p>
    <w:p>
      <w:pPr>
        <w:jc w:val="both"/>
        <w:ind w:left="660" w:hanging="652"/>
        <w:spacing w:after="0" w:line="246" w:lineRule="auto"/>
        <w:tabs>
          <w:tab w:leader="none" w:pos="68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Rescission Rights. </w:t>
      </w:r>
      <w:r>
        <w:rPr>
          <w:rFonts w:ascii="Times New Roman" w:cs="Times New Roman" w:eastAsia="Times New Roman" w:hAnsi="Times New Roman"/>
          <w:sz w:val="22"/>
          <w:szCs w:val="22"/>
          <w:color w:val="auto"/>
        </w:rPr>
        <w:t>If the Corporation fails to cause the Transfer Agent to transmit to the Holder the Warrant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2.3(a) by the Warrant Share Delivery Date, then the Holder will have the right to rescind such exercise.</w:t>
      </w:r>
    </w:p>
    <w:p>
      <w:pPr>
        <w:spacing w:after="0" w:line="140" w:lineRule="exact"/>
        <w:rPr>
          <w:rFonts w:ascii="Times New Roman" w:cs="Times New Roman" w:eastAsia="Times New Roman" w:hAnsi="Times New Roman"/>
          <w:sz w:val="22"/>
          <w:szCs w:val="22"/>
          <w:color w:val="auto"/>
        </w:rPr>
      </w:pPr>
    </w:p>
    <w:p>
      <w:pPr>
        <w:jc w:val="both"/>
        <w:ind w:left="660" w:hanging="652"/>
        <w:spacing w:after="0" w:line="243" w:lineRule="auto"/>
        <w:tabs>
          <w:tab w:leader="none" w:pos="69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Compensation for Buy-In on Failure to Timely Deliver Warrant Shares Upon Exercise. </w:t>
      </w:r>
      <w:r>
        <w:rPr>
          <w:rFonts w:ascii="Times New Roman" w:cs="Times New Roman" w:eastAsia="Times New Roman" w:hAnsi="Times New Roman"/>
          <w:sz w:val="21"/>
          <w:szCs w:val="21"/>
          <w:color w:val="auto"/>
        </w:rPr>
        <w:t>In addition to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available to the Holder, if the Corporation fails to cause the Transfer Agent to transmit to the Holder the Warrant Shares in accordance with the provisions of Section 2.3(a) above pursuant to an exercise on or before the Warrant Share Delivery Date,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 w:cs="Times New Roman" w:eastAsia="Times New Roman" w:hAnsi="Times New Roman"/>
          <w:sz w:val="21"/>
          <w:szCs w:val="21"/>
          <w:b w:val="1"/>
          <w:bCs w:val="1"/>
          <w:color w:val="auto"/>
        </w:rPr>
        <w:t>Buy-In</w:t>
      </w:r>
      <w:r>
        <w:rPr>
          <w:rFonts w:ascii="Times New Roman" w:cs="Times New Roman" w:eastAsia="Times New Roman" w:hAnsi="Times New Roman"/>
          <w:sz w:val="21"/>
          <w:szCs w:val="21"/>
          <w:color w:val="auto"/>
        </w:rPr>
        <w:t>"), then the Corporation shall (A) pay in cash to the Holder the amount, if any, by which (x) the Holder's total purchase price (including brokerage commissions, if any) for the Common Shares so purchased exceeds (y) the amount obtained by multiplying (1) the number of Warrant Shares that the Corporation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Corporation timely complied with its exercise and delivery obligations hereunder. For example, if the Holder purchases Common Shares having a total purchase price of $11,000 to cover a Buy-In with respect to an attempted exercise of Common Shares an aggregate sale price giving rise to such purchase obligation of $10,000, under clause (A) of the immediately preceding sentence the Corporation shall be required to pay the Holder $1,000. The Holder shall provide the Corporation written notice indicating the amounts payable to the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Common Shares upon exercise of the Warrant as required pursuant to the terms hereof.</w:t>
      </w:r>
    </w:p>
    <w:p>
      <w:pPr>
        <w:spacing w:after="0" w:line="143" w:lineRule="exact"/>
        <w:rPr>
          <w:rFonts w:ascii="Times New Roman" w:cs="Times New Roman" w:eastAsia="Times New Roman" w:hAnsi="Times New Roman"/>
          <w:sz w:val="21"/>
          <w:szCs w:val="21"/>
          <w:color w:val="auto"/>
        </w:rPr>
      </w:pPr>
    </w:p>
    <w:p>
      <w:pPr>
        <w:jc w:val="both"/>
        <w:ind w:left="660" w:hanging="652"/>
        <w:spacing w:after="0" w:line="241" w:lineRule="auto"/>
        <w:tabs>
          <w:tab w:leader="none" w:pos="68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Fractional Shares or Scrip. </w:t>
      </w:r>
      <w:r>
        <w:rPr>
          <w:rFonts w:ascii="Times New Roman" w:cs="Times New Roman" w:eastAsia="Times New Roman" w:hAnsi="Times New Roman"/>
          <w:sz w:val="22"/>
          <w:szCs w:val="22"/>
          <w:color w:val="auto"/>
        </w:rPr>
        <w:t>No fractional shares or scrip representing fractional shares shall be issued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this Warrant. As to any fraction of a Warrant Share which the Holder would otherwise be entitled to purchase upon such exercise, the Corporation shall, at its election, either pay a cash adjustment in respect of such final fraction in an amount equal to such fraction multiplied by the Exercise Price or round up to the next whole share.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jc w:val="both"/>
        <w:ind w:left="660" w:hanging="652"/>
        <w:spacing w:after="0" w:line="234" w:lineRule="auto"/>
        <w:tabs>
          <w:tab w:leader="none" w:pos="68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Charges, Taxes and Expenses. </w:t>
      </w:r>
      <w:r>
        <w:rPr>
          <w:rFonts w:ascii="Times New Roman" w:cs="Times New Roman" w:eastAsia="Times New Roman" w:hAnsi="Times New Roman"/>
          <w:sz w:val="22"/>
          <w:szCs w:val="22"/>
          <w:color w:val="auto"/>
        </w:rPr>
        <w:t>Issuance of Warrant Shares shall be made without charge to the Holder for any issue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transfer tax or other incidental expense in respect of the issuance of such Warrant Shares, all of which taxes and expenses shall be paid by the Corporation,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duly executed by the Holder and the Corporation may require, as a condition thereto, the payment of a sum sufficient to reimburse it for any transfer tax incidental thereto. The Corporation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39" w:lineRule="exact"/>
        <w:rPr>
          <w:rFonts w:ascii="Times New Roman" w:cs="Times New Roman" w:eastAsia="Times New Roman" w:hAnsi="Times New Roman"/>
          <w:sz w:val="22"/>
          <w:szCs w:val="22"/>
          <w:color w:val="auto"/>
        </w:rPr>
      </w:pPr>
    </w:p>
    <w:p>
      <w:pPr>
        <w:ind w:left="660" w:right="20" w:hanging="652"/>
        <w:spacing w:after="0" w:line="262" w:lineRule="auto"/>
        <w:tabs>
          <w:tab w:leader="none" w:pos="69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Closing of Books. </w:t>
      </w:r>
      <w:r>
        <w:rPr>
          <w:rFonts w:ascii="Times New Roman" w:cs="Times New Roman" w:eastAsia="Times New Roman" w:hAnsi="Times New Roman"/>
          <w:sz w:val="22"/>
          <w:szCs w:val="22"/>
          <w:color w:val="auto"/>
        </w:rPr>
        <w:t>The Corporation will not close its shareholder books or records in any manner which prevents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timely exercise of this Warrant, pursuant to the terms hereof.</w:t>
      </w:r>
    </w:p>
    <w:p>
      <w:pPr>
        <w:spacing w:after="0" w:line="122" w:lineRule="exact"/>
        <w:rPr>
          <w:rFonts w:ascii="Times New Roman" w:cs="Times New Roman" w:eastAsia="Times New Roman" w:hAnsi="Times New Roman"/>
          <w:sz w:val="22"/>
          <w:szCs w:val="22"/>
          <w:color w:val="auto"/>
        </w:rPr>
      </w:pPr>
    </w:p>
    <w:p>
      <w:pPr>
        <w:jc w:val="both"/>
        <w:ind w:left="660" w:hanging="652"/>
        <w:spacing w:after="0" w:line="237" w:lineRule="auto"/>
        <w:tabs>
          <w:tab w:leader="none" w:pos="68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Restrictive Legends. </w:t>
      </w:r>
      <w:r>
        <w:rPr>
          <w:rFonts w:ascii="Times New Roman" w:cs="Times New Roman" w:eastAsia="Times New Roman" w:hAnsi="Times New Roman"/>
          <w:sz w:val="22"/>
          <w:szCs w:val="22"/>
          <w:color w:val="auto"/>
        </w:rPr>
        <w:t>If at any time following the date hereof a registration statement registering the resale of the Warrant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is not effective or is not otherwise available for the resale of the Warrant Shares, the Corporation shall promptly notify the holders of the Warrants in writing that such registration statement is not then effective and thereafter shall promptly notify such holders when the registration statement is effective again and available for the resale of the Warrant Shares (it being understood and agreed that the foregoing shall not impair the ability of the Corporation to comply with applicable federal and state securities laws).</w:t>
      </w:r>
    </w:p>
    <w:p>
      <w:pPr>
        <w:spacing w:after="0" w:line="134" w:lineRule="exact"/>
        <w:rPr>
          <w:rFonts w:ascii="Times New Roman" w:cs="Times New Roman" w:eastAsia="Times New Roman" w:hAnsi="Times New Roman"/>
          <w:sz w:val="22"/>
          <w:szCs w:val="22"/>
          <w:color w:val="auto"/>
        </w:rPr>
      </w:pPr>
    </w:p>
    <w:p>
      <w:pPr>
        <w:jc w:val="both"/>
        <w:ind w:left="660" w:hanging="652"/>
        <w:spacing w:after="0" w:line="246" w:lineRule="auto"/>
        <w:tabs>
          <w:tab w:leader="none" w:pos="684"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VWAP Acceleration. </w:t>
      </w:r>
      <w:r>
        <w:rPr>
          <w:rFonts w:ascii="Times New Roman" w:cs="Times New Roman" w:eastAsia="Times New Roman" w:hAnsi="Times New Roman"/>
          <w:sz w:val="21"/>
          <w:szCs w:val="21"/>
          <w:color w:val="auto"/>
        </w:rPr>
        <w:t>Until the Termination Date, upon any consecutive five (5) Trading Day period (the "</w:t>
      </w:r>
      <w:r>
        <w:rPr>
          <w:rFonts w:ascii="Times New Roman" w:cs="Times New Roman" w:eastAsia="Times New Roman" w:hAnsi="Times New Roman"/>
          <w:sz w:val="21"/>
          <w:szCs w:val="21"/>
          <w:b w:val="1"/>
          <w:bCs w:val="1"/>
          <w:color w:val="auto"/>
        </w:rPr>
        <w:t>Measurement Period</w:t>
      </w:r>
      <w:r>
        <w:rPr>
          <w:rFonts w:ascii="Times New Roman" w:cs="Times New Roman" w:eastAsia="Times New Roman" w:hAnsi="Times New Roman"/>
          <w:sz w:val="21"/>
          <w:szCs w:val="21"/>
          <w:color w:val="auto"/>
        </w:rPr>
        <w:t>") that the Common Shares on the NYSE American (or such other principal exchange or market on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Shares are listed and posted for trading) trade at a VWAP that is equal to or greater than $19.53 per Common Share (subject to adjustment for forward and reverse stock splits, recapitalizations, stock dividends and the like after the issuance date of this Warrant) for each of such Trading Days, the Corporation may accelerate the Termination Date of the Warrants by giving notice to the holder through the issuance of a press release (the "</w:t>
      </w:r>
      <w:r>
        <w:rPr>
          <w:rFonts w:ascii="Times New Roman" w:cs="Times New Roman" w:eastAsia="Times New Roman" w:hAnsi="Times New Roman"/>
          <w:sz w:val="21"/>
          <w:szCs w:val="21"/>
          <w:b w:val="1"/>
          <w:bCs w:val="1"/>
          <w:color w:val="auto"/>
        </w:rPr>
        <w:t>VWAP Acceleration Notice</w:t>
      </w:r>
      <w:r>
        <w:rPr>
          <w:rFonts w:ascii="Times New Roman" w:cs="Times New Roman" w:eastAsia="Times New Roman" w:hAnsi="Times New Roman"/>
          <w:sz w:val="21"/>
          <w:szCs w:val="21"/>
          <w:color w:val="auto"/>
        </w:rPr>
        <w:t>") and in</w:t>
      </w:r>
    </w:p>
    <w:p>
      <w:pPr>
        <w:spacing w:after="0" w:line="6"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1"/>
          <w:szCs w:val="21"/>
          <w:color w:val="auto"/>
        </w:rPr>
        <w:t>such case the Warrants shall expire on the thirtieth (30</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day after the date on which such notice is given by the Corporation (together, the "</w:t>
      </w:r>
      <w:r>
        <w:rPr>
          <w:rFonts w:ascii="Times New Roman" w:cs="Times New Roman" w:eastAsia="Times New Roman" w:hAnsi="Times New Roman"/>
          <w:sz w:val="21"/>
          <w:szCs w:val="21"/>
          <w:b w:val="1"/>
          <w:bCs w:val="1"/>
          <w:color w:val="auto"/>
        </w:rPr>
        <w:t>VWAP Acceleration Right</w:t>
      </w:r>
      <w:r>
        <w:rPr>
          <w:rFonts w:ascii="Times New Roman" w:cs="Times New Roman" w:eastAsia="Times New Roman" w:hAnsi="Times New Roman"/>
          <w:sz w:val="21"/>
          <w:szCs w:val="21"/>
          <w:color w:val="auto"/>
        </w:rPr>
        <w:t>"). Notwithstanding anything to the contrary set forth in this Warrant, the Corporation may not issue a VWAP Acceleration Notice or require the cancellation of this Warrant and any such VWAP Acceleration Notice shall be void, unless, from the beginning of the Measurement Period through the date of the VWAP Acceleration Notice, (1) the Corporation shall have honored in accordance with the terms of this Warrant all Notices of Exercise delivered by 6:30 p.m. (New York City time) on the date of the VWAP Acceleration Notice, and (2) a Registration Statement shall be effective as to all Warrant Shares and the prospectus thereunder available for use by the Corporation for the sale of all such Warrant Shares to the Holder, and (3) the Holder is not in possession of any information that constitutes, or might constitute, material non-public information which was provided by the Corporation, any of its subsidiaries, or any of their officers, directors, employees, agents or affiliates (4) (x) the Common Shares are listed on each of Cboe Canada and NYSE American (or other exchanges in Canada and the United States), (y) the Corporation has not received any written threat or notice of delisting or suspension by Cboe Canada or NYSE American (or other exchanges in Canada and the United States) with a reasonable prospect of delisting, after giving effect to all applicable notice and appeal periods; and (z) no such delisting or suspension is reasonably likely to occur or is pending based on the Corporation falling below the minimum listing maintenance requirements of such Trading Market.</w:t>
      </w:r>
    </w:p>
    <w:p>
      <w:pPr>
        <w:spacing w:after="0" w:line="133" w:lineRule="exact"/>
        <w:rPr>
          <w:sz w:val="20"/>
          <w:szCs w:val="20"/>
          <w:color w:val="auto"/>
        </w:rPr>
      </w:pPr>
    </w:p>
    <w:p>
      <w:pPr>
        <w:jc w:val="both"/>
        <w:ind w:left="660" w:hanging="652"/>
        <w:spacing w:after="0" w:line="257" w:lineRule="auto"/>
        <w:tabs>
          <w:tab w:leader="none" w:pos="69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APPROACH Trial Data Acceleration. </w:t>
      </w:r>
      <w:r>
        <w:rPr>
          <w:rFonts w:ascii="Times New Roman" w:cs="Times New Roman" w:eastAsia="Times New Roman" w:hAnsi="Times New Roman"/>
          <w:sz w:val="21"/>
          <w:szCs w:val="21"/>
          <w:color w:val="auto"/>
        </w:rPr>
        <w:t>The Termination date will be accelerated by giving notice to the holder through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issuance of a press release on the results of the topline data for APPROACH trial of CYB003 in major depressive</w:t>
      </w:r>
    </w:p>
    <w:p>
      <w:pPr>
        <w:spacing w:after="0" w:line="2" w:lineRule="exact"/>
        <w:rPr>
          <w:sz w:val="20"/>
          <w:szCs w:val="20"/>
          <w:color w:val="auto"/>
        </w:rPr>
      </w:pPr>
    </w:p>
    <w:p>
      <w:pPr>
        <w:ind w:left="660"/>
        <w:spacing w:after="0" w:line="201" w:lineRule="auto"/>
        <w:rPr>
          <w:sz w:val="20"/>
          <w:szCs w:val="20"/>
          <w:color w:val="auto"/>
        </w:rPr>
      </w:pPr>
      <w:r>
        <w:rPr>
          <w:rFonts w:ascii="Times New Roman" w:cs="Times New Roman" w:eastAsia="Times New Roman" w:hAnsi="Times New Roman"/>
          <w:sz w:val="22"/>
          <w:szCs w:val="22"/>
          <w:color w:val="auto"/>
        </w:rPr>
        <w:t>disorder (NCT06564818). In such case the Warrants shall expire on the thirtieth (30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day after the date on which such notice is given by the Corporation.</w:t>
      </w:r>
    </w:p>
    <w:p>
      <w:pPr>
        <w:spacing w:after="0" w:line="14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Holder's Exercise Limitations</w:t>
      </w:r>
    </w:p>
    <w:p>
      <w:pPr>
        <w:spacing w:after="0" w:line="170" w:lineRule="exact"/>
        <w:rPr>
          <w:sz w:val="20"/>
          <w:szCs w:val="20"/>
          <w:color w:val="auto"/>
        </w:rPr>
      </w:pPr>
    </w:p>
    <w:p>
      <w:pPr>
        <w:jc w:val="both"/>
        <w:ind w:left="660" w:hanging="652"/>
        <w:spacing w:after="0" w:line="243" w:lineRule="auto"/>
        <w:tabs>
          <w:tab w:leader="none" w:pos="68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(as such term is defined in Rule 144 under the U.S. Securities Act)), and any other Person that is a member of a "</w:t>
      </w:r>
      <w:r>
        <w:rPr>
          <w:rFonts w:ascii="Times New Roman" w:cs="Times New Roman" w:eastAsia="Times New Roman" w:hAnsi="Times New Roman"/>
          <w:sz w:val="21"/>
          <w:szCs w:val="21"/>
          <w:b w:val="1"/>
          <w:bCs w:val="1"/>
          <w:color w:val="auto"/>
        </w:rPr>
        <w:t>group</w:t>
      </w:r>
      <w:r>
        <w:rPr>
          <w:rFonts w:ascii="Times New Roman" w:cs="Times New Roman" w:eastAsia="Times New Roman" w:hAnsi="Times New Roman"/>
          <w:sz w:val="21"/>
          <w:szCs w:val="21"/>
          <w:color w:val="auto"/>
        </w:rPr>
        <w:t>" (as defined in Rule 13d-5(b)(1) under the U.S. Exchange Act) (such Persons, "</w:t>
      </w:r>
      <w:r>
        <w:rPr>
          <w:rFonts w:ascii="Times New Roman" w:cs="Times New Roman" w:eastAsia="Times New Roman" w:hAnsi="Times New Roman"/>
          <w:sz w:val="21"/>
          <w:szCs w:val="21"/>
          <w:b w:val="1"/>
          <w:bCs w:val="1"/>
          <w:color w:val="auto"/>
        </w:rPr>
        <w:t>Attribution Parties</w:t>
      </w:r>
      <w:r>
        <w:rPr>
          <w:rFonts w:ascii="Times New Roman" w:cs="Times New Roman" w:eastAsia="Times New Roman" w:hAnsi="Times New Roman"/>
          <w:sz w:val="21"/>
          <w:szCs w:val="21"/>
          <w:color w:val="auto"/>
        </w:rPr>
        <w:t>"), would beneficially own Common Shares in excess of the Beneficial Ownership Limitation (as defined below). For purposes of the foregoing sentence, the number of Common Shares beneficially owned by the Holder and its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other Attribution Parties and (ii) exercise or conversion of the unexercised or nonconverted portion of any other securities of the Corporation (including, without limitation, any other securities of the Corporation or a subsidiary which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subject to a limitation on conversion or exercise analogous to the limitation contained herein beneficially owned by the Holder or any of its affiliates or other Attribution Parties. Beneficial ownership shall be calculated in accordance with (i) Section 1.8 of National Instrument 62-104 Take-Over Bids and Issuer Bids ("</w:t>
      </w:r>
      <w:r>
        <w:rPr>
          <w:rFonts w:ascii="Times New Roman" w:cs="Times New Roman" w:eastAsia="Times New Roman" w:hAnsi="Times New Roman"/>
          <w:sz w:val="21"/>
          <w:szCs w:val="21"/>
          <w:b w:val="1"/>
          <w:bCs w:val="1"/>
          <w:color w:val="auto"/>
        </w:rPr>
        <w:t>NI 62-104</w:t>
      </w:r>
      <w:r>
        <w:rPr>
          <w:rFonts w:ascii="Times New Roman" w:cs="Times New Roman" w:eastAsia="Times New Roman" w:hAnsi="Times New Roman"/>
          <w:sz w:val="21"/>
          <w:szCs w:val="21"/>
          <w:color w:val="auto"/>
        </w:rPr>
        <w:t>"), it being acknowledged by the Holder that the Corporation is not representing to the Holder that such calculation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compliance with Section 1.8 of NI 62-104 or (ii) Section 13(d) of the U.S. Exchange Act and the rules and regulations</w:t>
      </w:r>
    </w:p>
    <w:p>
      <w:pPr>
        <w:sectPr>
          <w:pgSz w:w="11900" w:h="16838" w:orient="portrait"/>
          <w:cols w:equalWidth="0" w:num="1">
            <w:col w:w="11240"/>
          </w:cols>
          <w:pgMar w:left="320" w:top="108" w:right="339" w:bottom="0" w:gutter="0" w:footer="0" w:header="0"/>
        </w:sectPr>
      </w:pPr>
    </w:p>
    <w:bookmarkStart w:id="78" w:name="page79"/>
    <w:bookmarkEnd w:id="78"/>
    <w:p>
      <w:pPr>
        <w:jc w:val="both"/>
        <w:spacing w:after="0" w:line="244" w:lineRule="auto"/>
        <w:rPr>
          <w:sz w:val="20"/>
          <w:szCs w:val="20"/>
          <w:color w:val="auto"/>
        </w:rPr>
      </w:pPr>
      <w:r>
        <w:rPr>
          <w:rFonts w:ascii="Times New Roman" w:cs="Times New Roman" w:eastAsia="Times New Roman" w:hAnsi="Times New Roman"/>
          <w:sz w:val="22"/>
          <w:szCs w:val="22"/>
          <w:color w:val="auto"/>
        </w:rPr>
        <w:t>promulgated thereunder, it being acknowledged by the Holder that the Corporation is not representing to the Holder that such calculation is in compliance with Section 13(d) of the U.S. Exchange Act and the Holder is solely responsible for any schedules required to be filed in accordance therewith.</w:t>
      </w:r>
    </w:p>
    <w:p>
      <w:pPr>
        <w:spacing w:after="0" w:line="1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128905</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79" w:name="page80"/>
    <w:bookmarkEnd w:id="79"/>
    <w:p>
      <w:pPr>
        <w:jc w:val="both"/>
        <w:ind w:left="660" w:hanging="652"/>
        <w:spacing w:after="0"/>
        <w:tabs>
          <w:tab w:leader="none" w:pos="69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limitation contained in this Section 2.4 applies, the submission of a Notice of Exercise shall be deemed to be the Holder's determination of whether this Warrant is exercisable (in relation to other securities owned by the Holder together with any affiliates or other Attribution Parties) and of which portion of this Warrant is exercisable, in each case subject to the Beneficial Ownership Limitation.</w:t>
      </w:r>
    </w:p>
    <w:p>
      <w:pPr>
        <w:spacing w:after="0" w:line="136" w:lineRule="exact"/>
        <w:rPr>
          <w:rFonts w:ascii="Times New Roman" w:cs="Times New Roman" w:eastAsia="Times New Roman" w:hAnsi="Times New Roman"/>
          <w:sz w:val="22"/>
          <w:szCs w:val="22"/>
          <w:color w:val="auto"/>
        </w:rPr>
      </w:pPr>
    </w:p>
    <w:p>
      <w:pPr>
        <w:jc w:val="both"/>
        <w:ind w:left="660" w:hanging="652"/>
        <w:spacing w:after="0" w:line="246" w:lineRule="auto"/>
        <w:tabs>
          <w:tab w:leader="none" w:pos="68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2.4, in determining the number of outstanding Common Shares, the Holder may rely on the number of outstanding Common Shares as reflected in (A) the Corporation's most recent periodic or annual report filed with the Canadian securities commissions, United States securities commission or Cboe Canada, as the case may be, (B) a more recent public announcement by the Corporation or (C) a more recent written notice by the Corporation or the Transfer Agent setting forth the number of Common Shares outstanding. Upon the written or oral request of a Holder, the Corporation shall within one (1) Trading Day confirm orally and in writing to the Holder the number of Common Shares then outstanding. In any case, the number of outstanding Common Shares shall be determined after giving effect to the conversion or exercise of securities of the Corporation, including this Warrant, by the Holder or its affiliates or other Attribution Parties since the date as of which such number of outstanding Common Shares was reported.</w:t>
      </w:r>
    </w:p>
    <w:p>
      <w:pPr>
        <w:spacing w:after="0" w:line="144" w:lineRule="exact"/>
        <w:rPr>
          <w:rFonts w:ascii="Times New Roman" w:cs="Times New Roman" w:eastAsia="Times New Roman" w:hAnsi="Times New Roman"/>
          <w:sz w:val="21"/>
          <w:szCs w:val="21"/>
          <w:color w:val="auto"/>
        </w:rPr>
      </w:pPr>
    </w:p>
    <w:p>
      <w:pPr>
        <w:jc w:val="both"/>
        <w:ind w:left="660" w:hanging="652"/>
        <w:spacing w:after="0" w:line="233" w:lineRule="auto"/>
        <w:tabs>
          <w:tab w:leader="none" w:pos="69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Beneficial Ownership Limitation</w:t>
      </w:r>
      <w:r>
        <w:rPr>
          <w:rFonts w:ascii="Times New Roman" w:cs="Times New Roman" w:eastAsia="Times New Roman" w:hAnsi="Times New Roman"/>
          <w:sz w:val="22"/>
          <w:szCs w:val="22"/>
          <w:color w:val="auto"/>
        </w:rPr>
        <w:t xml:space="preserve">" shall be </w:t>
      </w:r>
      <w:r>
        <w:rPr>
          <w:rFonts w:ascii="Times New Roman" w:cs="Times New Roman" w:eastAsia="Times New Roman" w:hAnsi="Times New Roman"/>
          <w:sz w:val="22"/>
          <w:szCs w:val="22"/>
          <w:b w:val="1"/>
          <w:bCs w:val="1"/>
          <w:u w:val="single" w:color="auto"/>
          <w:color w:val="auto"/>
        </w:rPr>
        <w:t>9.99%</w:t>
      </w:r>
      <w:r>
        <w:rPr>
          <w:rFonts w:ascii="Times New Roman" w:cs="Times New Roman" w:eastAsia="Times New Roman" w:hAnsi="Times New Roman"/>
          <w:sz w:val="22"/>
          <w:szCs w:val="22"/>
          <w:color w:val="auto"/>
        </w:rPr>
        <w:t xml:space="preserve"> (or, upon election by a Holder prior to the issuance of any Warrants, 4.99%) of the number of the Common Shares outstanding immediately after giving effect to the issuance of any Common Shares upon exercise of the Warrants. The Holder, upon notice to the Corporation, may increase or decrease the Beneficial Ownership Limitation provisions of this Section 2.4(d), provided that the Beneficial Ownership Limitation in no event exceeds 9.99% of the number of Common Shares outstanding immediately after giving effect to the issuance of Common Shares upon exercise of this Warrant held by the Holder and the provisions of this Section 2.4(d) shall continue to apply. Any increase in the Beneficial Ownership Limitation will not be effective until the 61st day after such notice is delivered to the Corporation. In the event that the issuance of Common Shares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 w:cs="Times New Roman" w:eastAsia="Times New Roman" w:hAnsi="Times New Roman"/>
          <w:sz w:val="22"/>
          <w:szCs w:val="22"/>
          <w:b w:val="1"/>
          <w:bCs w:val="1"/>
          <w:color w:val="auto"/>
        </w:rPr>
        <w:t>Excess Shares</w:t>
      </w:r>
      <w:r>
        <w:rPr>
          <w:rFonts w:ascii="Times New Roman" w:cs="Times New Roman" w:eastAsia="Times New Roman" w:hAnsi="Times New Roman"/>
          <w:sz w:val="22"/>
          <w:szCs w:val="22"/>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Corporation shall return to the Holder the exercise price paid by the Holder for the Excess Shares and the Holder shall return the Excess Shares to the Corporation.</w:t>
      </w:r>
    </w:p>
    <w:p>
      <w:pPr>
        <w:spacing w:after="0" w:line="141"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provisions of this paragraph shall be construed and implemented in a manner otherwise than in strict conformity with the terms of this Section 2.4 to correct this Section 2.4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CERTAIN ADJUSTMENTS</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Stock Dividends and Splits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approval by Cboe Canada and NYSE American (or any such rules and policies on any stock exchange that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are listed on), if the Corporation, at any time while this Warrant is outstanding:</w:t>
      </w:r>
    </w:p>
    <w:p>
      <w:pPr>
        <w:spacing w:after="0" w:line="142" w:lineRule="exact"/>
        <w:rPr>
          <w:sz w:val="20"/>
          <w:szCs w:val="20"/>
          <w:color w:val="auto"/>
        </w:rPr>
      </w:pPr>
    </w:p>
    <w:p>
      <w:pPr>
        <w:jc w:val="both"/>
        <w:ind w:left="660" w:hanging="652"/>
        <w:spacing w:after="0" w:line="244" w:lineRule="auto"/>
        <w:tabs>
          <w:tab w:leader="none" w:pos="68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pays a stock dividend or otherwise makes a distribution or distributions on shares of its Common Shares or any other equity or equity equivalent securities payable in Common Shares (which, for avoidance of doubt, shall not include any Common Shares issued by the Corporation upon exercise of this Warrant or any other Warrants),</w:t>
      </w:r>
    </w:p>
    <w:p>
      <w:pPr>
        <w:spacing w:after="0" w:line="132"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subdivides outstanding Common Shares into a larger number of shares,</w:t>
      </w:r>
    </w:p>
    <w:p>
      <w:pPr>
        <w:spacing w:after="0" w:line="179"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combines (including by way of reverse stock split) outstanding Common Shares into a smaller number of shares, or</w:t>
      </w:r>
    </w:p>
    <w:p>
      <w:pPr>
        <w:spacing w:after="0" w:line="165"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issues by reclassification of the outstanding Common Shares any capital shares of the Corporation,</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shareholders entitled to receive such dividend or distribution (provided, that such adjustment shall be reversed if such dividend or distribution is terminated prior to the making thereof) and shall become effective immediately after the effective date in the case of a subdivision, combination or re-classification. If a dispute shall at any time arise with respect to any adjustment of the Exercise Price, the number of Common Shares purchasable pursuant to this Warrant certificate or any adjustments provided for in this Section 4, such dispute will be conclusively determined by the auditors of the Corporation or if they are unable or unwilling to act by such other firm of independent chartered accountants of recognized national standing as may be selected by the directors of the Corporation, acting reasonably and in good faith, and any such determination will be binding upon the Corporation and the Holder. The Corporation will provide such auditors or accountants with access to all necessary records of the Corporation.</w:t>
      </w:r>
    </w:p>
    <w:p>
      <w:pPr>
        <w:spacing w:after="0" w:line="15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Fundamental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at any time while this Warrant is outstanding:</w:t>
      </w:r>
    </w:p>
    <w:p>
      <w:pPr>
        <w:spacing w:after="0" w:line="166" w:lineRule="exact"/>
        <w:rPr>
          <w:sz w:val="20"/>
          <w:szCs w:val="20"/>
          <w:color w:val="auto"/>
        </w:rPr>
      </w:pPr>
    </w:p>
    <w:p>
      <w:pPr>
        <w:ind w:left="660" w:right="20" w:hanging="652"/>
        <w:spacing w:after="0" w:line="258" w:lineRule="auto"/>
        <w:tabs>
          <w:tab w:leader="none" w:pos="68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effects any merger or consolidation of the Corporation with or into another Person,</w:t>
      </w:r>
    </w:p>
    <w:p>
      <w:pPr>
        <w:spacing w:after="0" w:line="131" w:lineRule="exact"/>
        <w:rPr>
          <w:rFonts w:ascii="Times New Roman" w:cs="Times New Roman" w:eastAsia="Times New Roman" w:hAnsi="Times New Roman"/>
          <w:sz w:val="22"/>
          <w:szCs w:val="22"/>
          <w:color w:val="auto"/>
        </w:rPr>
      </w:pPr>
    </w:p>
    <w:p>
      <w:pPr>
        <w:ind w:left="660" w:hanging="652"/>
        <w:spacing w:after="0" w:line="258" w:lineRule="auto"/>
        <w:tabs>
          <w:tab w:leader="none" w:pos="69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(or any Subsidiary), directly or indirectly, effects any sale, lease, license, assignment, transfer, conveyance or other disposition of all or substantially all of its assets in one or a series of related transactions,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spacing w:after="0" w:line="30" w:lineRule="exact"/>
        <w:rPr>
          <w:sz w:val="20"/>
          <w:szCs w:val="20"/>
          <w:color w:val="auto"/>
        </w:rPr>
      </w:pPr>
    </w:p>
    <w:p>
      <w:pPr>
        <w:jc w:val="both"/>
        <w:ind w:left="660" w:hanging="652"/>
        <w:spacing w:after="0" w:line="244" w:lineRule="auto"/>
        <w:tabs>
          <w:tab w:leader="none" w:pos="68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purchase offer, tender offer or exchange offer (whether by the Corporation or another Person) is completed pursuant to which holders of Common Shares are permitted to sell, tender or exchange their shares for other securities, cash or property and has been accepted by the holders of 50% or more of the outstanding Common Shares,</w:t>
      </w:r>
    </w:p>
    <w:p>
      <w:pPr>
        <w:spacing w:after="0" w:line="133"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9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or</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36" w:lineRule="auto"/>
        <w:tabs>
          <w:tab w:leader="none" w:pos="68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Common Shares (not including any Common Shares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22"/>
          <w:szCs w:val="22"/>
          <w:b w:val="1"/>
          <w:bCs w:val="1"/>
          <w:color w:val="auto"/>
        </w:rPr>
        <w:t>Fundamental Transaction</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then, upon any subsequent exercise of this Warrant, and subject to the prior approval of Cboe Canada and NYSE American (or as necessary, any stock exchange that the Common Shares are listed on), the Holder shall have the right to receive, for each Warrant Share that would have been issuable upon such exercise immediately prior to the occurrence of such Fundamental Transaction, at the option of the Holder (without regard to any limitation in Section 2.4 on the exercise of this Warrant), the number of common shares of the successor or acquiring corporation or of the Corporation, if it is the surviving corporation, and any additional consideration (the "</w:t>
      </w:r>
      <w:r>
        <w:rPr>
          <w:rFonts w:ascii="Times New Roman" w:cs="Times New Roman" w:eastAsia="Times New Roman" w:hAnsi="Times New Roman"/>
          <w:sz w:val="21"/>
          <w:szCs w:val="21"/>
          <w:b w:val="1"/>
          <w:bCs w:val="1"/>
          <w:color w:val="auto"/>
        </w:rPr>
        <w:t>Alternate Consideration</w:t>
      </w:r>
      <w:r>
        <w:rPr>
          <w:rFonts w:ascii="Times New Roman" w:cs="Times New Roman" w:eastAsia="Times New Roman" w:hAnsi="Times New Roman"/>
          <w:sz w:val="21"/>
          <w:szCs w:val="21"/>
          <w:color w:val="auto"/>
        </w:rPr>
        <w:t>") receivable as a result of such Fundamental Transaction by a holder of the number of Common Shares for which this Warrant is exercisable immediately prior to such Fundamental Transaction (without regard to any limitation in Section 2.4 on the exercise of this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Corporation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Corporation shall cause any successor entity in a Fundamental Transaction in which the Corporation is not the survivor (the "</w:t>
      </w:r>
      <w:r>
        <w:rPr>
          <w:rFonts w:ascii="Times New Roman" w:cs="Times New Roman" w:eastAsia="Times New Roman" w:hAnsi="Times New Roman"/>
          <w:sz w:val="21"/>
          <w:szCs w:val="21"/>
          <w:b w:val="1"/>
          <w:bCs w:val="1"/>
          <w:color w:val="auto"/>
        </w:rPr>
        <w:t>Successor Entity</w:t>
      </w:r>
      <w:r>
        <w:rPr>
          <w:rFonts w:ascii="Times New Roman" w:cs="Times New Roman" w:eastAsia="Times New Roman" w:hAnsi="Times New Roman"/>
          <w:sz w:val="21"/>
          <w:szCs w:val="21"/>
          <w:color w:val="auto"/>
        </w:rPr>
        <w:t>") to assume in writing all of the obligations of the Corporation under this Warrant in accordance with the provisions of this Section 3.2 pursuant to written agreements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"Corporation" under this Warrant (so that from and after the occurrence or consummation of such Fundamental Transaction, each and every provision of this Warrant referring to the "Corporation" shall refer instead to each of the Corporation and the Successor Entity or Successor Entities, jointly and severally), and the Successor Entity or Successor Entities, jointly and severally with the Corporation, may exercise every right and power of the Corporation prior thereto and the Successor Entity or Successor Entities shall assume all of the obligations of the Corporation prior thereto under this Warrant with the same effect as if the Corporation and such Successor Entity or Successor Entities, jointly and severally, had been named as the Corporation herein; provided, however, that to the extent that the Holder's right to participate in any such Fundamental Transaction rights would result in the Holder and its Attribution Parties, collectively, beneficially owning in excess of the Beneficial Ownership Limitation of the Common Shares that would be issued and outstanding following receipt of such Fundamental Transaction rights (such excess amount of Common Shares, the "</w:t>
      </w:r>
      <w:r>
        <w:rPr>
          <w:rFonts w:ascii="Times New Roman" w:cs="Times New Roman" w:eastAsia="Times New Roman" w:hAnsi="Times New Roman"/>
          <w:sz w:val="21"/>
          <w:szCs w:val="21"/>
          <w:b w:val="1"/>
          <w:bCs w:val="1"/>
          <w:color w:val="auto"/>
        </w:rPr>
        <w:t>Excess Fundamental Transaction Rights</w:t>
      </w:r>
      <w:r>
        <w:rPr>
          <w:rFonts w:ascii="Times New Roman" w:cs="Times New Roman" w:eastAsia="Times New Roman" w:hAnsi="Times New Roman"/>
          <w:sz w:val="21"/>
          <w:szCs w:val="21"/>
          <w:color w:val="auto"/>
        </w:rPr>
        <w:t>"),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Shares in excess of the Beneficial Ownership Limitation and (2) the Holder so certifies in writing to the Corporation and specifies the number of Common Shares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 subsequent Fundamental Transaction rights to be held similarly in abeyance) to the same extent as if there had been no such limitation. For the avoidance of doubt, the Holder shall be entitled to the benefits of the provisions of this Section 3.2 regardless of (i) whether the Corporation has sufficient authorized Common Shares for the issuance of Warrant Shares and/or (ii) whether a Fundamental Transaction occurs prior to the Initial Exercise Date.</w:t>
      </w:r>
    </w:p>
    <w:p>
      <w:pPr>
        <w:spacing w:after="0" w:line="3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Notwithstanding anything to the contrary, in the event of a Fundamental Transaction, the Corporation or any Successor Entity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Corporation's control, including not approved by the Corporation's</w:t>
      </w:r>
    </w:p>
    <w:p>
      <w:pPr>
        <w:sectPr>
          <w:pgSz w:w="11900" w:h="16868" w:orient="portrait"/>
          <w:cols w:equalWidth="0" w:num="1">
            <w:col w:w="11240"/>
          </w:cols>
          <w:pgMar w:left="320" w:top="111" w:right="339" w:bottom="0" w:gutter="0" w:footer="0" w:header="0"/>
        </w:sectPr>
      </w:pPr>
    </w:p>
    <w:bookmarkStart w:id="82" w:name="page83"/>
    <w:bookmarkEnd w:id="82"/>
    <w:p>
      <w:pPr>
        <w:jc w:val="both"/>
        <w:spacing w:after="0" w:line="232" w:lineRule="auto"/>
        <w:rPr>
          <w:sz w:val="20"/>
          <w:szCs w:val="20"/>
          <w:color w:val="auto"/>
        </w:rPr>
      </w:pPr>
      <w:r>
        <w:rPr>
          <w:rFonts w:ascii="Times New Roman" w:cs="Times New Roman" w:eastAsia="Times New Roman" w:hAnsi="Times New Roman"/>
          <w:sz w:val="22"/>
          <w:szCs w:val="22"/>
          <w:color w:val="auto"/>
        </w:rPr>
        <w:t>Board of Directors, the Holder shall only be entitled to receive from the Corporation's or any Successor Entity the same type or form of consideration (and in the same proportion) that is being offered and paid to the holders of Common Shares of the Corporation in connection with such Fundamental Transaction. The payment of the Black Scholes Value will be made by wire transfer of immediately available funds within five (5) Trading Days of the Holder’s election (or, if later, on the effective date of the Fundamental Transaction). As used herein, "</w:t>
      </w:r>
      <w:r>
        <w:rPr>
          <w:rFonts w:ascii="Times New Roman" w:cs="Times New Roman" w:eastAsia="Times New Roman" w:hAnsi="Times New Roman"/>
          <w:sz w:val="22"/>
          <w:szCs w:val="22"/>
          <w:b w:val="1"/>
          <w:bCs w:val="1"/>
          <w:color w:val="auto"/>
        </w:rPr>
        <w:t>Black Scholes Value</w:t>
      </w:r>
      <w:r>
        <w:rPr>
          <w:rFonts w:ascii="Times New Roman" w:cs="Times New Roman" w:eastAsia="Times New Roman" w:hAnsi="Times New Roman"/>
          <w:sz w:val="22"/>
          <w:szCs w:val="22"/>
          <w:color w:val="auto"/>
        </w:rPr>
        <w:t>" means the value of this Warrant based on the Black-Scholes Option Pricing Model obtained from the "OV" function on Bloomberg Financial Markets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(i) 100% and (ii) the 100 day volatility, each obtained from the HVT function on Bloomberg Financial Markets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of the Common Shares immediately prior to the public announcement of such Fundamental Transaction and (y) the last VWAP of the Common Shares immediately prior to the consummation of such Fundamental Transaction (D) a remaining option time equal to the time between the date of the public announcement of the applicable Fundamental Transaction and the Termination Date and (E) a zero cost of borrow.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Subsequent Rights Offerings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addition to any adjustments pursuant to Section 3.1 above, if, subject to the prior approval of Cboe Canada and NYSE American (or any other stock exchange that the Common Shares are listed on), at any time the Corporation grants, issues or sells any Common Shares or rights to purchase stock, warrants, securities or other property pro rata to the record holders of any class of Common Shares (the "</w:t>
      </w:r>
      <w:r>
        <w:rPr>
          <w:rFonts w:ascii="Times New Roman" w:cs="Times New Roman" w:eastAsia="Times New Roman" w:hAnsi="Times New Roman"/>
          <w:sz w:val="21"/>
          <w:szCs w:val="21"/>
          <w:b w:val="1"/>
          <w:bCs w:val="1"/>
          <w:color w:val="auto"/>
        </w:rPr>
        <w:t>Purchase Rights</w:t>
      </w:r>
      <w:r>
        <w:rPr>
          <w:rFonts w:ascii="Times New Roman" w:cs="Times New Roman" w:eastAsia="Times New Roman" w:hAnsi="Times New Roman"/>
          <w:sz w:val="21"/>
          <w:szCs w:val="21"/>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u w:val="single" w:color="auto"/>
          <w:color w:val="auto"/>
        </w:rPr>
        <w:t>Pro Rata Distributions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During such time as this Warrant is outstanding, and subject to the prior approval of Cboe Canada and NYSE American (or any other stock exchange that the Common Shares are listed on), if the Corporation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or constructive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u w:val="single" w:color="auto"/>
          <w:color w:val="auto"/>
        </w:rPr>
        <w:t>No Adjustment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3, no adjustment shall be made in the acquisition rights attached to the Warrants if the issue of Common Shares is being made in connection with (a) any share incentive plan or restricted share plan or share purchase plan in force from time to time for directors, officers, employees, consultants or other service providers of the Corporation; or (b) the satisfaction of existing instruments issued on or prior to October 28, 2025 provided that such existing instruments are not amended on or after such date to increase the number of shares issuable pursuant to the terms thereof, to decrease the conversion price, exercise price or other relevant price thereof or to extent the term thereof.</w:t>
      </w:r>
    </w:p>
    <w:p>
      <w:pPr>
        <w:spacing w:after="0" w:line="15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Calculations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u w:val="single" w:color="auto"/>
          <w:color w:val="auto"/>
        </w:rPr>
        <w:t>Notice to Holder</w:t>
      </w:r>
    </w:p>
    <w:p>
      <w:pPr>
        <w:spacing w:after="0" w:line="179" w:lineRule="exact"/>
        <w:rPr>
          <w:sz w:val="20"/>
          <w:szCs w:val="20"/>
          <w:color w:val="auto"/>
        </w:rPr>
      </w:pPr>
    </w:p>
    <w:p>
      <w:pPr>
        <w:jc w:val="both"/>
        <w:ind w:left="660" w:hanging="652"/>
        <w:spacing w:after="0" w:line="241" w:lineRule="auto"/>
        <w:tabs>
          <w:tab w:leader="none" w:pos="68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 to Exercise Price. </w:t>
      </w:r>
      <w:r>
        <w:rPr>
          <w:rFonts w:ascii="Times New Roman" w:cs="Times New Roman" w:eastAsia="Times New Roman" w:hAnsi="Times New Roman"/>
          <w:sz w:val="22"/>
          <w:szCs w:val="22"/>
          <w:color w:val="auto"/>
        </w:rPr>
        <w:t>Whenever the Exercise Price is adjusted pursuant to any provision of this 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31" w:lineRule="exact"/>
        <w:rPr>
          <w:rFonts w:ascii="Times New Roman" w:cs="Times New Roman" w:eastAsia="Times New Roman" w:hAnsi="Times New Roman"/>
          <w:sz w:val="22"/>
          <w:szCs w:val="22"/>
          <w:color w:val="auto"/>
        </w:rPr>
      </w:pPr>
    </w:p>
    <w:p>
      <w:pPr>
        <w:jc w:val="both"/>
        <w:ind w:left="660" w:hanging="652"/>
        <w:spacing w:after="0" w:line="243" w:lineRule="auto"/>
        <w:tabs>
          <w:tab w:leader="none" w:pos="69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Notice to Allow Exercise by Holder. </w:t>
      </w:r>
      <w:r>
        <w:rPr>
          <w:rFonts w:ascii="Times New Roman" w:cs="Times New Roman" w:eastAsia="Times New Roman" w:hAnsi="Times New Roman"/>
          <w:sz w:val="21"/>
          <w:szCs w:val="21"/>
          <w:color w:val="auto"/>
        </w:rPr>
        <w:t>If (A) the Corporation shall declare a dividend (or any other distribution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whatever form) on the Common Shares, (B) the Corporation shall declare a special nonrecurring cash dividend on or a redemption of the Common Shares, (C) the Corporation shall authorize the granting to all holders of the Common Shares rights or warrants to subscribe for or purchase any capital shares of any class or of any rights, (D) the approval of any shareholders of the Corporation shall be required in connection with any reclassification of the Common Shares, any consolidation or merger to which the Corporation (or any of its Subsidiaries) is a party, any sale or transfer of all or substantially all of its assets, or any compulsory share exchange whereby the Common Shares is converted into other securities, cash or property, (E) the Corporation shall authorize the voluntary or involuntary dissolution, liquidation or winding up of the affairs of the Corporation, or (F) a Fundamental Transaction shall have occurred then, in each case, the Corporation shall cause to be delivered by email to the Holder at its last email address as it shall appear upon the Warrant Register of the Corporation, at least five (5) Business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shares of the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Corporation or any of the Subsidiaries, the Corporation shall simultaneously file such notice on SEDAR+ and EDGAR. The Holder shall remain entitled to exercise this Warrant during the period commencing on the date of such notice to the effective date of the event triggering such notice except as may otherwise be expressly set forth herein.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jc w:val="both"/>
        <w:ind w:left="660" w:right="20" w:hanging="647"/>
        <w:spacing w:after="0" w:line="264"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 xml:space="preserve">Voluntary Adjustment by Corporation. </w:t>
      </w:r>
      <w:r>
        <w:rPr>
          <w:rFonts w:ascii="Times New Roman" w:cs="Times New Roman" w:eastAsia="Times New Roman" w:hAnsi="Times New Roman"/>
          <w:sz w:val="21"/>
          <w:szCs w:val="21"/>
          <w:color w:val="auto"/>
        </w:rPr>
        <w:t>Subject to the rules and regulations of the Trading Market, the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at any time during the term of this Warrant subject to the prior written consent of the Holder, reduce the then current Exercise Price to any amount for any period of time deemed appropriate by the board of directors of the Corporation.</w:t>
      </w:r>
    </w:p>
    <w:p>
      <w:pPr>
        <w:spacing w:after="0" w:line="108"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Cboe Approval</w:t>
      </w:r>
      <w:r>
        <w:rPr>
          <w:rFonts w:ascii="Times New Roman" w:cs="Times New Roman" w:eastAsia="Times New Roman" w:hAnsi="Times New Roman"/>
          <w:sz w:val="21"/>
          <w:szCs w:val="21"/>
          <w:color w:val="auto"/>
        </w:rPr>
        <w:t>. As a condition precedent to the taking of any action which would require an adjustment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3, the Corporation shall take any and all actions which may be necessary, including obtaining regulatory or other governmental, Cboe Canada or other applicable securities exchange, corporate or shareholder approvals or exemptions, in order that the Corporation may thereafter validly and legally issue as fully paid and non-assessable all shares, or all other securities or other property, that the Holder is entitled to receive upon exercise of this Warrant pursuant to this Section 3.</w:t>
      </w:r>
    </w:p>
    <w:p>
      <w:pPr>
        <w:spacing w:after="0" w:line="13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TRANSFER OF WARRANT</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Transferability</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This Warrant and all rights hereunder are transferable, in whole or in part, upon surrender of this Warrant at the principal office of the Corporation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Corporation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Corporation unless the Holder has assigned this Warrant in full, in which case, the Holder shall surrender this Warrant to the Corporation within three (3) Trading Days of the date on which the Holder delivers an assignment form to the Corporation assigning this Warrant in full. The Warrant, if properly assigned in accordance herewith, may be exercised by a new holder for the purchase of Warrant Shares without having a new Warrant issued.</w:t>
      </w:r>
    </w:p>
    <w:p>
      <w:pPr>
        <w:spacing w:after="0" w:line="14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New Warrants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Warrant may be divided or combined with other Warrants upon presentation hereof at the aforesaid office of the Corporation, together with a written notice specifying the names and denominations in which new Warrants are to be issued, signed by the Holder or its agent or attorney. Subject to compliance with Section 4.2, as to any transfer which may be involved in such division or combination, the Corporation shall execute and deliver a new Warrant or Warrants in exchange for the Warrant or Warrants to be divided or combined in accordance with such notice. All Warrants issued on transfers or exchanges shall be dated the Initial Exercise Date of this Warrant and shall be identical to this Warrant except as to the number of Warrant Shares issuable pursuant thereto.</w:t>
      </w:r>
    </w:p>
    <w:p>
      <w:pPr>
        <w:spacing w:after="0" w:line="1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Warrant Register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jc w:val="both"/>
        <w:spacing w:after="0" w:line="241" w:lineRule="auto"/>
        <w:rPr>
          <w:sz w:val="20"/>
          <w:szCs w:val="20"/>
          <w:color w:val="auto"/>
        </w:rPr>
      </w:pPr>
      <w:r>
        <w:rPr>
          <w:rFonts w:ascii="Times New Roman" w:cs="Times New Roman" w:eastAsia="Times New Roman" w:hAnsi="Times New Roman"/>
          <w:sz w:val="22"/>
          <w:szCs w:val="22"/>
          <w:color w:val="auto"/>
        </w:rPr>
        <w:t>The Corporation shall register this Warrant, upon records to be maintained by the Corporation for that purpose (the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in the name of the record Holder hereof from time to time. The Corporation may deem and treat the registered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Warrant as the absolute owner hereof for the purpose of any exercise hereof or any distribution to the Holder, and for all other purposes, absent actual notice to the contrary.</w:t>
      </w:r>
    </w:p>
    <w:p>
      <w:pPr>
        <w:spacing w:after="0" w:line="13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7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No Rights as Shareholder Until Exercise</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Warrant does not entitle the Holder to any voting rights, dividends or other rights as a shareholder of the Corporation prior to the exercise hereof as set forth in Section 2.3(a), except as expressly set forth in SECTION 3.</w:t>
      </w:r>
    </w:p>
    <w:p>
      <w:pPr>
        <w:spacing w:after="0" w:line="11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Loss, Theft, Destruction or Mutilation of Warrant</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covenants that upon receipt by the Corporation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Corporation will make and deliver a new Warrant or share certificate of like tenor and dated as of such cancellation, in lieu of such Warrant or share certificate.</w:t>
      </w:r>
    </w:p>
    <w:p>
      <w:pPr>
        <w:spacing w:after="0" w:line="1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Saturdays, Sundays, Holidays, etc.</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the last or appointed day for the taking of any action or the expiration of any right required or granted herein shall not be a Trading Day, then, such action may be taken or such right may be exercised on the next succeeding Trading Day.</w:t>
      </w:r>
    </w:p>
    <w:p>
      <w:pPr>
        <w:spacing w:after="0" w:line="12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Authorized Shares</w:t>
      </w:r>
    </w:p>
    <w:p>
      <w:pPr>
        <w:spacing w:after="0" w:line="170" w:lineRule="exact"/>
        <w:rPr>
          <w:sz w:val="20"/>
          <w:szCs w:val="20"/>
          <w:color w:val="auto"/>
        </w:rPr>
      </w:pPr>
    </w:p>
    <w:p>
      <w:pPr>
        <w:jc w:val="both"/>
        <w:ind w:left="660" w:hanging="652"/>
        <w:spacing w:after="0" w:line="233" w:lineRule="auto"/>
        <w:tabs>
          <w:tab w:leader="none" w:pos="69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covenants that, at all times during the period the Warrant is outstanding, it will reserve from its authorized and unissued Common Shares a sufficient number of shares to provide for the issuance of the Warrant Shares upon the exercise of any purchase rights under this Warrant. The Corporation further covenants that its issuance of this Warrant shall constitute full authority to its officers who are charged with the duty of issuing the necessary Warrant Shares upon the exercise of the purchase rights under this Warrant. The Corporation will take all such reasonable action as may be necessary to assure that such Warrant Shares may be issued as provided herein without violation of any applicable law or regulation, or of any requirements of the Trading Market upon which the Common Shares may be listed. The Corporation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Corporation in respect of the issue thereof (other than taxes in respect of any transfer occurring contemporaneously with such issue).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jc w:val="both"/>
        <w:ind w:left="660" w:hanging="652"/>
        <w:spacing w:after="0" w:line="233" w:lineRule="auto"/>
        <w:tabs>
          <w:tab w:leader="none" w:pos="69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and to the extent as waived or consented to by the Holder, the Corporation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Corporation will (i) not increase the par value of any Warrant Shares above the amount payable therefor upon such exercise immediately prior to such increase in par value, (ii) take all such action as may be necessary or appropriate in order that the Corporation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Corporation to perform its obligations under this Warrant.</w:t>
      </w:r>
    </w:p>
    <w:p>
      <w:pPr>
        <w:spacing w:after="0" w:line="144"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68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Corporation shall obtain all such authorizations or exemptions thereof, or consents thereto, as may be necessary from any public regulatory body or bodies having jurisdiction thereof.</w:t>
      </w:r>
    </w:p>
    <w:p>
      <w:pPr>
        <w:spacing w:after="0" w:line="14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Jurisdiction</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its respective affiliates, directors, officers, shareholders, partners, members, employees or agents) shall be commenced exclusively in the state and federal courts sitting in the City of New York, Borough of Manhattan.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Warrant),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suit or Proceeding to enforce any provisions of this Warrant, the prevailing party in such action, suit or Proceeding shall be reimbursed by the non-prevailing party for its reasonable attorneys' fees and other costs and expenses incurred with the investigation, preparation and prosecution of such action or Proceeding.</w:t>
      </w:r>
    </w:p>
    <w:p>
      <w:pPr>
        <w:spacing w:after="0" w:line="14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Restrictions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Holder acknowledges that the Warrant Shares acquired upon the exercise of this Warrant, if not registered, will have restrictions upon resale imposed by U.S. state and federal securities laws.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Nonwaiver and Expenses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No course of dealing or any delay or failure to exercise any right hereunder on the part of Holder shall operate as a waiver of such right or otherwise prejudice the Holder's rights, powers or remedies. Without limiting any other provision of this Warrant, if the Corporation willfully and knowingly fails to comply with any provision of this Warrant, which results in any material damages to the Holder, the Corporation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4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Notices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Any notice, request or other document required or permitted to be given or delivered to the Holder by the Corporation shall be in writing and shall be deemed given and effective on the earliest of: (a) the time of transmission, if such notice or communication is delivered via email attachment at the email address as set forth herein or on the books and records of the Corporation at or prior to 5:30 p.m. (New York City time) on a Trading Day, with no rejection notice received, (b) the next Trading Day after the date of transmission, if such notice or communication is delivered via email attachment at the email address as set forth herein or on the books and records of the Corporation on a day that is not a Trading Day or later than 5:30 p.m. (New York City time) on any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Trading Day, with no rejection notice received, (c) the second (2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22"/>
          <w:szCs w:val="22"/>
          <w:color w:val="auto"/>
        </w:rPr>
        <w:t>) Trading Day following the date of mailing, if sent by U.S. nationally recognized overnight courier service or (d) upon actual receipt by the party to whom such notice is required to be given. The address for such notices and communications shall be the address as set forth herein or on the books and records of the Corporation.</w:t>
      </w:r>
    </w:p>
    <w:p>
      <w:pPr>
        <w:spacing w:after="0" w:line="13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u w:val="single" w:color="auto"/>
          <w:color w:val="auto"/>
        </w:rPr>
        <w:t>Limitation of Liability</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Corporation, whether such liability is asserted by the Corporation or by creditors of the Corporation.</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u w:val="single" w:color="auto"/>
          <w:color w:val="auto"/>
        </w:rPr>
        <w:t>Remedies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Holder, in addition to being entitled to exercise all rights granted by law, including recovery of damages, will be entitled to specific performance of its rights under this Warrant. The Corporation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u w:val="single" w:color="auto"/>
          <w:color w:val="auto"/>
        </w:rPr>
        <w:t>Successors and Assigns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Subject to applicable securities laws, this Warrant and the rights and obligations evidenced hereby shall inure to the benefit of and be binding upon the successors and permitted assigns of the Corporation and the successors and permitted assigns of Holder. The provisions of this Warrant are intended to be for the benefit of any Holder from time to time of this Warrant and shall be enforceable by the Holder or holder of Warrant Shares.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u w:val="single" w:color="auto"/>
          <w:color w:val="auto"/>
        </w:rPr>
        <w:t>Amendment</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Warrant may be modified or amended or the provisions hereof waived with the written consent of the Corporation and the Holder. Notwithstanding the foregoing and for the avoidance of doubt, the limitation contained in Section 2.4(d) may not be amended, modified or waived and shall apply to a successor holder of a Warrant.</w:t>
      </w:r>
    </w:p>
    <w:p>
      <w:pPr>
        <w:spacing w:after="0" w:line="14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5.13</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u w:val="single" w:color="auto"/>
          <w:color w:val="auto"/>
        </w:rPr>
        <w:t>Headings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headings used in this Warrant are for the convenience of reference only and shall not, for any purpose, be deemed a part of this Warrant.</w:t>
      </w:r>
    </w:p>
    <w:p>
      <w:pPr>
        <w:spacing w:after="0" w:line="11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5.15</w:t>
      </w:r>
      <w:r>
        <w:rPr>
          <w:sz w:val="20"/>
          <w:szCs w:val="20"/>
          <w:color w:val="auto"/>
        </w:rPr>
        <w:tab/>
      </w:r>
      <w:r>
        <w:rPr>
          <w:rFonts w:ascii="Times New Roman" w:cs="Times New Roman" w:eastAsia="Times New Roman" w:hAnsi="Times New Roman"/>
          <w:sz w:val="21"/>
          <w:szCs w:val="21"/>
          <w:b w:val="1"/>
          <w:bCs w:val="1"/>
          <w:u w:val="single" w:color="auto"/>
          <w:color w:val="auto"/>
        </w:rPr>
        <w:t>Currency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references to currency herein shall be deemed to refer to United States dollars, unless otherwise specified.</w:t>
      </w:r>
    </w:p>
    <w:p>
      <w:pPr>
        <w:spacing w:after="0" w:line="17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5.16</w:t>
      </w:r>
      <w:r>
        <w:rPr>
          <w:sz w:val="20"/>
          <w:szCs w:val="20"/>
          <w:color w:val="auto"/>
        </w:rPr>
        <w:tab/>
      </w:r>
      <w:r>
        <w:rPr>
          <w:rFonts w:ascii="Times New Roman" w:cs="Times New Roman" w:eastAsia="Times New Roman" w:hAnsi="Times New Roman"/>
          <w:sz w:val="21"/>
          <w:szCs w:val="21"/>
          <w:b w:val="1"/>
          <w:bCs w:val="1"/>
          <w:u w:val="single" w:color="auto"/>
          <w:color w:val="auto"/>
        </w:rPr>
        <w:t>No Impairment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will not, by amendment of its Articles of Incorporation or any other voluntary action, avoid or seek to avoid the observance or performance of any of the terms of this Warrant certificate, but will at all times in good faith assist in the carrying out of all such terms and in the taking of all such action as may be necessary or appropriate in order to protect the rights of the Holder against impairment.</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5.17</w:t>
      </w:r>
      <w:r>
        <w:rPr>
          <w:sz w:val="20"/>
          <w:szCs w:val="20"/>
          <w:color w:val="auto"/>
        </w:rPr>
        <w:tab/>
      </w:r>
      <w:r>
        <w:rPr>
          <w:rFonts w:ascii="Times New Roman" w:cs="Times New Roman" w:eastAsia="Times New Roman" w:hAnsi="Times New Roman"/>
          <w:sz w:val="21"/>
          <w:szCs w:val="21"/>
          <w:b w:val="1"/>
          <w:bCs w:val="1"/>
          <w:u w:val="single" w:color="auto"/>
          <w:color w:val="auto"/>
        </w:rPr>
        <w:t>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shall be the essence 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this Warrant to be executed by its officer thereunto duly authorized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first above indicated.</w:t>
      </w:r>
    </w:p>
    <w:p>
      <w:pPr>
        <w:spacing w:after="0" w:line="11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1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CYBIN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hereby elects to purchase ________ Warrant Shares of the Corporation pursuant to the terms of the attached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 and tenders herewith payment of the Exercise Price in full, together with all applicable transfer taxes, if 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hereby irrevocably directs that the said Warrant Shares be issued, registered and delivered as follows (one (only)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following must be checked):</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by certificates (please confirm DRS statements or physical certificates); or</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303"/>
        </w:trPr>
        <w:tc>
          <w:tcPr>
            <w:tcW w:w="4020" w:type="dxa"/>
            <w:vAlign w:val="bottom"/>
            <w:gridSpan w:val="2"/>
          </w:tcPr>
          <w:p>
            <w:pPr>
              <w:ind w:left="1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CDS Settlement</w:t>
            </w:r>
          </w:p>
        </w:tc>
        <w:tc>
          <w:tcPr>
            <w:tcW w:w="4020" w:type="dxa"/>
            <w:vAlign w:val="bottom"/>
            <w:gridSpan w:val="2"/>
          </w:tcPr>
          <w:p>
            <w:pPr>
              <w:ind w:left="1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DWAC Settlement</w:t>
            </w:r>
          </w:p>
        </w:tc>
        <w:tc>
          <w:tcPr>
            <w:tcW w:w="2620" w:type="dxa"/>
            <w:vAlign w:val="bottom"/>
          </w:tcPr>
          <w:p>
            <w:pPr>
              <w:spacing w:after="0"/>
              <w:rPr>
                <w:sz w:val="24"/>
                <w:szCs w:val="24"/>
                <w:color w:val="auto"/>
              </w:rPr>
            </w:pPr>
          </w:p>
        </w:tc>
      </w:tr>
      <w:tr>
        <w:trPr>
          <w:trHeight w:val="409"/>
        </w:trPr>
        <w:tc>
          <w:tcPr>
            <w:tcW w:w="40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Name(s) in Full and</w:t>
            </w:r>
          </w:p>
        </w:tc>
        <w:tc>
          <w:tcPr>
            <w:tcW w:w="40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Address(es)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Common</w:t>
            </w:r>
          </w:p>
        </w:tc>
      </w:tr>
      <w:tr>
        <w:trPr>
          <w:trHeight w:val="216"/>
        </w:trPr>
        <w:tc>
          <w:tcPr>
            <w:tcW w:w="40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Social Insurance</w:t>
            </w:r>
          </w:p>
        </w:tc>
        <w:tc>
          <w:tcPr>
            <w:tcW w:w="3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38"/>
        </w:trPr>
        <w:tc>
          <w:tcPr>
            <w:tcW w:w="4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Number(s) (if applicable)</w:t>
            </w:r>
          </w:p>
        </w:tc>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16"/>
        </w:trPr>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bl>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by electronic deposit (please confirm CDS or DWAC settelement); or</w:t>
      </w:r>
    </w:p>
    <w:p>
      <w:pPr>
        <w:spacing w:after="0" w:line="134" w:lineRule="exact"/>
        <w:rPr>
          <w:sz w:val="20"/>
          <w:szCs w:val="20"/>
          <w:color w:val="auto"/>
        </w:rPr>
      </w:pPr>
    </w:p>
    <w:p>
      <w:pPr>
        <w:ind w:left="1420"/>
        <w:spacing w:after="0" w:line="207" w:lineRule="exact"/>
        <w:tabs>
          <w:tab w:leader="none" w:pos="58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CDS Settlement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DWAC Settlement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CDS Settlement</w:t>
      </w:r>
    </w:p>
    <w:p>
      <w:pPr>
        <w:sectPr>
          <w:pgSz w:w="11900" w:h="16838" w:orient="portrait"/>
          <w:cols w:equalWidth="0" w:num="1">
            <w:col w:w="11240"/>
          </w:cols>
          <w:pgMar w:left="320" w:top="108" w:right="339" w:bottom="1440" w:gutter="0" w:footer="0" w:header="0"/>
        </w:sectPr>
      </w:pP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of Registered Holder</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CDS &amp; Co.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300-100 Adelaide Street West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Toronto, ON M5H 1S3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Delivery 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CUID: 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ID: 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Contact: 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__________________</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Number of Common</w:t>
      </w:r>
    </w:p>
    <w:p>
      <w:pPr>
        <w:spacing w:after="0" w:line="4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064" w:lineRule="exact"/>
        <w:rPr>
          <w:sz w:val="20"/>
          <w:szCs w:val="20"/>
          <w:color w:val="auto"/>
        </w:rPr>
      </w:pPr>
    </w:p>
    <w:p>
      <w:pPr>
        <w:sectPr>
          <w:pgSz w:w="11900" w:h="16838" w:orient="portrait"/>
          <w:cols w:equalWidth="0" w:num="3">
            <w:col w:w="3360" w:space="720"/>
            <w:col w:w="3420" w:space="720"/>
            <w:col w:w="3020"/>
          </w:cols>
          <w:pgMar w:left="320" w:top="108" w:right="33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2"/>
          <w:szCs w:val="22"/>
          <w:u w:val="single" w:color="auto"/>
          <w:color w:val="auto"/>
        </w:rPr>
        <w:t>DWAC Settlement</w:t>
      </w:r>
    </w:p>
    <w:p>
      <w:pPr>
        <w:spacing w:after="0" w:line="17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9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40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Delivery Address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c>
          <w:tcPr>
            <w:tcW w:w="0" w:type="dxa"/>
            <w:vAlign w:val="bottom"/>
          </w:tcPr>
          <w:p>
            <w:pPr>
              <w:spacing w:after="0"/>
              <w:rPr>
                <w:sz w:val="1"/>
                <w:szCs w:val="1"/>
                <w:color w:val="auto"/>
              </w:rPr>
            </w:pPr>
          </w:p>
        </w:tc>
      </w:tr>
      <w:tr>
        <w:trPr>
          <w:trHeight w:val="238"/>
        </w:trPr>
        <w:tc>
          <w:tcPr>
            <w:tcW w:w="29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of Registered Holder</w:t>
            </w:r>
          </w:p>
        </w:tc>
        <w:tc>
          <w:tcPr>
            <w:tcW w:w="402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Participant:___________________</w:t>
            </w:r>
          </w:p>
        </w:tc>
        <w:tc>
          <w:tcPr>
            <w:tcW w:w="32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__________________</w:t>
            </w:r>
          </w:p>
        </w:tc>
        <w:tc>
          <w:tcPr>
            <w:tcW w:w="0" w:type="dxa"/>
            <w:vAlign w:val="bottom"/>
          </w:tcPr>
          <w:p>
            <w:pPr>
              <w:spacing w:after="0"/>
              <w:rPr>
                <w:sz w:val="1"/>
                <w:szCs w:val="1"/>
                <w:color w:val="auto"/>
              </w:rPr>
            </w:pPr>
          </w:p>
        </w:tc>
      </w:tr>
      <w:tr>
        <w:trPr>
          <w:trHeight w:val="198"/>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Cede &amp; Co.</w:t>
            </w:r>
          </w:p>
        </w:tc>
        <w:tc>
          <w:tcPr>
            <w:tcW w:w="4020" w:type="dxa"/>
            <w:vAlign w:val="bottom"/>
            <w:vMerge w:val="continue"/>
          </w:tcPr>
          <w:p>
            <w:pPr>
              <w:spacing w:after="0"/>
              <w:rPr>
                <w:sz w:val="17"/>
                <w:szCs w:val="17"/>
                <w:color w:val="auto"/>
              </w:rPr>
            </w:pPr>
          </w:p>
        </w:tc>
        <w:tc>
          <w:tcPr>
            <w:tcW w:w="3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402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DTC Participant #:_____________</w:t>
            </w: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 Water St.</w:t>
            </w:r>
          </w:p>
        </w:tc>
        <w:tc>
          <w:tcPr>
            <w:tcW w:w="402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402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Account: __________________</w:t>
            </w: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 York, NY</w:t>
            </w:r>
          </w:p>
        </w:tc>
        <w:tc>
          <w:tcPr>
            <w:tcW w:w="402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402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Participant Contact: ___________</w:t>
            </w: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10041</w:t>
            </w:r>
          </w:p>
        </w:tc>
        <w:tc>
          <w:tcPr>
            <w:tcW w:w="402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920" w:type="dxa"/>
            <w:vAlign w:val="bottom"/>
            <w:vMerge w:val="continue"/>
          </w:tcPr>
          <w:p>
            <w:pPr>
              <w:spacing w:after="0"/>
              <w:rPr>
                <w:sz w:val="10"/>
                <w:szCs w:val="10"/>
                <w:color w:val="auto"/>
              </w:rPr>
            </w:pPr>
          </w:p>
        </w:tc>
        <w:tc>
          <w:tcPr>
            <w:tcW w:w="402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Telephone: __________________</w:t>
            </w:r>
          </w:p>
        </w:tc>
        <w:tc>
          <w:tcPr>
            <w:tcW w:w="3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402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 __________________________________________________________________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 ____________________________________________</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 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___________________________________________________________________________________</w:t>
      </w:r>
    </w:p>
    <w:p>
      <w:pPr>
        <w:spacing w:after="0" w:line="17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660"/>
          </w:cols>
          <w:pgMar w:left="320" w:top="111" w:right="919" w:bottom="1440" w:gutter="0" w:footer="0" w:header="0"/>
        </w:sectPr>
      </w:pPr>
    </w:p>
    <w:bookmarkStart w:id="93" w:name="page94"/>
    <w:bookmarkEnd w:id="93"/>
    <w:p>
      <w:pPr>
        <w:jc w:val="center"/>
        <w:ind w:right="-29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142" w:lineRule="exact"/>
        <w:rPr>
          <w:sz w:val="20"/>
          <w:szCs w:val="20"/>
          <w:color w:val="auto"/>
        </w:rPr>
      </w:pPr>
    </w:p>
    <w:p>
      <w:pPr>
        <w:spacing w:after="0" w:line="437" w:lineRule="auto"/>
        <w:rPr>
          <w:sz w:val="20"/>
          <w:szCs w:val="20"/>
          <w:color w:val="auto"/>
        </w:rPr>
      </w:pPr>
      <w:r>
        <w:rPr>
          <w:rFonts w:ascii="Times New Roman" w:cs="Times New Roman" w:eastAsia="Times New Roman" w:hAnsi="Times New Roman"/>
          <w:sz w:val="22"/>
          <w:szCs w:val="22"/>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22"/>
          <w:szCs w:val="22"/>
          <w:b w:val="1"/>
          <w:bCs w:val="1"/>
          <w:color w:val="auto"/>
        </w:rPr>
        <w:t>FOR VALUE RECEIVED</w:t>
      </w:r>
      <w:r>
        <w:rPr>
          <w:rFonts w:ascii="Times New Roman" w:cs="Times New Roman" w:eastAsia="Times New Roman" w:hAnsi="Times New Roman"/>
          <w:sz w:val="22"/>
          <w:szCs w:val="22"/>
          <w:color w:val="auto"/>
        </w:rPr>
        <w:t>, the foregoing Warrant and all rights evidenced thereby are hereby assigned to</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623"/>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60" w:type="dxa"/>
            <w:vAlign w:val="bottom"/>
            <w:vMerge w:val="continue"/>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84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Dated:____________ _____, ______</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Holder's Address:</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5060" w:type="dxa"/>
            <w:vAlign w:val="bottom"/>
            <w:vMerge w:val="continue"/>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06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60"/>
          </w:cols>
          <w:pgMar w:left="320" w:top="108" w:right="61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C</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Subsidiaries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Adelia Therapeutics Inc.</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Adelia is authorized to issue 15,000,000 shares, consisting of 10,000,000 common shares and 5,000,000 preferred shares. As of the date hereof, 5,880,148 common shares are issued and outstanding as fully paid and non-assessable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Corp.</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Cybin Corp. is authorized to issue (a) an unlimited number of common shares; and (b) an unlimited number of preference shares, issuable in series. As of the date hereof, 138,521,414 common shares are issued and outstanding as fully paid and non-assessable shares and no preference shares are issued and outstanding.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US Holdings Inc.</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Cybin US Holdings Inc. is authorized to issue 6,000,000 shares, all of which shares are designated as common stock, of which (i) 3,000,000 shares shall be shares of Class A common shares and (ii) 3,000,000 shares shall be shares of Class B common shares. As of the date hereof, 1,629,352.82 Class A common shares are issued and outstanding as fully paid and non-assessable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IRL Limited</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share capital of Cybin IRL Limited consists of Ordinary Shares of US$1.00 each. As of the date hereof, 271,680 Ordinary Shares of US$1.00 each are issued and outstanding as fully paid and non-assessable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UK Ltd</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share capital of Cybin UK Ltd consists of an unlimited number of ordinary shares. As of the date hereof, 255,079,477 ordinary shares are issued and outstanding as fully paid and non-assessable ordinary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Orient Limited</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share capital of Cybin Orient Limited consists of an unlimited number of shares. As of the date hereof, 100 shares are issued and outstanding as fully paid and non-assessable shares.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D</w:t>
      </w:r>
    </w:p>
    <w:p>
      <w:pPr>
        <w:spacing w:after="0" w:line="170"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22"/>
          <w:szCs w:val="22"/>
          <w:u w:val="single" w:color="auto"/>
          <w:color w:val="auto"/>
        </w:rPr>
        <w:t>Material Subsidiaries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Adelia Therapeutics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US Holdings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IRL Limited</w:t>
      </w:r>
    </w:p>
    <w:p>
      <w:pPr>
        <w:spacing w:after="0" w:line="1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Contact Information for Canadian Securities Commissions</w:t>
      </w:r>
    </w:p>
    <w:p>
      <w:pPr>
        <w:sectPr>
          <w:pgSz w:w="11900" w:h="16838" w:orient="portrait"/>
          <w:cols w:equalWidth="0" w:num="1">
            <w:col w:w="11200"/>
          </w:cols>
          <w:pgMar w:left="320" w:top="108" w:right="37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Alberta Securities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600, 250 - 5th Street SW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Calgary, Alberta T2P 0R4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(403) 297-6454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in Canada: 1-877-355-0585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(403) 297-2082</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Public official contact regarding indirect collection of information: FOIP Coordinator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Nunavut Securities Office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Justice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of Nunavut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1st Floor, Brown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1000 - Station 570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Iqaluit, NU X0A 0H0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(867) 975-6590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(867) 975-6594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Superintendent of Securities</w:t>
      </w:r>
    </w:p>
    <w:p>
      <w:pPr>
        <w:spacing w:after="0" w:line="200" w:lineRule="exact"/>
        <w:rPr>
          <w:sz w:val="20"/>
          <w:szCs w:val="20"/>
          <w:color w:val="auto"/>
        </w:rPr>
      </w:pPr>
    </w:p>
    <w:p>
      <w:pPr>
        <w:sectPr>
          <w:pgSz w:w="11900" w:h="16838" w:orient="portrait"/>
          <w:cols w:equalWidth="0" w:num="2">
            <w:col w:w="5260" w:space="360"/>
            <w:col w:w="5580"/>
          </w:cols>
          <w:pgMar w:left="320" w:top="108" w:right="379" w:bottom="1440" w:gutter="0" w:footer="0" w:header="0"/>
          <w:type w:val="continuous"/>
        </w:sectPr>
      </w:pPr>
    </w:p>
    <w:p>
      <w:pPr>
        <w:spacing w:after="0" w:line="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British Columbia Securities Commission</w:t>
      </w:r>
      <w:r>
        <w:rPr>
          <w:sz w:val="20"/>
          <w:szCs w:val="20"/>
          <w:color w:val="auto"/>
        </w:rPr>
        <w:tab/>
      </w:r>
      <w:r>
        <w:rPr>
          <w:rFonts w:ascii="Times New Roman" w:cs="Times New Roman" w:eastAsia="Times New Roman" w:hAnsi="Times New Roman"/>
          <w:sz w:val="17"/>
          <w:szCs w:val="17"/>
          <w:b w:val="1"/>
          <w:bCs w:val="1"/>
          <w:color w:val="auto"/>
        </w:rPr>
        <w:t>Ontario Securities Commission</w:t>
      </w:r>
    </w:p>
    <w:p>
      <w:pPr>
        <w:spacing w:after="0" w:line="3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P.O. Box 10142,</w:t>
      </w:r>
      <w:r>
        <w:rPr>
          <w:sz w:val="20"/>
          <w:szCs w:val="20"/>
          <w:color w:val="auto"/>
        </w:rPr>
        <w:tab/>
      </w:r>
      <w:r>
        <w:rPr>
          <w:rFonts w:ascii="Times New Roman" w:cs="Times New Roman" w:eastAsia="Times New Roman" w:hAnsi="Times New Roman"/>
          <w:sz w:val="17"/>
          <w:szCs w:val="17"/>
          <w:color w:val="auto"/>
        </w:rPr>
        <w:t>20 Queen Street West, 22nd Floor</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Pacific Centre</w:t>
      </w:r>
      <w:r>
        <w:rPr>
          <w:sz w:val="20"/>
          <w:szCs w:val="20"/>
          <w:color w:val="auto"/>
        </w:rPr>
        <w:tab/>
      </w:r>
      <w:r>
        <w:rPr>
          <w:rFonts w:ascii="Times New Roman" w:cs="Times New Roman" w:eastAsia="Times New Roman" w:hAnsi="Times New Roman"/>
          <w:sz w:val="17"/>
          <w:szCs w:val="17"/>
          <w:color w:val="auto"/>
        </w:rPr>
        <w:t>Toronto, Ontario M5H 3S8</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701 West Georgia Street</w:t>
      </w:r>
      <w:r>
        <w:rPr>
          <w:sz w:val="20"/>
          <w:szCs w:val="20"/>
          <w:color w:val="auto"/>
        </w:rPr>
        <w:tab/>
      </w:r>
      <w:r>
        <w:rPr>
          <w:rFonts w:ascii="Times New Roman" w:cs="Times New Roman" w:eastAsia="Times New Roman" w:hAnsi="Times New Roman"/>
          <w:sz w:val="17"/>
          <w:szCs w:val="17"/>
          <w:color w:val="auto"/>
        </w:rPr>
        <w:t>Telephone: (416) 593-8314</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Vancouver, British Columbia V7Y 1L2</w:t>
      </w:r>
      <w:r>
        <w:rPr>
          <w:sz w:val="20"/>
          <w:szCs w:val="20"/>
          <w:color w:val="auto"/>
        </w:rPr>
        <w:tab/>
      </w:r>
      <w:r>
        <w:rPr>
          <w:rFonts w:ascii="Times New Roman" w:cs="Times New Roman" w:eastAsia="Times New Roman" w:hAnsi="Times New Roman"/>
          <w:sz w:val="17"/>
          <w:szCs w:val="17"/>
          <w:color w:val="auto"/>
        </w:rPr>
        <w:t>Toll free in Canada: 1-877-785-1555</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Inquiries: (604) 899-6854</w:t>
      </w:r>
      <w:r>
        <w:rPr>
          <w:sz w:val="20"/>
          <w:szCs w:val="20"/>
          <w:color w:val="auto"/>
        </w:rPr>
        <w:tab/>
      </w:r>
      <w:r>
        <w:rPr>
          <w:rFonts w:ascii="Times New Roman" w:cs="Times New Roman" w:eastAsia="Times New Roman" w:hAnsi="Times New Roman"/>
          <w:sz w:val="17"/>
          <w:szCs w:val="17"/>
          <w:color w:val="auto"/>
        </w:rPr>
        <w:t>Facsimile: (416) 593-8122</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Toll free in Canada: 1-800-373-6393</w:t>
      </w:r>
      <w:r>
        <w:rPr>
          <w:sz w:val="20"/>
          <w:szCs w:val="20"/>
          <w:color w:val="auto"/>
        </w:rPr>
        <w:tab/>
      </w:r>
      <w:r>
        <w:rPr>
          <w:rFonts w:ascii="Times New Roman" w:cs="Times New Roman" w:eastAsia="Times New Roman" w:hAnsi="Times New Roman"/>
          <w:sz w:val="17"/>
          <w:szCs w:val="17"/>
          <w:color w:val="auto"/>
        </w:rPr>
        <w:t>Email: exemptmarketfilings@osc.gov.on.ca</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Facsimile: (604) 899-6581</w:t>
      </w:r>
      <w:r>
        <w:rPr>
          <w:sz w:val="20"/>
          <w:szCs w:val="20"/>
          <w:color w:val="auto"/>
        </w:rPr>
        <w:tab/>
      </w:r>
      <w:r>
        <w:rPr>
          <w:rFonts w:ascii="Times New Roman" w:cs="Times New Roman" w:eastAsia="Times New Roman" w:hAnsi="Times New Roman"/>
          <w:sz w:val="18"/>
          <w:szCs w:val="18"/>
          <w:color w:val="auto"/>
        </w:rPr>
        <w:t>Public official contact regarding indirect collection of information: Inquiries</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Email: FOI-privacy@bcsc.bc.ca</w:t>
      </w:r>
      <w:r>
        <w:rPr>
          <w:sz w:val="20"/>
          <w:szCs w:val="20"/>
          <w:color w:val="auto"/>
        </w:rPr>
        <w:tab/>
      </w: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 FOI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Inquiries</w:t>
      </w:r>
    </w:p>
    <w:p>
      <w:pPr>
        <w:sectPr>
          <w:pgSz w:w="11900" w:h="16838" w:orient="portrait"/>
          <w:cols w:equalWidth="0" w:num="1">
            <w:col w:w="11200"/>
          </w:cols>
          <w:pgMar w:left="320" w:top="108" w:right="379" w:bottom="1440" w:gutter="0" w:footer="0" w:header="0"/>
          <w:type w:val="continuous"/>
        </w:sectPr>
      </w:pPr>
    </w:p>
    <w:p>
      <w:pPr>
        <w:spacing w:after="0" w:line="203" w:lineRule="exact"/>
        <w:rPr>
          <w:sz w:val="20"/>
          <w:szCs w:val="20"/>
          <w:color w:val="auto"/>
        </w:rPr>
      </w:pPr>
    </w:p>
    <w:p>
      <w:pPr>
        <w:ind w:right="25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Manitoba Securities Commission </w:t>
      </w:r>
      <w:r>
        <w:rPr>
          <w:rFonts w:ascii="Times New Roman" w:cs="Times New Roman" w:eastAsia="Times New Roman" w:hAnsi="Times New Roman"/>
          <w:sz w:val="18"/>
          <w:szCs w:val="18"/>
          <w:color w:val="auto"/>
        </w:rPr>
        <w:t>500 - 400 St. Mary Avenue Winnipeg, Manitoba R3C 4K5 Telephone: (204) 945-2548</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in Manitoba: 1-800-655-5244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(204) 945- 0330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 Director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Consumer Services Commission (New Brunswick)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Charlotte Street,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John, New Brunswick E2L 2J2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(506) -658-3060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in Canada: 1-866-933-2222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(506) 658-3059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info@fcnb.ca</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Public official contact regarding indirect collection of information: Chief Executive Officer and Privacy Officer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Prince Edward Island Securities Office</w:t>
      </w:r>
    </w:p>
    <w:p>
      <w:pPr>
        <w:spacing w:after="0" w:line="31" w:lineRule="exact"/>
        <w:rPr>
          <w:sz w:val="20"/>
          <w:szCs w:val="20"/>
          <w:color w:val="auto"/>
        </w:rPr>
      </w:pPr>
    </w:p>
    <w:p>
      <w:pPr>
        <w:ind w:right="2340"/>
        <w:spacing w:after="0" w:line="250" w:lineRule="auto"/>
        <w:rPr>
          <w:sz w:val="20"/>
          <w:szCs w:val="20"/>
          <w:color w:val="auto"/>
        </w:rPr>
      </w:pPr>
      <w:r>
        <w:rPr>
          <w:rFonts w:ascii="Times New Roman" w:cs="Times New Roman" w:eastAsia="Times New Roman" w:hAnsi="Times New Roman"/>
          <w:sz w:val="18"/>
          <w:szCs w:val="18"/>
          <w:color w:val="auto"/>
        </w:rPr>
        <w:t>95 Rochford Street, 4th Floor Shaw Building P.O. Box 2000</w:t>
      </w:r>
    </w:p>
    <w:p>
      <w:pPr>
        <w:spacing w:after="0" w:line="1" w:lineRule="exact"/>
        <w:rPr>
          <w:sz w:val="20"/>
          <w:szCs w:val="20"/>
          <w:color w:val="auto"/>
        </w:rPr>
      </w:pPr>
    </w:p>
    <w:p>
      <w:pPr>
        <w:ind w:right="2160"/>
        <w:spacing w:after="0" w:line="250" w:lineRule="auto"/>
        <w:rPr>
          <w:sz w:val="20"/>
          <w:szCs w:val="20"/>
          <w:color w:val="auto"/>
        </w:rPr>
      </w:pPr>
      <w:r>
        <w:rPr>
          <w:rFonts w:ascii="Times New Roman" w:cs="Times New Roman" w:eastAsia="Times New Roman" w:hAnsi="Times New Roman"/>
          <w:sz w:val="18"/>
          <w:szCs w:val="18"/>
          <w:color w:val="auto"/>
        </w:rPr>
        <w:t>Charlottetown, Prince Edward Island C1A 7N8 Telephone: (902) 368-4569 Facsimile: (902) 368-5283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Superintendent of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Autorité des marchés financiers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Square Victoria, 22e étage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 246, Tour de la Bourse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Montréal, Québec H4Z 1G3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(514) 395-0337 or 1-877-525-0337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(514) 873-6155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filing purposes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(514) 864-6381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privacy requests only)</w:t>
      </w:r>
    </w:p>
    <w:p>
      <w:pPr>
        <w:spacing w:after="0" w:line="9"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Email: financementdessocietes@lautorite.qc.ca (For corporate finance issuers); fonds_dinvestissement@lautorite.qc.ca (For investment fund issuers)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Public official contact regarding indirect collection of information: Secrétaire générale</w:t>
      </w:r>
    </w:p>
    <w:p>
      <w:pPr>
        <w:spacing w:after="0" w:line="200" w:lineRule="exact"/>
        <w:rPr>
          <w:sz w:val="20"/>
          <w:szCs w:val="20"/>
          <w:color w:val="auto"/>
        </w:rPr>
      </w:pPr>
    </w:p>
    <w:p>
      <w:pPr>
        <w:sectPr>
          <w:pgSz w:w="11900" w:h="16838" w:orient="portrait"/>
          <w:cols w:equalWidth="0" w:num="2">
            <w:col w:w="5460" w:space="160"/>
            <w:col w:w="5580"/>
          </w:cols>
          <w:pgMar w:left="320" w:top="108" w:right="379" w:bottom="1440" w:gutter="0" w:footer="0" w:header="0"/>
          <w:type w:val="continuous"/>
        </w:sectPr>
      </w:pP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Government of Newfoundland and Labrador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and Consumer Affairs Authority of Saskatchewan</w:t>
      </w:r>
    </w:p>
    <w:p>
      <w:pPr>
        <w:spacing w:after="0" w:line="42" w:lineRule="exact"/>
        <w:rPr>
          <w:sz w:val="20"/>
          <w:szCs w:val="20"/>
          <w:color w:val="auto"/>
        </w:rPr>
      </w:pPr>
    </w:p>
    <w:p>
      <w:pPr>
        <w:sectPr>
          <w:pgSz w:w="11900" w:h="16838" w:orient="portrait"/>
          <w:cols w:equalWidth="0" w:num="2">
            <w:col w:w="4900" w:space="720"/>
            <w:col w:w="5460"/>
          </w:cols>
          <w:pgMar w:left="320" w:top="117" w:right="4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Financial Services Regulation Division</w:t>
      </w:r>
    </w:p>
    <w:p>
      <w:pPr>
        <w:sectPr>
          <w:pgSz w:w="11900" w:h="16838" w:orient="portrait"/>
          <w:cols w:equalWidth="0" w:num="1">
            <w:col w:w="11080"/>
          </w:cols>
          <w:pgMar w:left="320" w:top="117" w:right="4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8700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Confederation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2nd Floor, West Block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 Philip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John's, Newfoundland and Labrador A1B 4J6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Suite 601 - 1919 Saskatchewan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Regina, Saskatchewan S4P 4H2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(306) 787-5879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(306) 787-5899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 Director</w:t>
      </w:r>
    </w:p>
    <w:p>
      <w:pPr>
        <w:spacing w:after="0" w:line="9" w:lineRule="exact"/>
        <w:rPr>
          <w:sz w:val="20"/>
          <w:szCs w:val="20"/>
          <w:color w:val="auto"/>
        </w:rPr>
      </w:pPr>
    </w:p>
    <w:p>
      <w:pPr>
        <w:sectPr>
          <w:pgSz w:w="11900" w:h="16838" w:orient="portrait"/>
          <w:cols w:equalWidth="0" w:num="2">
            <w:col w:w="4900" w:space="720"/>
            <w:col w:w="5460"/>
          </w:cols>
          <w:pgMar w:left="320" w:top="11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Attention: Director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(709) 729-4189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(709) 729-6187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Superintendent of Securities</w:t>
      </w:r>
    </w:p>
    <w:p>
      <w:pPr>
        <w:sectPr>
          <w:pgSz w:w="11900" w:h="16838" w:orient="portrait"/>
          <w:cols w:equalWidth="0" w:num="1">
            <w:col w:w="11080"/>
          </w:cols>
          <w:pgMar w:left="320" w:top="117" w:right="49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Northwest Territories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Superintendent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Justice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of Northwest Territories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1st Floor Stuart M. Hodgson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5009 - 49th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Yellowknife, NT X1A 2L9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(867) 767-9305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(867) 873-0243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Superintendent of Securities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of the Yukon Superintendent of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Community Services, Yukon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307 Black Street, 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Whitehorse, Yukon Y1A 2N1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(867) 667-5466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(867) 393-6251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Superintendent of Securities</w:t>
      </w:r>
    </w:p>
    <w:p>
      <w:pPr>
        <w:spacing w:after="0" w:line="1064" w:lineRule="exact"/>
        <w:rPr>
          <w:sz w:val="20"/>
          <w:szCs w:val="20"/>
          <w:color w:val="auto"/>
        </w:rPr>
      </w:pPr>
    </w:p>
    <w:p>
      <w:pPr>
        <w:sectPr>
          <w:pgSz w:w="11900" w:h="16838" w:orient="portrait"/>
          <w:cols w:equalWidth="0" w:num="2">
            <w:col w:w="4900" w:space="720"/>
            <w:col w:w="5460"/>
          </w:cols>
          <w:pgMar w:left="320" w:top="117" w:right="4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 Scotia Securities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400, 5251 Duke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Duke Tower, P.O. Box 458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Halifax, Nova Scotia B3J 2P8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(902) 424-7768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(902) 424-4625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contact regarding indirect collection of information: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1">
            <w:col w:w="11080"/>
          </w:cols>
          <w:pgMar w:left="320" w:top="117"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t>Placement Agency Agreement</w:t>
      </w:r>
    </w:p>
    <w:p>
      <w:pPr>
        <w:spacing w:after="0" w:line="183"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1"/>
          <w:szCs w:val="21"/>
          <w:color w:val="auto"/>
        </w:rPr>
        <w:t>October 27,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w:t>
      </w:r>
    </w:p>
    <w:p>
      <w:pPr>
        <w:spacing w:after="0" w:line="230" w:lineRule="auto"/>
        <w:rPr>
          <w:sz w:val="20"/>
          <w:szCs w:val="20"/>
          <w:color w:val="auto"/>
        </w:rPr>
      </w:pPr>
      <w:r>
        <w:rPr>
          <w:rFonts w:ascii="Times New Roman" w:cs="Times New Roman" w:eastAsia="Times New Roman" w:hAnsi="Times New Roman"/>
          <w:sz w:val="22"/>
          <w:szCs w:val="22"/>
          <w:color w:val="auto"/>
        </w:rPr>
        <w:t>Suite 5600</w:t>
      </w:r>
    </w:p>
    <w:p>
      <w:pPr>
        <w:spacing w:after="0" w:line="231" w:lineRule="auto"/>
        <w:rPr>
          <w:sz w:val="20"/>
          <w:szCs w:val="20"/>
          <w:color w:val="auto"/>
        </w:rPr>
      </w:pPr>
      <w:r>
        <w:rPr>
          <w:rFonts w:ascii="Times New Roman" w:cs="Times New Roman" w:eastAsia="Times New Roman" w:hAnsi="Times New Roman"/>
          <w:sz w:val="22"/>
          <w:szCs w:val="22"/>
          <w:color w:val="auto"/>
        </w:rPr>
        <w:t>Toronto, Ontario</w:t>
      </w:r>
    </w:p>
    <w:p>
      <w:pPr>
        <w:spacing w:after="0"/>
        <w:rPr>
          <w:sz w:val="20"/>
          <w:szCs w:val="20"/>
          <w:color w:val="auto"/>
        </w:rPr>
      </w:pPr>
      <w:r>
        <w:rPr>
          <w:rFonts w:ascii="Times New Roman" w:cs="Times New Roman" w:eastAsia="Times New Roman" w:hAnsi="Times New Roman"/>
          <w:sz w:val="22"/>
          <w:szCs w:val="22"/>
          <w:color w:val="auto"/>
        </w:rPr>
        <w:t>Canada M5X 1C9</w:t>
      </w:r>
    </w:p>
    <w:p>
      <w:pPr>
        <w:sectPr>
          <w:pgSz w:w="11900" w:h="16838" w:orient="portrait"/>
          <w:cols w:equalWidth="0" w:num="1">
            <w:col w:w="11240"/>
          </w:cols>
          <w:pgMar w:left="320" w:top="324" w:right="33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Eric So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 Chair, Interim Chief Executive Officer and President</w:t>
      </w:r>
    </w:p>
    <w:p>
      <w:pPr>
        <w:spacing w:after="0" w:line="167" w:lineRule="exact"/>
        <w:rPr>
          <w:sz w:val="20"/>
          <w:szCs w:val="20"/>
          <w:color w:val="auto"/>
        </w:rPr>
      </w:pPr>
    </w:p>
    <w:p>
      <w:pPr>
        <w:sectPr>
          <w:pgSz w:w="11900" w:h="16838" w:orient="portrait"/>
          <w:cols w:equalWidth="0" w:num="2">
            <w:col w:w="880" w:space="360"/>
            <w:col w:w="10000"/>
          </w:cols>
          <w:pgMar w:left="320" w:top="3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Financing Transaction</w:t>
      </w:r>
    </w:p>
    <w:p>
      <w:pPr>
        <w:spacing w:after="0" w:line="16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will confirm the arrangements under which Jefferies LLC ("</w:t>
      </w:r>
      <w:r>
        <w:rPr>
          <w:rFonts w:ascii="Times New Roman" w:cs="Times New Roman" w:eastAsia="Times New Roman" w:hAnsi="Times New Roman"/>
          <w:sz w:val="22"/>
          <w:szCs w:val="22"/>
          <w:u w:val="single" w:color="auto"/>
          <w:color w:val="auto"/>
        </w:rPr>
        <w:t>Jefferies</w:t>
      </w:r>
      <w:r>
        <w:rPr>
          <w:rFonts w:ascii="Times New Roman" w:cs="Times New Roman" w:eastAsia="Times New Roman" w:hAnsi="Times New Roman"/>
          <w:sz w:val="22"/>
          <w:szCs w:val="22"/>
          <w:color w:val="auto"/>
        </w:rPr>
        <w:t>"), TD Securities (USA) LLC ("</w:t>
      </w:r>
      <w:r>
        <w:rPr>
          <w:rFonts w:ascii="Times New Roman" w:cs="Times New Roman" w:eastAsia="Times New Roman" w:hAnsi="Times New Roman"/>
          <w:sz w:val="22"/>
          <w:szCs w:val="22"/>
          <w:u w:val="single" w:color="auto"/>
          <w:color w:val="auto"/>
        </w:rPr>
        <w:t>TD Cowen</w:t>
      </w:r>
      <w:r>
        <w:rPr>
          <w:rFonts w:ascii="Times New Roman" w:cs="Times New Roman" w:eastAsia="Times New Roman" w:hAnsi="Times New Roman"/>
          <w:sz w:val="22"/>
          <w:szCs w:val="22"/>
          <w:color w:val="auto"/>
        </w:rPr>
        <w:t xml:space="preserve"> "), Cantor Fitzgerald &amp; Co. ("</w:t>
      </w:r>
      <w:r>
        <w:rPr>
          <w:rFonts w:ascii="Times New Roman" w:cs="Times New Roman" w:eastAsia="Times New Roman" w:hAnsi="Times New Roman"/>
          <w:sz w:val="22"/>
          <w:szCs w:val="22"/>
          <w:u w:val="single" w:color="auto"/>
          <w:color w:val="auto"/>
        </w:rPr>
        <w:t>Cantor</w:t>
      </w:r>
      <w:r>
        <w:rPr>
          <w:rFonts w:ascii="Times New Roman" w:cs="Times New Roman" w:eastAsia="Times New Roman" w:hAnsi="Times New Roman"/>
          <w:sz w:val="22"/>
          <w:szCs w:val="22"/>
          <w:color w:val="auto"/>
        </w:rPr>
        <w:t>") and Bloom Burton Securities Inc. ("</w:t>
      </w:r>
      <w:r>
        <w:rPr>
          <w:rFonts w:ascii="Times New Roman" w:cs="Times New Roman" w:eastAsia="Times New Roman" w:hAnsi="Times New Roman"/>
          <w:sz w:val="22"/>
          <w:szCs w:val="22"/>
          <w:u w:val="single" w:color="auto"/>
          <w:color w:val="auto"/>
        </w:rPr>
        <w:t>Bloom Burton</w:t>
      </w:r>
      <w:r>
        <w:rPr>
          <w:rFonts w:ascii="Times New Roman" w:cs="Times New Roman" w:eastAsia="Times New Roman" w:hAnsi="Times New Roman"/>
          <w:sz w:val="22"/>
          <w:szCs w:val="22"/>
          <w:color w:val="auto"/>
        </w:rPr>
        <w:t>") have been engaged by Cybin Inc., a corporation existing under the laws of the Province of Ontario, Canada, and its present and future affiliates and subsidiaries and any entity used thereby to facilitate the transaction contemplated hereby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act as set forth below.</w:t>
      </w:r>
    </w:p>
    <w:p>
      <w:pPr>
        <w:spacing w:after="0" w:line="136" w:lineRule="exact"/>
        <w:rPr>
          <w:sz w:val="20"/>
          <w:szCs w:val="20"/>
          <w:color w:val="auto"/>
        </w:rPr>
      </w:pPr>
    </w:p>
    <w:p>
      <w:pPr>
        <w:ind w:left="680" w:hanging="672"/>
        <w:spacing w:after="0"/>
        <w:tabs>
          <w:tab w:leader="none" w:pos="6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32" w:lineRule="auto"/>
        <w:tabs>
          <w:tab w:leader="none" w:pos="129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exclusively retains and authorizes (a) Jefferies, TD Cowen and Cantor, during the term of this engagement, to act as joint lead placement agents (collectively, the “</w:t>
      </w:r>
      <w:r>
        <w:rPr>
          <w:rFonts w:ascii="Times New Roman" w:cs="Times New Roman" w:eastAsia="Times New Roman" w:hAnsi="Times New Roman"/>
          <w:sz w:val="22"/>
          <w:szCs w:val="22"/>
          <w:u w:val="single" w:color="auto"/>
          <w:color w:val="auto"/>
        </w:rPr>
        <w:t>Lead Placement Agents</w:t>
      </w:r>
      <w:r>
        <w:rPr>
          <w:rFonts w:ascii="Times New Roman" w:cs="Times New Roman" w:eastAsia="Times New Roman" w:hAnsi="Times New Roman"/>
          <w:sz w:val="22"/>
          <w:szCs w:val="22"/>
          <w:color w:val="auto"/>
        </w:rPr>
        <w:t>”) and (b) Bloom Burton, during the term of this engagement, to act as a placement agent (together with the Lead Placement Agents, the “</w:t>
      </w:r>
      <w:r>
        <w:rPr>
          <w:rFonts w:ascii="Times New Roman" w:cs="Times New Roman" w:eastAsia="Times New Roman" w:hAnsi="Times New Roman"/>
          <w:sz w:val="22"/>
          <w:szCs w:val="22"/>
          <w:u w:val="single" w:color="auto"/>
          <w:color w:val="auto"/>
        </w:rPr>
        <w:t>Placement Agents</w:t>
      </w:r>
      <w:r>
        <w:rPr>
          <w:rFonts w:ascii="Times New Roman" w:cs="Times New Roman" w:eastAsia="Times New Roman" w:hAnsi="Times New Roman"/>
          <w:sz w:val="22"/>
          <w:szCs w:val="22"/>
          <w:color w:val="auto"/>
        </w:rPr>
        <w:t>”), on a reasonable efforts basis as placement agents, in connection with a proposed placement of (i) common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in the capital of the Company (the “</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(ii) warrants of the Company to purchase 0.35 of a Common Share (the “</w:t>
      </w:r>
      <w:r>
        <w:rPr>
          <w:rFonts w:ascii="Times New Roman" w:cs="Times New Roman" w:eastAsia="Times New Roman" w:hAnsi="Times New Roman"/>
          <w:sz w:val="22"/>
          <w:szCs w:val="22"/>
          <w:u w:val="single" w:color="auto"/>
          <w:color w:val="auto"/>
        </w:rPr>
        <w:t>Share Warrants</w:t>
      </w:r>
      <w:r>
        <w:rPr>
          <w:rFonts w:ascii="Times New Roman" w:cs="Times New Roman" w:eastAsia="Times New Roman" w:hAnsi="Times New Roman"/>
          <w:sz w:val="22"/>
          <w:szCs w:val="22"/>
          <w:color w:val="auto"/>
        </w:rPr>
        <w:t>”) and (iii) in lieu of Shares to certain investors that so choose, pre-funded warrants of the Company to purchase Common Shares (the “</w:t>
      </w:r>
      <w:r>
        <w:rPr>
          <w:rFonts w:ascii="Times New Roman" w:cs="Times New Roman" w:eastAsia="Times New Roman" w:hAnsi="Times New Roman"/>
          <w:sz w:val="22"/>
          <w:szCs w:val="22"/>
          <w:u w:val="single" w:color="auto"/>
          <w:color w:val="auto"/>
        </w:rPr>
        <w:t>Pre-Funded Warrants</w:t>
      </w:r>
      <w:r>
        <w:rPr>
          <w:rFonts w:ascii="Times New Roman" w:cs="Times New Roman" w:eastAsia="Times New Roman" w:hAnsi="Times New Roman"/>
          <w:sz w:val="22"/>
          <w:szCs w:val="22"/>
          <w:color w:val="auto"/>
        </w:rPr>
        <w:t>” and together with the Share Warrants, the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Each Share is being sold together with 0.35 of one Share Warrant and each Pre-Funded Warrant is being sold together with 0.35 of one Share Warrant. The Shares and the Warrants are individually and collectively referred to herein as the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The Shares or Pre-Funded Warrants, on the one hand, and Warrants, on the other, are immediately separable and will be issued separately, but can only be purchased together in the Transaction. The Common Shares issuable upon the exercise of the Warrants are herein referred to as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The Securities are being offered by the Company to certain investors pursuant to a registration statement under the Securities Act (as defined below), with the terms of the offering to be subject to market conditions and negotiations among the Company, the Placement Agents and the prospective investors (the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The sale of the Securities shall be made pursuant to a securities purchase agreement by and between the Company and each investor (each, a “</w:t>
      </w:r>
      <w:r>
        <w:rPr>
          <w:rFonts w:ascii="Times New Roman" w:cs="Times New Roman" w:eastAsia="Times New Roman" w:hAnsi="Times New Roman"/>
          <w:sz w:val="22"/>
          <w:szCs w:val="22"/>
          <w:u w:val="single" w:color="auto"/>
          <w:color w:val="auto"/>
        </w:rPr>
        <w:t>Securities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and agreed that the Company's engagement of the Placement Agents pursuant to this Agreement is not an express or implied commitment by, nor shall this Agreement otherwise create any obligation on, the Placement Agents to underwrite, place or purchase any Securities or otherwise provide or arrange any financing.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142" w:lineRule="exact"/>
        <w:rPr>
          <w:sz w:val="20"/>
          <w:szCs w:val="20"/>
          <w:color w:val="auto"/>
        </w:rPr>
      </w:pPr>
    </w:p>
    <w:p>
      <w:pPr>
        <w:ind w:left="680" w:hanging="672"/>
        <w:spacing w:after="0"/>
        <w:tabs>
          <w:tab w:leader="none" w:pos="6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furnish the Placement Agents with all current and historical materials and information regarding the business and financial condition of the Company relevant to the Transaction, and all other information and data, and access to the Company's officers, directors, employees and professional advisors, which the Placement Agents reasonably request in connection with the Placement Agents' activities hereunder. All such materials, information and data shall be complete and accurate in all material respects and not misleading. The Company agrees to promptly advise the Placement Agents of all developments materially affecting the Company, any proposed Transaction or the completeness or accuracy of the information previously furnished to the Placement Agents, and agrees to promptly notify the Placement Agents prior to taking any material initiatives relating to the proposed Transaction. If the Company or, to the Company's knowledge, any of its securityholders, affiliates or other advisors or representatives are contacted by any third party concerning a potential Transaction, the Company will promptly inform the Placement Agents of such inquiry, and all relevant details thereof. The Company agrees that all information furnished to one Placement Agent may be shared with any other Placement Agent, and communications with the Company in connection with the Transaction may be made through any Placement Agent.</w:t>
      </w:r>
    </w:p>
    <w:p>
      <w:pPr>
        <w:spacing w:after="0" w:line="144"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further acknowledges that each Placement Agent (i) will be relying on information and data provided to such Placement Agent (including, without limitation, information provided by or on behalf of the Company or any other party to the Transaction) and available from generally recognized public sources, without having independently verified the accuracy or completeness thereof, (ii) does not assume responsibility for the accuracy or completeness of any such information and data, (iii) has not made, and will not make, any physical inspection or appraisal of the properties, assets or liabilities (contingent or otherwise) of the Company or any other party to the Transaction and (iv) in relying on any financial forecasts that may be furnished to or discussed with such Placement Agent, will assume that such forecasts have been reasonably prepared on bases reflecting the best currently available estimates and good faith judgments of the Company's management team as to the future financial performance of the Company (and if such forecasts no longer reflect such estimates and judgments, then the Company will promptly inform, and provide updated forecasts to, the Placement Agents).</w:t>
      </w:r>
    </w:p>
    <w:p>
      <w:pPr>
        <w:spacing w:after="0" w:line="138" w:lineRule="exact"/>
        <w:rPr>
          <w:rFonts w:ascii="Times New Roman" w:cs="Times New Roman" w:eastAsia="Times New Roman" w:hAnsi="Times New Roman"/>
          <w:sz w:val="22"/>
          <w:szCs w:val="22"/>
          <w:color w:val="auto"/>
        </w:rPr>
      </w:pPr>
    </w:p>
    <w:p>
      <w:pPr>
        <w:jc w:val="both"/>
        <w:ind w:firstLine="656"/>
        <w:spacing w:after="0" w:line="242" w:lineRule="auto"/>
        <w:tabs>
          <w:tab w:leader="none" w:pos="129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authorizes the Placement Agents to distribute to prospective investors in the Transaction a prospectus supplement relating to the Transaction (the “</w:t>
      </w:r>
      <w:r>
        <w:rPr>
          <w:rFonts w:ascii="Times New Roman" w:cs="Times New Roman" w:eastAsia="Times New Roman" w:hAnsi="Times New Roman"/>
          <w:sz w:val="21"/>
          <w:szCs w:val="21"/>
          <w:u w:val="single" w:color="auto"/>
          <w:color w:val="auto"/>
        </w:rPr>
        <w:t>Prospectus</w:t>
      </w:r>
      <w:r>
        <w:rPr>
          <w:rFonts w:ascii="Times New Roman" w:cs="Times New Roman" w:eastAsia="Times New Roman" w:hAnsi="Times New Roman"/>
          <w:sz w:val="21"/>
          <w:szCs w:val="21"/>
          <w:color w:val="auto"/>
        </w:rPr>
        <w:t>”) pursuant to the Company’s effective registration statement on Form F-10, as amended (File No. 333-289139) (and together with any post-effective amendment thereto, the “</w:t>
      </w:r>
      <w:r>
        <w:rPr>
          <w:rFonts w:ascii="Times New Roman" w:cs="Times New Roman" w:eastAsia="Times New Roman" w:hAnsi="Times New Roman"/>
          <w:sz w:val="21"/>
          <w:szCs w:val="21"/>
          <w:u w:val="single" w:color="auto"/>
          <w:color w:val="auto"/>
        </w:rPr>
        <w:t>Registration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Statement</w:t>
      </w:r>
      <w:r>
        <w:rPr>
          <w:rFonts w:ascii="Times New Roman" w:cs="Times New Roman" w:eastAsia="Times New Roman" w:hAnsi="Times New Roman"/>
          <w:sz w:val="21"/>
          <w:szCs w:val="21"/>
          <w:color w:val="auto"/>
        </w:rPr>
        <w:t xml:space="preserve">”), and other disclosure materials prepared or reviewed and approved by the Company for use in connection with the Transaction including any “issuer free writing prospectus” (as defined in Rules 433 and 405 under the Act) and any investor presentation or “road show” (as defined in Rule 433 under the Securities Act) relating to the Transaction that is a “written communication” (as defined in Rule 405 under the Securities Act) (for purposes of the immediately following sentence and the indemnification provisions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in each case together with any reports, statements and other documents publicly filed by the Company with the Securities and Exchange Commission (the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pursuant to Sections 13(a), 13(c), 14 and 15(d) of the U.S. Securities Exchange Act of 1934, as amended, the “</w:t>
      </w:r>
      <w:r>
        <w:rPr>
          <w:rFonts w:ascii="Times New Roman" w:cs="Times New Roman" w:eastAsia="Times New Roman" w:hAnsi="Times New Roman"/>
          <w:sz w:val="21"/>
          <w:szCs w:val="21"/>
          <w:u w:val="single" w:color="auto"/>
          <w:color w:val="auto"/>
        </w:rPr>
        <w:t>Offering Materials</w:t>
      </w:r>
      <w:r>
        <w:rPr>
          <w:rFonts w:ascii="Times New Roman" w:cs="Times New Roman" w:eastAsia="Times New Roman" w:hAnsi="Times New Roman"/>
          <w:sz w:val="21"/>
          <w:szCs w:val="21"/>
          <w:color w:val="auto"/>
        </w:rPr>
        <w:t>”) and such other documents as are necessary for the Transaction, in such form as the Placement Agents and the Company determine is appropriate to market the Securities and consummate the Transaction. The Company acknowledges that the Company shall be solely responsible for the accuracy and completeness of the Offering Materials, and agrees that (i) as of the effective date of the Registration Statement (including any post-effective amendment thereto), the Registration Statement and any such post-effective amendment, and as of the date of the Prospectus, and as of the Closing Date (as defined below), the Registration Statement complied and will comply in all material respects with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the Prospectus complied and will comply in all material respects with all applicable Canadian securities laws, and each of the Registration Statement and the Prospectus did not and will not contain any untrue statement of a material fact or omit to state a material fact required to be stated therein or necessary in order to make the statements therein not misleading; and (ii) as of the date of each Securities Purchase Agreement and as of the Closing Date, the Offering Materials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For avoidance of doubt, the Company makes no representation or warranty with respect to information, statements or omissions relating solely to the Placement Agents made therein in reliance upon and in conformity with written information furnished to the Company by or on behalf of any Placement Agent through the Lead Placement Agents expressly for use in the Prospectus and the Registration Statement, it being understood and agreed upon that the only such information furnished by any Placement Agent consists of the name of the Placement Agent appearing on the cover and under the section entitled “Plan of Distribution” in the Prospectus. The Company shall not disseminate any materials bearing the name or logo of either of the Placement Agents outside of the Company without the respective Placement Agent’s knowledge and consent. Jefferies will appear as lead left on the Offering Materials or other offering materials related to the Transaction and will hold the leading role and responsibilities conventionally understood to be associated with such name placement. The Company further agrees that it will (i) provide the Placement Agents as soon as practicable but in any event no later than is reasonable and customary for the Transaction, with a complete initial draft of the Prospectus, which contains all financial statements and other data to be included therein (including all audited financial statements and all unaudited financial statements prepared in accordance with, or reconciled to, International Financial Reporting Standards and applicable rules and regulations or that would be necessary for the Placement Agents to receive customary “comfort” (including “negative assurance” comfort) from independent accountants in connection with the Transaction) (collectively, the “</w:t>
      </w:r>
      <w:r>
        <w:rPr>
          <w:rFonts w:ascii="Times New Roman" w:cs="Times New Roman" w:eastAsia="Times New Roman" w:hAnsi="Times New Roman"/>
          <w:sz w:val="21"/>
          <w:szCs w:val="21"/>
          <w:u w:val="single" w:color="auto"/>
          <w:color w:val="auto"/>
        </w:rPr>
        <w:t>Required Financial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and (ii) provide the Placement Agents, if applicable, as soon as practicable but in any event no later than is reasonable and customary for financings of this type, with an electronic copy of the Prospectus suitable for use in connection with the Transaction (including the Required Financial Information).</w:t>
      </w:r>
    </w:p>
    <w:p>
      <w:pPr>
        <w:sectPr>
          <w:pgSz w:w="11900" w:h="16838" w:orient="portrait"/>
          <w:cols w:equalWidth="0" w:num="1">
            <w:col w:w="11240"/>
          </w:cols>
          <w:pgMar w:left="320" w:top="108" w:right="339" w:bottom="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142875</wp:posOffset>
            </wp:positionV>
            <wp:extent cx="715327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142" w:lineRule="exact"/>
        <w:rPr>
          <w:sz w:val="20"/>
          <w:szCs w:val="20"/>
          <w:color w:val="auto"/>
        </w:rPr>
      </w:pPr>
    </w:p>
    <w:p>
      <w:pPr>
        <w:jc w:val="both"/>
        <w:ind w:firstLine="656"/>
        <w:spacing w:after="0" w:line="236" w:lineRule="auto"/>
        <w:tabs>
          <w:tab w:leader="none" w:pos="12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amending or supplementing the Offering Materials, the Company shall furnish to the Placement Agents for review a copy of each such proposed amendment or supplement. If, prior to the closing of the Transaction, any event shall occur or condition shall exist as a result of which it is necessary to amend or supplement the Offering Materials so that the Offering Materials do not contain any untrue statement of material fact, or omit to state a material fact necessary to make the statements therein, in the light of the circumstances in which they are made, not misleading, the Company shall promptly prepare and furnish to the Placement Agents such amendments or supplements.</w:t>
      </w:r>
    </w:p>
    <w:p>
      <w:pPr>
        <w:spacing w:after="0" w:line="154" w:lineRule="exact"/>
        <w:rPr>
          <w:rFonts w:ascii="Times New Roman" w:cs="Times New Roman" w:eastAsia="Times New Roman" w:hAnsi="Times New Roman"/>
          <w:sz w:val="22"/>
          <w:szCs w:val="22"/>
          <w:color w:val="auto"/>
        </w:rPr>
      </w:pPr>
    </w:p>
    <w:p>
      <w:pPr>
        <w:jc w:val="both"/>
        <w:ind w:firstLine="656"/>
        <w:spacing w:after="0" w:line="246" w:lineRule="auto"/>
        <w:tabs>
          <w:tab w:leader="none" w:pos="128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Placement Agents covenant and agree that in the event that the Company and the Placement Agents elect to provide marketing materials relating to the Securities to potential investors, the Placement Agents shall only disseminate such marketing materials in a manner that complies with the requirements of Section 9A.5 of National Instrument 44-102 - </w:t>
      </w:r>
      <w:r>
        <w:rPr>
          <w:rFonts w:ascii="Times New Roman" w:cs="Times New Roman" w:eastAsia="Times New Roman" w:hAnsi="Times New Roman"/>
          <w:sz w:val="21"/>
          <w:szCs w:val="21"/>
          <w:i w:val="1"/>
          <w:iCs w:val="1"/>
          <w:color w:val="auto"/>
        </w:rPr>
        <w:t>Shelf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Distribution</w:t>
      </w:r>
      <w:r>
        <w:rPr>
          <w:rFonts w:ascii="Times New Roman" w:cs="Times New Roman" w:eastAsia="Times New Roman" w:hAnsi="Times New Roman"/>
          <w:sz w:val="21"/>
          <w:szCs w:val="21"/>
          <w:color w:val="auto"/>
        </w:rPr>
        <w:t>s. For greater certainty, the Placement Agents covenant and agree that in the event that marketing materials are to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distributed pursuant to this Agreement, then such marketing materials shall only be provided to potential investors in connection with one or more NI 41-101 Road Shows and that the Lead Placement Agents reasonably expect that the Securities will be sold primarily in the United States, and that the Lead Placement Agents hereby consent to the delivery of such marketing materials by the Company to the Ontario Securities Commission. For the purposes of this Agreement, “NI 41-101 Road Show” means the definition of “road show” given to it in National Instrument 41-101 - </w:t>
      </w:r>
      <w:r>
        <w:rPr>
          <w:rFonts w:ascii="Times New Roman" w:cs="Times New Roman" w:eastAsia="Times New Roman" w:hAnsi="Times New Roman"/>
          <w:sz w:val="21"/>
          <w:szCs w:val="21"/>
          <w:i w:val="1"/>
          <w:iCs w:val="1"/>
          <w:color w:val="auto"/>
        </w:rPr>
        <w:t>General Prospectus Requirements</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jc w:val="both"/>
        <w:ind w:firstLine="656"/>
        <w:spacing w:after="0" w:line="239" w:lineRule="auto"/>
        <w:tabs>
          <w:tab w:leader="none" w:pos="127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comply, and shall use commercially reasonable efforts to assist the Placement Agents in complying, with all federal and state securities laws and regulations applicable to the Transaction. The Placement Agents do not provide the Company with legal or regulatory compliance advice in connection with this engagement, and the foregoing should not be construed as legal or regulatory compliance advice.</w:t>
      </w:r>
    </w:p>
    <w:p>
      <w:pPr>
        <w:spacing w:after="0" w:line="139"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in connection with the Transaction: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142" w:lineRule="exact"/>
        <w:rPr>
          <w:sz w:val="20"/>
          <w:szCs w:val="20"/>
          <w:color w:val="auto"/>
        </w:rPr>
      </w:pPr>
    </w:p>
    <w:p>
      <w:pPr>
        <w:jc w:val="both"/>
        <w:ind w:firstLine="1952"/>
        <w:spacing w:after="0" w:line="244" w:lineRule="auto"/>
        <w:tabs>
          <w:tab w:leader="none" w:pos="261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corporate proceedings and other legal matters incident to the authorization, form, execution, delivery and validity of each of this Agreement, the Securities, and all other legal matters relating to this Agreement and the transactions contemplated hereby with respect to the Securities shall have been obtained;</w:t>
      </w:r>
    </w:p>
    <w:p>
      <w:pPr>
        <w:spacing w:after="0" w:line="146" w:lineRule="exact"/>
        <w:rPr>
          <w:rFonts w:ascii="Times New Roman" w:cs="Times New Roman" w:eastAsia="Times New Roman" w:hAnsi="Times New Roman"/>
          <w:sz w:val="22"/>
          <w:szCs w:val="22"/>
          <w:color w:val="auto"/>
        </w:rPr>
      </w:pPr>
    </w:p>
    <w:p>
      <w:pPr>
        <w:jc w:val="both"/>
        <w:ind w:firstLine="1952"/>
        <w:spacing w:after="0" w:line="239" w:lineRule="auto"/>
        <w:tabs>
          <w:tab w:leader="none" w:pos="261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Placement Agents under this Agreement are subject to the accuracy of the representations and warranties and the performance of the covenants of the Company contained in each Securities Purchase Agreement, both as of the date of the Prospectus and as of the date of the closing of the Transaction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performance by the Company of its obligations under this Agreement including:</w:t>
      </w:r>
    </w:p>
    <w:p>
      <w:pPr>
        <w:spacing w:after="0" w:line="139"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5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the Prospectus and the Closing Date, evidence satisfactory to the Lead Placement Agents that 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39"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5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the Prospectus and the Closing Date, the Company has no reason to believe that the Ontario Securities Commission, as the Company’s principal regulator, has any outstanding, unresolved material objections or comments relating to the Prospectus, the Company or the Transaction;</w:t>
      </w:r>
    </w:p>
    <w:p>
      <w:pPr>
        <w:spacing w:after="0" w:line="146" w:lineRule="exact"/>
        <w:rPr>
          <w:rFonts w:ascii="Times New Roman" w:cs="Times New Roman" w:eastAsia="Times New Roman" w:hAnsi="Times New Roman"/>
          <w:sz w:val="22"/>
          <w:szCs w:val="22"/>
          <w:color w:val="auto"/>
        </w:rPr>
      </w:pPr>
    </w:p>
    <w:p>
      <w:pPr>
        <w:ind w:left="3260" w:hanging="660"/>
        <w:spacing w:after="0"/>
        <w:tabs>
          <w:tab w:leader="none" w:pos="326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the Prospectus and the Closing Date,  FINRA shall not have raised 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objection with respect to the fairness and reasonableness of the terms and arrangements of the Transaction;</w:t>
      </w:r>
    </w:p>
    <w:p>
      <w:pPr>
        <w:spacing w:after="0" w:line="141"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5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favorable legal opinions, dated the Closing Date, from Aird &amp; Berlis LLP, in its capacity as the Company’s Canadian counsel as to matters of Canadian federal and Ontario provincial law addressed to the Placement Agents and in form and substance satisfactory to the Placement Agents, and reliance letters on any opinions delivered to investors by such counsel;</w:t>
      </w:r>
    </w:p>
    <w:p>
      <w:pPr>
        <w:spacing w:after="0" w:line="139"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5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 favorable legal opinion and a negative assurances letter, dated the Closing Date, from Dorsey &amp; Whitney LLP, in its capacity as the Company's U.S. counsel, addressed to the Placement Agents, in form and substance reasonably satisfactory to the Placement Agents, and reliance letters addressed to the Placement Agents on any opinions delivered to investors by such counsel;</w:t>
      </w:r>
    </w:p>
    <w:p>
      <w:pPr>
        <w:spacing w:after="0" w:line="15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 favorable legal opinion, dated the Closing Date, from Lathrop GPM LLP, in its capacity as the Company's intellectual property counsel, addressed to the Placement Agents, in form and substance reasonably satisfactory to the Placement Agents;</w:t>
      </w:r>
    </w:p>
    <w:p>
      <w:pPr>
        <w:spacing w:after="0" w:line="132" w:lineRule="exact"/>
        <w:rPr>
          <w:rFonts w:ascii="Times New Roman" w:cs="Times New Roman" w:eastAsia="Times New Roman" w:hAnsi="Times New Roman"/>
          <w:sz w:val="22"/>
          <w:szCs w:val="22"/>
          <w:color w:val="auto"/>
        </w:rPr>
      </w:pPr>
    </w:p>
    <w:p>
      <w:pPr>
        <w:jc w:val="both"/>
        <w:ind w:firstLine="2600"/>
        <w:spacing w:after="0" w:line="234" w:lineRule="auto"/>
        <w:tabs>
          <w:tab w:leader="none" w:pos="325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the Prospectus, from Zeifmans LLP, independent public or certified public accountants for the Company, (i) a "long-form comfort letter" dated the date of the Prospectus, and addressed to the Placement Agents and the board of directors of the Company, in form and substance reasonably satisfactory to the Lead Placement Agents, containing statements and information of the type ordinarily included in accountant's "comfort letters" to underwriters which letters shall cover certain financial and accounting disclosures contained or incorporated by reference in the Registration Statement and the Prospectus, and confirmation that they are independent public, certified public or chartered accountants as required by the Securities Act; and (ii) on the Closing Date, a letter from Zeifmans LLP, independent public or certified public accountants for the Company, dated such date, in form and substance reasonably satisfactory to the Lead Placement Agents, to the effect that they reaffirm the statements made in the letter furnished by them pursuant to (i) above, except that the specified date referred to therein for the carrying out of procedures shall be no more than two (2) business days prior to the Closing 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142" w:lineRule="exact"/>
        <w:rPr>
          <w:sz w:val="20"/>
          <w:szCs w:val="20"/>
          <w:color w:val="auto"/>
        </w:rPr>
      </w:pPr>
    </w:p>
    <w:p>
      <w:pPr>
        <w:jc w:val="both"/>
        <w:ind w:firstLine="2600"/>
        <w:spacing w:after="0" w:line="239" w:lineRule="auto"/>
        <w:tabs>
          <w:tab w:leader="none" w:pos="325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dated respectively the date of the Prospectus and the Closing Date, addressed to the Placement Agents, of the Company's Chief Financial Officer with respect to certain financial data contained in the Offering Materials, providing "management comfort" with respect to such information, in form and substance reasonably satisfactory to the Lead Placement Agents;</w:t>
      </w:r>
    </w:p>
    <w:p>
      <w:pPr>
        <w:spacing w:after="0" w:line="153" w:lineRule="exact"/>
        <w:rPr>
          <w:rFonts w:ascii="Times New Roman" w:cs="Times New Roman" w:eastAsia="Times New Roman" w:hAnsi="Times New Roman"/>
          <w:sz w:val="22"/>
          <w:szCs w:val="22"/>
          <w:color w:val="auto"/>
        </w:rPr>
      </w:pPr>
    </w:p>
    <w:p>
      <w:pPr>
        <w:jc w:val="both"/>
        <w:ind w:firstLine="2600"/>
        <w:spacing w:after="0" w:line="234" w:lineRule="auto"/>
        <w:tabs>
          <w:tab w:leader="none" w:pos="324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dated the Closing Date, signed on behalf of the Company, but without personal liability, by the Chief Executive Officer of the Company or another officer acceptable to the Placement Agents, in form and content satisfactory to the Lead Placement Agents, and addressed to the Placement Agents with respect to (i) the accuracy of the representations and warranties contained in the Securities Purchase Agreement, and (ii) the organizational documents of the Company; the resolutions of the directors of the Company relevant to the Transaction, including the entry into the Placement Agreement, issue (or reservation for issue) and sale of the Securities, the authorization of this Agreement and the Warrants, the listing of the Shares and the Warrant Shares on Cboe Canada Inc. (“Cboe Canada”) and NYSE American, LLC (“NYSE American”) and transactions contemplated by this Agreement; and the incumbency and signatures of signing officers of the Company;</w:t>
      </w:r>
    </w:p>
    <w:p>
      <w:pPr>
        <w:spacing w:after="0" w:line="142"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4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date of the Prospectus, the Company shall provide from each of the Company’s directors and senior executive officers an executed and delivered lock-up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agreements will remain effective on the Closing Date; provided however, if the Company decides not to proceed with the Transaction, such lock-up agreements and the obligations of the parties thereto shall terminate;</w:t>
      </w:r>
    </w:p>
    <w:p>
      <w:pPr>
        <w:spacing w:after="0" w:line="139" w:lineRule="exact"/>
        <w:rPr>
          <w:rFonts w:ascii="Times New Roman" w:cs="Times New Roman" w:eastAsia="Times New Roman" w:hAnsi="Times New Roman"/>
          <w:sz w:val="22"/>
          <w:szCs w:val="22"/>
          <w:color w:val="auto"/>
        </w:rPr>
      </w:pPr>
    </w:p>
    <w:p>
      <w:pPr>
        <w:jc w:val="both"/>
        <w:ind w:firstLine="2600"/>
        <w:spacing w:after="0" w:line="233" w:lineRule="auto"/>
        <w:tabs>
          <w:tab w:leader="none" w:pos="325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Common Shares are registered pursuant to Section 12(b) of the Exchange Act and are accepted for trading on NYSE American under the symbol “CYBN” and Cboe Canada under the symbol “CYBN” and the Company shall have taken no action designed to, or likely to have the effect of terminating the registration of the Common Shares under the Exchange Act or delisting or suspending from trading the Common Shares from the Trading Markets or other applicable U.S. national exchange or Canadian exchange, nor has the Company received any information suggesting that the Commission or the Trading Markets or other U.S. applicable national exchange or Canadian exchange is contemplating terminating such registration or listing. In addition, the Company shall have submitted a listing application to Cboe Canada and a supplemental listing application to NYSE American with respect to the Shares and the Warrant Shares and shall have obtained conditional approval from Cboe Canada, subject only to the official notice of issuance, and authorization from NYSE American for listing of the Shares and Warrant Shares. The Company has taken, or will have taken, all necessary corporate action to validly reserve for issuance upon exercise of the Warrants, the Warrant Shares in a number sufficient to meet the current exercise requirements, such that when issued and delivered upon exercise of the Warrants in accordance therewith, the Warrant Shares will be validly issued, fully paid and non-assessable Common Shares, free and clear of all liens imposed by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142" w:lineRule="exact"/>
        <w:rPr>
          <w:sz w:val="20"/>
          <w:szCs w:val="20"/>
          <w:color w:val="auto"/>
        </w:rPr>
      </w:pPr>
    </w:p>
    <w:p>
      <w:pPr>
        <w:jc w:val="both"/>
        <w:ind w:firstLine="2600"/>
        <w:spacing w:after="0" w:line="236" w:lineRule="auto"/>
        <w:tabs>
          <w:tab w:leader="none" w:pos="324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PSecurities or materially and adversely affect or potentially and adversely affect the business or operations of the Company;</w:t>
      </w:r>
    </w:p>
    <w:p>
      <w:pPr>
        <w:spacing w:after="0" w:line="154" w:lineRule="exact"/>
        <w:rPr>
          <w:sz w:val="20"/>
          <w:szCs w:val="20"/>
          <w:color w:val="auto"/>
        </w:rPr>
      </w:pPr>
    </w:p>
    <w:p>
      <w:pPr>
        <w:jc w:val="both"/>
        <w:ind w:firstLine="2600"/>
        <w:spacing w:after="0" w:line="244" w:lineRule="auto"/>
        <w:tabs>
          <w:tab w:leader="none" w:pos="329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entered into a Securities Purchase Agreement with each of the investors of Securities and such agreements shall be in full force and effect and shall contain representations, warranties and covenants of the Company as agreed upon between the Company and the investor;</w:t>
      </w:r>
    </w:p>
    <w:p>
      <w:pPr>
        <w:spacing w:after="0" w:line="132" w:lineRule="exact"/>
        <w:rPr>
          <w:rFonts w:ascii="Times New Roman" w:cs="Times New Roman" w:eastAsia="Times New Roman" w:hAnsi="Times New Roman"/>
          <w:sz w:val="22"/>
          <w:szCs w:val="22"/>
          <w:color w:val="auto"/>
        </w:rPr>
      </w:pPr>
    </w:p>
    <w:p>
      <w:pPr>
        <w:jc w:val="both"/>
        <w:ind w:firstLine="2600"/>
        <w:spacing w:after="0" w:line="261" w:lineRule="auto"/>
        <w:tabs>
          <w:tab w:leader="none" w:pos="3279"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Placement Agents will be entitled to rely, as express third-party beneficiaries, on the representations, warranties and covenants of the Company and the investors in the Transaction that are set forth in the Securities Purchase Agreements and any certificates and legal opinions delivered pursuant to such Securities Purchase Agreements;</w:t>
      </w:r>
    </w:p>
    <w:p>
      <w:pPr>
        <w:spacing w:after="0" w:line="116" w:lineRule="exact"/>
        <w:rPr>
          <w:rFonts w:ascii="Times New Roman" w:cs="Times New Roman" w:eastAsia="Times New Roman" w:hAnsi="Times New Roman"/>
          <w:sz w:val="21"/>
          <w:szCs w:val="21"/>
          <w:color w:val="auto"/>
        </w:rPr>
      </w:pPr>
    </w:p>
    <w:p>
      <w:pPr>
        <w:jc w:val="both"/>
        <w:ind w:firstLine="2600"/>
        <w:spacing w:after="0" w:line="261" w:lineRule="auto"/>
        <w:tabs>
          <w:tab w:leader="none" w:pos="3261"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provide such other documents as the Placement Agents or counsel to the Placement Agents may reasonably require; and all proceedings taken by the Company in connection with the issuance and sale of the Securities shall be satisfactory in form and substance to the Placement Agents and counsel for the Placement Agents; and</w:t>
      </w:r>
    </w:p>
    <w:p>
      <w:pPr>
        <w:spacing w:after="0" w:line="130" w:lineRule="exact"/>
        <w:rPr>
          <w:rFonts w:ascii="Times New Roman" w:cs="Times New Roman" w:eastAsia="Times New Roman" w:hAnsi="Times New Roman"/>
          <w:sz w:val="21"/>
          <w:szCs w:val="21"/>
          <w:color w:val="auto"/>
        </w:rPr>
      </w:pPr>
    </w:p>
    <w:p>
      <w:pPr>
        <w:jc w:val="both"/>
        <w:ind w:firstLine="2600"/>
        <w:spacing w:after="0" w:line="239" w:lineRule="auto"/>
        <w:tabs>
          <w:tab w:leader="none" w:pos="326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neither the Company nor any of its subsidiaries or any other affiliate has taken, directly or indirectly, without giving effect to the activities by the Placement Agents, any action designed to or that would reasonably be expected to cause or result in any stabilization or manipulation of the price of the Securities.</w:t>
      </w:r>
    </w:p>
    <w:p>
      <w:pPr>
        <w:spacing w:after="0" w:line="139" w:lineRule="exact"/>
        <w:rPr>
          <w:rFonts w:ascii="Times New Roman" w:cs="Times New Roman" w:eastAsia="Times New Roman" w:hAnsi="Times New Roman"/>
          <w:sz w:val="22"/>
          <w:szCs w:val="22"/>
          <w:color w:val="auto"/>
        </w:rPr>
      </w:pPr>
    </w:p>
    <w:p>
      <w:pPr>
        <w:jc w:val="both"/>
        <w:ind w:firstLine="8"/>
        <w:spacing w:after="0" w:line="242" w:lineRule="auto"/>
        <w:tabs>
          <w:tab w:leader="none" w:pos="64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Clear Market.</w:t>
      </w:r>
      <w:r>
        <w:rPr>
          <w:rFonts w:ascii="Times New Roman" w:cs="Times New Roman" w:eastAsia="Times New Roman" w:hAnsi="Times New Roman"/>
          <w:sz w:val="21"/>
          <w:szCs w:val="21"/>
          <w:color w:val="auto"/>
        </w:rPr>
        <w:t xml:space="preserve"> Except as contemplated by this Agreement, the Company will not, without the prior written consent of Jefferies and TD Cowen on behalf of the Placement Agents, directly or indirectly (i) sell, offer to sell, contract to sell or lend any Common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Common Shares or Related Securities; (iii) pledge, hypothecate or grant any security interest in any Common Shares or Related Securities; (iv) in any other way transfer or dispose of any Common Shares or Related Securities; (v) enter into any swap, hedge or similar arrangement or agreement that transfers, in whole or in part, the economic risk of ownership of any Common Shares or Related Securities, regardless of whether any such transaction is to be settled in securities, in cash or otherwise; (vi) announce the offering of any Common Shares or Related Securities; (vii) submit or file any registration statement under the Securities Act in respect of any Common Shares or Related Securities (other than as contemplated by this Agreement with respect to the Shares); (viii) effect a reverse stock split, recapitalization, share consolidation, reclassification or similar transaction affecting the outstanding Common Shares; or (ix) publicly announce the intention to do any of the foregoing, from the date the Transaction is announced until the date that is 60 days following the date the Transaction is announced, except: (a) pursuant to this Agreement; (b) the grant or exercise of equity compensation pursuant to the Company’s existing equity compensation plans or Common Shares issuable upon the exercise, vesting, settlement or conversion of any securities issued pursuant to any employment agreement, consulting agreement, advisory agreement, or other compensatory or incentive arrangement of the Company, whether now in effect or hereafter implemented; (c) the issuance of Common Shares upon the exercise or conversion of any options or warrants or other convertible securities outstanding as of the date of this Agreement; (d) the obligations in respect of the Company’s Shareholder Rights Plan, as disclosed to the Placement Agents; (e) the issuance or sale of Common Shares in connection with the Company’s at-the-market equity program, provided that no sales pursuant to this clause (e) shall be made until 15 days after the date of the Prospectus; (f) the issuance or sale of Common Shares or securities convertible into or exchangeable for shares of Common Shares as consideration for mergers, acquisitions, other business combinations, joint ventures, licensing consulting, or strategic alliances occurring after the date of this Agreement which are not issued for capital raising purposes, provided that (1) the aggregate number of Common Shares issued pursuant to clause (f) shall not exceed 10% of the total number of Common Shares outstanding immediately following the issuance and sale of the Securities pursuant to this Agreement, and (2) the recipient of such securities issued pursuant to clause (f) during the Restricted Period shall enter into (if it has not previously entered into) an agreement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For purposes of the foregoing, “Related Securities” shall mean any options or warrants or other rights to acquire Common Shares or any securities exchangeable or exercisable for or convertible into Common Shares, or to acquire other securities or rights ultimately exchangeable or exercisable for, or convertible into, Common Shares. For greater certainty, in the event that the Company determines not to proceed with the Transaction for any reason, all obligations of the Company under this Section 3 shall automatically terminate and be of no further force or effect, and the Company shall have no continuing liability or restriction hereunder.</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142" w:lineRule="exact"/>
        <w:rPr>
          <w:sz w:val="20"/>
          <w:szCs w:val="20"/>
          <w:color w:val="auto"/>
        </w:rPr>
      </w:pPr>
    </w:p>
    <w:p>
      <w:pPr>
        <w:jc w:val="both"/>
        <w:ind w:firstLine="8"/>
        <w:spacing w:after="0" w:line="244" w:lineRule="auto"/>
        <w:tabs>
          <w:tab w:leader="none" w:pos="6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Names, Agreement</w:t>
      </w:r>
      <w:r>
        <w:rPr>
          <w:rFonts w:ascii="Times New Roman" w:cs="Times New Roman" w:eastAsia="Times New Roman" w:hAnsi="Times New Roman"/>
          <w:sz w:val="22"/>
          <w:szCs w:val="22"/>
          <w:color w:val="auto"/>
        </w:rPr>
        <w:t>. The Company agrees that any reference to any Placement Agent in any release, communication or other material is subject to the respective Placement Agent's prior written approval, which may be given or withheld in its reasonable discretion, for each such reference.</w:t>
      </w:r>
    </w:p>
    <w:p>
      <w:pPr>
        <w:spacing w:after="0" w:line="146" w:lineRule="exact"/>
        <w:rPr>
          <w:rFonts w:ascii="Times New Roman" w:cs="Times New Roman" w:eastAsia="Times New Roman" w:hAnsi="Times New Roman"/>
          <w:sz w:val="22"/>
          <w:szCs w:val="22"/>
          <w:color w:val="auto"/>
        </w:rPr>
      </w:pPr>
    </w:p>
    <w:p>
      <w:pPr>
        <w:jc w:val="both"/>
        <w:ind w:firstLine="8"/>
        <w:spacing w:after="0" w:line="235" w:lineRule="auto"/>
        <w:tabs>
          <w:tab w:leader="none" w:pos="6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Subject to Section 11, the Company agrees to pay the Placement Agents at each closing of the Transaction, a fee (the “</w:t>
      </w:r>
      <w:r>
        <w:rPr>
          <w:rFonts w:ascii="Times New Roman" w:cs="Times New Roman" w:eastAsia="Times New Roman" w:hAnsi="Times New Roman"/>
          <w:sz w:val="22"/>
          <w:szCs w:val="22"/>
          <w:u w:val="single" w:color="auto"/>
          <w:color w:val="auto"/>
        </w:rPr>
        <w:t>Transaction Fee</w:t>
      </w:r>
      <w:r>
        <w:rPr>
          <w:rFonts w:ascii="Times New Roman" w:cs="Times New Roman" w:eastAsia="Times New Roman" w:hAnsi="Times New Roman"/>
          <w:sz w:val="22"/>
          <w:szCs w:val="22"/>
          <w:color w:val="auto"/>
        </w:rPr>
        <w:t xml:space="preserve">”) in an amount equal to (i) 6.0% of the aggregate gross proceeds received or to be received from the sale of Securities, including, without limitation, aggregate amounts committed by investors to purchase Securities, and (ii) 3.0% of the aggregate gross proceeds received or to be received from the sale of Securities, including, without limitation, aggregate amounts committed by investors to purchase Securities, to the investor included on the list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pay Jefferies 40.0% of such Transaction Fee, TD Cowen 32.5% of such Transaction Fee, Cantor 17.5% of such Transaction Fee and Bloom Burton 10.0% of such Transaction Fee.</w:t>
      </w:r>
    </w:p>
    <w:p>
      <w:pPr>
        <w:spacing w:after="0" w:line="142" w:lineRule="exact"/>
        <w:rPr>
          <w:rFonts w:ascii="Times New Roman" w:cs="Times New Roman" w:eastAsia="Times New Roman" w:hAnsi="Times New Roman"/>
          <w:sz w:val="22"/>
          <w:szCs w:val="22"/>
          <w:color w:val="auto"/>
        </w:rPr>
      </w:pPr>
    </w:p>
    <w:p>
      <w:pPr>
        <w:jc w:val="both"/>
        <w:ind w:firstLine="8"/>
        <w:spacing w:after="0" w:line="235" w:lineRule="auto"/>
        <w:tabs>
          <w:tab w:leader="none" w:pos="6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In addition to any fees that may be paid to the Placement Agents hereunder, whether or not any Transaction occurs, the Company will promptly reimburse the Placement Agents for, and the Placement Agents will separately bill, all out-of-pocket expenses (including fees and expenses of their counsel, ancillary expenses and the fees and expenses of any other independent experts retained by the Placement Agents) incurred by the Placement Agents and their designated affiliates in connection with the engagement contemplated hereby; provided that the amount of such fees and expenses for which the Placement Agents shall seek reimbursement from the Company under this Section 6 shall not exceed (i) $200,000 for fees and expenses of the Placement Agents’ counsel and (ii) $50,000 for all other fees and expenses hereunder, in each case in the aggregate without the Company’s consent.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8</w:t>
      </w:r>
    </w:p>
    <w:p>
      <w:pPr>
        <w:spacing w:after="0" w:line="142" w:lineRule="exact"/>
        <w:rPr>
          <w:sz w:val="20"/>
          <w:szCs w:val="20"/>
          <w:color w:val="auto"/>
        </w:rPr>
      </w:pPr>
    </w:p>
    <w:p>
      <w:pPr>
        <w:ind w:firstLine="8"/>
        <w:spacing w:after="0" w:line="258" w:lineRule="auto"/>
        <w:tabs>
          <w:tab w:leader="none" w:pos="6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The terms and provisions of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are incorporated by reference herein, constitute a part hereof and shall survive any termination or expiration of this Agreement.</w:t>
      </w:r>
    </w:p>
    <w:p>
      <w:pPr>
        <w:spacing w:after="0" w:line="131" w:lineRule="exact"/>
        <w:rPr>
          <w:rFonts w:ascii="Times New Roman" w:cs="Times New Roman" w:eastAsia="Times New Roman" w:hAnsi="Times New Roman"/>
          <w:sz w:val="22"/>
          <w:szCs w:val="22"/>
          <w:color w:val="auto"/>
        </w:rPr>
      </w:pPr>
    </w:p>
    <w:p>
      <w:pPr>
        <w:jc w:val="both"/>
        <w:ind w:firstLine="8"/>
        <w:spacing w:after="0" w:line="244" w:lineRule="auto"/>
        <w:tabs>
          <w:tab w:leader="none" w:pos="64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Each Placement Agent’s engagement hereunder will commence upon the execution of this Agreement by the Company and such Placement Agent, and the Agreement will remain in full force and effect (and will not be deemed completed) with respect to such Placement Agent until this Agreement is terminated. This Agreement may be terminated by the Company with respect to any Placement Agent on five days’ written notice to such Placement Agent; provided that the Company may not unilaterally terminate this Agreement prior to the date that is 30 days from the date hereof. For the avoidance of doubt, if any Securities Purchase Agreements are signed before this Agreement is terminated and the closing date for consummation of such transaction occurs after the termination date, the Company will be required to pay the Placement Agents the compensation described in Section 5. Any Placement Agent may terminate this Agreement, with respect to itself, at any time effective upon notice. The termination of this Agreement by the Company solely with respect to one Placement Agent, or the termination of this Agreement by any Placement Agent shall not impact the engagement hereunder of any other Placement Agent. For the avoidance of doubt, if this Agreement is terminated solely with respect to any Placement Agent, this Agreement shall remain in full force and effect in accordance with its terms with respect to any other Placement Agent. Upon any termination of this Agreement, the Company shall promptly reimburse the Placement Agent(s) for any unreimbursed expenses owed pursuant to Section 6. The obligations set forth in Sections 3-7, 10-17, and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shall survive any termination of this Agreement.</w:t>
      </w:r>
    </w:p>
    <w:p>
      <w:pPr>
        <w:spacing w:after="0" w:line="140" w:lineRule="exact"/>
        <w:rPr>
          <w:rFonts w:ascii="Times New Roman" w:cs="Times New Roman" w:eastAsia="Times New Roman" w:hAnsi="Times New Roman"/>
          <w:sz w:val="21"/>
          <w:szCs w:val="21"/>
          <w:color w:val="auto"/>
        </w:rPr>
      </w:pPr>
    </w:p>
    <w:p>
      <w:pPr>
        <w:jc w:val="both"/>
        <w:ind w:firstLine="8"/>
        <w:spacing w:after="0" w:line="234" w:lineRule="auto"/>
        <w:tabs>
          <w:tab w:leader="none" w:pos="6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Exclusivity</w:t>
      </w:r>
      <w:r>
        <w:rPr>
          <w:rFonts w:ascii="Times New Roman" w:cs="Times New Roman" w:eastAsia="Times New Roman" w:hAnsi="Times New Roman"/>
          <w:sz w:val="22"/>
          <w:szCs w:val="22"/>
          <w:color w:val="auto"/>
        </w:rPr>
        <w:t>. During the term of this Agreement, the Company will not, and will not permit any securityholder, affiliate, advisor or representative of the Company to engage any other party to perform any services or act in any capacity for which the Placement Agents have been engaged pursuant to this Agreement with respect to the Transaction without the prior written consent of each Placement Agent. It is expressly understood and agreed that the obligations of the Placement Agents hereunder are several and not joint and each Placement Agent will provide its services independently of the other Placement Agents and that no Placement Agent will rely upon any services or work performed by any other Placement Agent. No Placement Agent is or will be deemed for any purpose to be acting as an agent, joint venturer or partner of any other Placement Agent. The Company agrees that no Placement Agent shall have any liability to the Company or its securityholders for any actions or omissions of any other Placement Agent, and that no Placement Agent assumes responsibility, express or implied, for any actions or omissions of, or the performance of services by, another in connection with the Transaction or otherwise.</w:t>
      </w:r>
    </w:p>
    <w:p>
      <w:pPr>
        <w:spacing w:after="0" w:line="138"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Transactions; Disclaimer.</w:t>
      </w:r>
    </w:p>
    <w:p>
      <w:pPr>
        <w:spacing w:after="0" w:line="179"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that each of Jefferies’ parent, Jefferies Financial Group Inc. (collectively with its subsidiaries and affiliates, “</w:t>
      </w:r>
      <w:r>
        <w:rPr>
          <w:rFonts w:ascii="Times New Roman" w:cs="Times New Roman" w:eastAsia="Times New Roman" w:hAnsi="Times New Roman"/>
          <w:sz w:val="22"/>
          <w:szCs w:val="22"/>
          <w:u w:val="single" w:color="auto"/>
          <w:color w:val="auto"/>
        </w:rPr>
        <w:t>Jefferies Financial Group</w:t>
      </w:r>
      <w:r>
        <w:rPr>
          <w:rFonts w:ascii="Times New Roman" w:cs="Times New Roman" w:eastAsia="Times New Roman" w:hAnsi="Times New Roman"/>
          <w:sz w:val="22"/>
          <w:szCs w:val="22"/>
          <w:color w:val="auto"/>
        </w:rPr>
        <w:t>”), TD Cowen (a wholly-owned subsidiary of The Toronto-Dominion Bank, collectively with its subsidiaries and affiliates, “</w:t>
      </w:r>
      <w:r>
        <w:rPr>
          <w:rFonts w:ascii="Times New Roman" w:cs="Times New Roman" w:eastAsia="Times New Roman" w:hAnsi="Times New Roman"/>
          <w:sz w:val="22"/>
          <w:szCs w:val="22"/>
          <w:u w:val="single" w:color="auto"/>
          <w:color w:val="auto"/>
        </w:rPr>
        <w:t>TD Bank</w:t>
      </w:r>
      <w:r>
        <w:rPr>
          <w:rFonts w:ascii="Times New Roman" w:cs="Times New Roman" w:eastAsia="Times New Roman" w:hAnsi="Times New Roman"/>
          <w:sz w:val="22"/>
          <w:szCs w:val="22"/>
          <w:color w:val="auto"/>
        </w:rPr>
        <w:t>”), Cantor and Bloom Burton, is a leading global, full-service investment banking and capital markets firm that offers a full range of investment banking, equities, fixed income, asset and wealth management products and services (including, without limitation, investment management, corporate finance, securities underwriting, trading and research and brokerage activities), and which owns a legacy portfolio of, and may make certain investments in or acquisitions of, other businesses and companies, in each case from which conflicting interests, or duties, may arise, and that each of Jefferies Financial Group, TD Bank, Cantor and Bloom Burton maintains certain officers, directors and employees who also perform the same or similar roles for Jefferies, TD Cowen, Cantor and Bloom Burton. Information that is held elsewhere within each of Jefferies Financial Group, TD Bank, Cantor and Bloom Burton, but of which none of the individuals in the respective investment banking departments of Jefferies, TD Cowen, Cantor and Bloom Burton involved in providing the services contemplated by this Agreement actually has (or without breach of internal procedures can properly obtain) knowledge, will not for any purpose be taken into account in determining the responsibilities of Jefferies, TD Cowen, Cantor and Bloom Burton to the Company under this Agreement. Neither Jefferies Financial Group nor any of TD Bank, Cantor or Bloom Burton has or will have any duty to disclose to the Company or use for the Company’s benefit any non-public information acquired in the course of providing services to any other party, engaging in any transaction (on its own account or otherwise) or otherwise carrying on its business. In addition, in the ordinary course of business, Jefferies Financial Group, TD Bank, Cantor and Bloom Burton may trade the securities of the Company and of potential participants in the Transactions for its own account and for the accounts of customers, and may at any time hold a long or short position in such securities. Each of Jefferies, TD Cowen, Cantor and Bloom Burton recognizes its responsibility for compliance with applicable securities laws and regulations in connection with such activities. Further, the Company acknowledges that from time to time the respective research department of Jefferies, TD Cowen, Cantor and Bloom Burton may publish research reports or other materials, the substance and/or timing of which may conflict with the views or advice of the members of the respective investment banking departments of Jefferies, TD Cowen, Cantor and Bloom Burton, and may have an adverse effect on the Company’s interests in connection with the Transaction or otherwise. The respective investment banking departments of Jefferies, TD Cowen, Cantor and Bloom Burton are managed separately from their respective research departments and do not have the ability to prevent such occurrences. Jefferies Financial Group, TD Bank, Cantor and Bloom Burton and their respective directors, officers and employees may also at any time invest on a principal basis or manage or advise funds that invest on a principal basis in any company that may be involved in the Transaction contemplated hereby.</w:t>
      </w:r>
    </w:p>
    <w:p>
      <w:pPr>
        <w:sectPr>
          <w:pgSz w:w="11900" w:h="16838" w:orient="portrait"/>
          <w:cols w:equalWidth="0" w:num="1">
            <w:col w:w="11240"/>
          </w:cols>
          <w:pgMar w:left="320" w:top="108" w:right="339" w:bottom="526"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526"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9</w:t>
      </w:r>
    </w:p>
    <w:p>
      <w:pPr>
        <w:spacing w:after="0" w:line="142" w:lineRule="exact"/>
        <w:rPr>
          <w:sz w:val="20"/>
          <w:szCs w:val="20"/>
          <w:color w:val="auto"/>
        </w:rPr>
      </w:pPr>
    </w:p>
    <w:p>
      <w:pPr>
        <w:jc w:val="both"/>
        <w:ind w:firstLine="656"/>
        <w:spacing w:after="0" w:line="244" w:lineRule="auto"/>
        <w:tabs>
          <w:tab w:leader="none" w:pos="129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and agrees that (i) each of the Placement Agents will act as independent contractors hereunder, each Placement Agent's responsibility is solely owed to the Company and contractual in nature, and neither Placement Agent owes the Company, or any other person or entity (including, without limitation, any securityholders, affiliates, creditors or employees of the Company), any fiduciary or similar duty as a result of its engagement hereunder or otherwise, (ii) each of the Placement Agents and its respective affiliates will not be liable for any losses, claims, damages or liabilities arising out of the actions taken, omissions of or advice given by other parties who are providing services to the Company, (iii) each of the Placement Agents may provide tools or online document repository spaces to facilitate the Transaction, that such products or services are provided by third party vendors and that the Company uses those products or services at its own risk, (iv) each of the Placement Agents is not an advisor as to legal, tax, accounting or regulatory matters in any jurisdiction, (v) the Company has consulted, and will consult, as appropriate, with its own advisors concerning such matters and shall be responsible for making its own independent investigation and appraisal of this Agreement and the Transaction contemplated hereby, and that each of the Placement Agents and its respective affiliates shall have no responsibility or liability with respect thereto, and (vi) the Company is capable of evaluating the merits and risks of such Transaction and the fees payable in connection therewith and that it understands and accepts the terms, conditions, and risks of such Transaction and fees.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10</w:t>
      </w:r>
    </w:p>
    <w:p>
      <w:pPr>
        <w:spacing w:after="0" w:line="142" w:lineRule="exact"/>
        <w:rPr>
          <w:sz w:val="20"/>
          <w:szCs w:val="20"/>
          <w:color w:val="auto"/>
        </w:rPr>
      </w:pPr>
    </w:p>
    <w:p>
      <w:pPr>
        <w:jc w:val="both"/>
        <w:ind w:firstLine="656"/>
        <w:spacing w:after="0" w:line="234" w:lineRule="auto"/>
        <w:tabs>
          <w:tab w:leader="none" w:pos="129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Transaction involving the offer and sale by the Company of any securities, (i) such sale, including the determination of the price of such securities, shall be an arm's-length commercial transaction between the Company and the other parties to a Transaction, (ii) each of the Placement Agents will not be the agent or fiduciary of the Company or its securityholders, affiliates, creditors, employees or any other party, (iii) each of the Placement Agents shall not assume fiduciary responsibility in favor of the Company (irrespective of whether such Placement Agent has advised or are currently advising the Company on other matters) and each Placement Agent shall have no obligation to the Company with respect to any Transaction except as may be set forth herein, and (iv) the Company agrees that it will not hold any Placement Agent liable or responsible in the event that a Transaction is not successfully consummated, including but not limited to, as a result of an adverse change in the financial or securities markets, insufficient demand for instruments similar to the Securities or lack of interest by investors in the Transaction.</w:t>
      </w:r>
    </w:p>
    <w:p>
      <w:pPr>
        <w:spacing w:after="0" w:line="152" w:lineRule="exact"/>
        <w:rPr>
          <w:rFonts w:ascii="Times New Roman" w:cs="Times New Roman" w:eastAsia="Times New Roman" w:hAnsi="Times New Roman"/>
          <w:sz w:val="22"/>
          <w:szCs w:val="22"/>
          <w:color w:val="auto"/>
        </w:rPr>
      </w:pPr>
    </w:p>
    <w:p>
      <w:pPr>
        <w:ind w:firstLine="8"/>
        <w:spacing w:after="0" w:line="258" w:lineRule="auto"/>
        <w:tabs>
          <w:tab w:leader="none" w:pos="64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laws of the State of New York, applicable to contracts made and to be performed therein, without regard to conflict of laws provisions.</w:t>
      </w:r>
    </w:p>
    <w:p>
      <w:pPr>
        <w:spacing w:after="0" w:line="117" w:lineRule="exact"/>
        <w:rPr>
          <w:rFonts w:ascii="Times New Roman" w:cs="Times New Roman" w:eastAsia="Times New Roman" w:hAnsi="Times New Roman"/>
          <w:sz w:val="22"/>
          <w:szCs w:val="22"/>
          <w:color w:val="auto"/>
        </w:rPr>
      </w:pPr>
    </w:p>
    <w:p>
      <w:pPr>
        <w:jc w:val="both"/>
        <w:ind w:firstLine="8"/>
        <w:spacing w:after="0" w:line="243" w:lineRule="auto"/>
        <w:tabs>
          <w:tab w:leader="none" w:pos="64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Jurisdiction</w:t>
      </w:r>
      <w:r>
        <w:rPr>
          <w:rFonts w:ascii="Times New Roman" w:cs="Times New Roman" w:eastAsia="Times New Roman" w:hAnsi="Times New Roman"/>
          <w:sz w:val="21"/>
          <w:szCs w:val="21"/>
          <w:color w:val="auto"/>
        </w:rPr>
        <w:t>. Except as set forth below, the parties agree that any dispute, claim or controversy directly or indirectly relating to or arising out of this Agreement, the termination or validity of this Agreement, any alleged breach of this Agreement, the engagement contemplated by this Agreement or the determination of the scope of applicability of this Agreement to this Section 12 (any of the foregoing, a “</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xml:space="preserve">”) shall be commenced exclusively in the state and federal courts sitting in the City of New York, Borough of Manhattan, which courts shall have exclusive jurisdiction over the adjudication of such matters and shall decide the merits of each Claim on the basis of the internal laws of the State of New York without regard to principles of conflicts of law. The Company and each Placement Agent agree and consent to personal jurisdiction, service of process and venue of such court, waive all right to trial by jury for any Claim and agree not to assert the defense of forum non-conveniens. The Company and each Placement Agent agree and consent to personal jurisdiction, service of process and venue of such court, waive all right to trial by jury for any Claim and agree not to assert the defense of forum non-conveniens. The Company and each Placement Agent also agree that service of process may be effected through next-day delivery using a nationally-recognized overnight courier or personally delivered to the addresses set forth or referred to in Section 15 hereof. The Company shall pay all of each Placement Agent’s reasonable and documented costs and expenses (including, without limitation, reasonable and documented fees and expenses of counsel) in an enforcement proceeding if the court in such proceeding determines that each Placement Agent is entitled to recover amounts due hereunder. The Company and each Placement Agent further agree that a final, non-appealable judgment in respect of any Claim brought in any such court shall be binding and may be enforced in any other court having jurisdiction over the party against whom the judgment is sought to be enforced. Neither Placement Agent or any of the Indemnified Persons (as defined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nor the Company or its affiliates, shall be responsible or have any liability for any indirect, special or consequential damages arising out of or in connection with this Agreement or the Transaction contemplated hereby, even if advised of the possibility thereof; provided that the foregoing shall not place any limitation on the Company’s indemnification obligations under this Section 12 and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in connection with third-party claims. In addition, the Company agrees that irreparable harm to each Placement Agent will result in the event the Company fails, within 10 days of the receipt of a written demand from such Placement Agent, to pay any of the fees payable pursuant to the engagement hereunder, and in such event the Company agrees that each of the Placement Agents may obtain, at its discretion, and in addition to any other remedies available to it, at law or in equity, either specific performance or summary judgment in lieu of complaint from any such court. The Company also hereby consents to personal jurisdiction, service and venue in any court in which any Action (as defined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is brought by any third party against any Placement Agent or any Indemnified Person.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11</w:t>
      </w:r>
    </w:p>
    <w:p>
      <w:pPr>
        <w:spacing w:after="0" w:line="142" w:lineRule="exact"/>
        <w:rPr>
          <w:sz w:val="20"/>
          <w:szCs w:val="20"/>
          <w:color w:val="auto"/>
        </w:rPr>
      </w:pPr>
    </w:p>
    <w:p>
      <w:pPr>
        <w:ind w:left="700" w:hanging="692"/>
        <w:spacing w:after="0"/>
        <w:tabs>
          <w:tab w:leader="none" w:pos="7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to be made to the Placement Agents hereunder shall be non-refundable and made in cash by wire transfer of immediately available U.S. funds. If the fees to be paid to the Placement Agents are denominated in a currency other than U.S. dollars, such fees shall be converted into U.S. dollars at the closing mid-market exchange rate in New York on the business day prior to that on which payment of the fees is to be made. No fee payable to the Placement Agents hereunder shall be credited against any other fee due to any Placement Agent. The Company's obligation to pay any fee or expense set forth herein shall be absolute and unconditional and shall not be subject to reduction by way of setoff, recoupment or counterclaim.</w:t>
      </w:r>
    </w:p>
    <w:p>
      <w:pPr>
        <w:spacing w:after="0" w:line="130" w:lineRule="exact"/>
        <w:rPr>
          <w:rFonts w:ascii="Times New Roman" w:cs="Times New Roman" w:eastAsia="Times New Roman" w:hAnsi="Times New Roman"/>
          <w:sz w:val="21"/>
          <w:szCs w:val="21"/>
          <w:color w:val="auto"/>
        </w:rPr>
      </w:pPr>
    </w:p>
    <w:p>
      <w:pPr>
        <w:jc w:val="both"/>
        <w:ind w:firstLine="656"/>
        <w:spacing w:after="0" w:line="238" w:lineRule="auto"/>
        <w:tabs>
          <w:tab w:leader="none" w:pos="129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payable to the Placement Agents or any other Indemnified Person under the terms of the Agreement shall be paid to the Placement Agents or any other Indemnified Person in U.S. dollars, free and clear of all deductions or withholdings. If the deduction or withholding is required by law, the Company will pay such additional amount as will be required to ensure that the net amount received by the Placement Agents or any other Indemnified Person is equal to the amount it would have received had no such deduction or withholding or charge been made.</w:t>
      </w:r>
    </w:p>
    <w:p>
      <w:pPr>
        <w:spacing w:after="0" w:line="136"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and expenses payable under the provisions of the Agreement are subject to any applicable value added, sales, turnover, consumption or similar tax, which will be payable by or charged to the Company.</w:t>
      </w:r>
    </w:p>
    <w:p>
      <w:pPr>
        <w:spacing w:after="0" w:line="131" w:lineRule="exact"/>
        <w:rPr>
          <w:rFonts w:ascii="Times New Roman" w:cs="Times New Roman" w:eastAsia="Times New Roman" w:hAnsi="Times New Roman"/>
          <w:sz w:val="22"/>
          <w:szCs w:val="22"/>
          <w:color w:val="auto"/>
        </w:rPr>
      </w:pPr>
    </w:p>
    <w:p>
      <w:pPr>
        <w:jc w:val="both"/>
        <w:ind w:firstLine="8"/>
        <w:spacing w:after="0" w:line="236" w:lineRule="auto"/>
        <w:tabs>
          <w:tab w:leader="none" w:pos="68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Announcements, etc</w:t>
      </w:r>
      <w:r>
        <w:rPr>
          <w:rFonts w:ascii="Times New Roman" w:cs="Times New Roman" w:eastAsia="Times New Roman" w:hAnsi="Times New Roman"/>
          <w:sz w:val="22"/>
          <w:szCs w:val="22"/>
          <w:color w:val="auto"/>
        </w:rPr>
        <w:t>. The Company agrees that each Placement Agent may, following consummation of a Transaction, describe the Transaction in any form of media or in such Placement Agent's marketing materials, stating such Placement Agent's role and other material terms of the Transaction and using the Company's name and logo in connection therewith. The Company agrees that any press release it may issue announcing a Transaction will, at each Placement Agent's request, contain a reference to such Placement Agent's role in connection with the Transaction in form and substance reasonably satisfactory to the applicable Placement Agent.</w:t>
      </w:r>
    </w:p>
    <w:p>
      <w:pPr>
        <w:spacing w:after="0" w:line="140" w:lineRule="exact"/>
        <w:rPr>
          <w:rFonts w:ascii="Times New Roman" w:cs="Times New Roman" w:eastAsia="Times New Roman" w:hAnsi="Times New Roman"/>
          <w:sz w:val="22"/>
          <w:szCs w:val="22"/>
          <w:color w:val="auto"/>
        </w:rPr>
      </w:pPr>
    </w:p>
    <w:p>
      <w:pPr>
        <w:jc w:val="both"/>
        <w:ind w:firstLine="8"/>
        <w:spacing w:after="0" w:line="227" w:lineRule="auto"/>
        <w:tabs>
          <w:tab w:leader="none" w:pos="68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 required to be given in writing pursuant to any of the provisions of this Agreement shall be mailed by next-day delivery using a nationally-recognized overnight courier or hand-delivered (a) if to the Company, at the address set forth above, (b) if to Jefferies, at 520 Madison Avenue, New York, New York 10022, Attention: General Counsel, (c) if to TD Cowen, at 1 Vanderbilt Avenue, 11</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Floor, New York, New York 10017 Attention: Equity Capital Markets, email:</w:t>
      </w:r>
      <w:r>
        <w:rPr>
          <w:rFonts w:ascii="Times New Roman" w:cs="Times New Roman" w:eastAsia="Times New Roman" w:hAnsi="Times New Roman"/>
          <w:sz w:val="1"/>
          <w:szCs w:val="1"/>
          <w:color w:val="auto"/>
        </w:rPr>
        <w:drawing>
          <wp:inline distT="0" distB="0" distL="0" distR="0">
            <wp:extent cx="1294130" cy="1460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94130" cy="146050"/>
                    </a:xfrm>
                    <a:prstGeom prst="rect">
                      <a:avLst/>
                    </a:prstGeom>
                    <a:noFill/>
                    <a:ln>
                      <a:noFill/>
                    </a:ln>
                  </pic:spPr>
                </pic:pic>
              </a:graphicData>
            </a:graphic>
          </wp:inline>
        </w:drawing>
      </w:r>
    </w:p>
    <w:p>
      <w:pPr>
        <w:spacing w:after="0" w:line="184" w:lineRule="auto"/>
        <w:rPr>
          <w:sz w:val="20"/>
          <w:szCs w:val="20"/>
          <w:color w:val="auto"/>
        </w:rPr>
      </w:pPr>
      <w:r>
        <w:rPr>
          <w:sz w:val="1"/>
          <w:szCs w:val="1"/>
          <w:color w:val="auto"/>
        </w:rPr>
        <w:drawing>
          <wp:inline distT="0" distB="0" distL="0" distR="0">
            <wp:extent cx="34290" cy="1460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Times New Roman" w:cs="Times New Roman" w:eastAsia="Times New Roman" w:hAnsi="Times New Roman"/>
          <w:sz w:val="21"/>
          <w:szCs w:val="21"/>
          <w:color w:val="auto"/>
        </w:rPr>
        <w:t>, (d) if to Cantor, at 110 East 59</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Street, 6</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Floor, New York, New York 10022, Attention: General Counsel, email: </w:t>
      </w:r>
      <w:r>
        <w:rPr>
          <w:sz w:val="1"/>
          <w:szCs w:val="1"/>
          <w:color w:val="auto"/>
        </w:rPr>
        <w:drawing>
          <wp:inline distT="0" distB="0" distL="0" distR="0">
            <wp:extent cx="677545" cy="1460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77545" cy="146050"/>
                    </a:xfrm>
                    <a:prstGeom prst="rect">
                      <a:avLst/>
                    </a:prstGeom>
                    <a:noFill/>
                    <a:ln>
                      <a:noFill/>
                    </a:ln>
                  </pic:spPr>
                </pic:pic>
              </a:graphicData>
            </a:graphic>
          </wp:inline>
        </w:drawing>
      </w:r>
    </w:p>
    <w:p>
      <w:pPr>
        <w:spacing w:after="0"/>
        <w:rPr>
          <w:sz w:val="20"/>
          <w:szCs w:val="20"/>
          <w:color w:val="auto"/>
        </w:rPr>
      </w:pPr>
      <w:r>
        <w:rPr>
          <w:sz w:val="1"/>
          <w:szCs w:val="1"/>
          <w:color w:val="auto"/>
        </w:rPr>
        <w:drawing>
          <wp:inline distT="0" distB="0" distL="0" distR="0">
            <wp:extent cx="779780" cy="1238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79780" cy="12382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and (e) if to Bloom Burton, at 181 Bay Street, Suite 3410, Toronto, Ontario, M5J 2T3, Attention: Jolyon Burton,</w:t>
      </w:r>
    </w:p>
    <w:p>
      <w:pPr>
        <w:spacing w:after="0"/>
        <w:rPr>
          <w:sz w:val="20"/>
          <w:szCs w:val="20"/>
          <w:color w:val="auto"/>
        </w:rPr>
      </w:pPr>
      <w:r>
        <w:rPr>
          <w:rFonts w:ascii="Times New Roman" w:cs="Times New Roman" w:eastAsia="Times New Roman" w:hAnsi="Times New Roman"/>
          <w:sz w:val="22"/>
          <w:szCs w:val="22"/>
          <w:color w:val="auto"/>
        </w:rPr>
        <w:t xml:space="preserve">President and Head of Investment Banking, email: </w:t>
      </w:r>
      <w:r>
        <w:rPr>
          <w:sz w:val="1"/>
          <w:szCs w:val="1"/>
          <w:color w:val="auto"/>
        </w:rPr>
        <w:drawing>
          <wp:inline distT="0" distB="0" distL="0" distR="0">
            <wp:extent cx="1337310" cy="1333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337310" cy="133350"/>
                    </a:xfrm>
                    <a:prstGeom prst="rect">
                      <a:avLst/>
                    </a:prstGeom>
                    <a:noFill/>
                    <a:ln>
                      <a:noFill/>
                    </a:ln>
                  </pic:spPr>
                </pic:pic>
              </a:graphicData>
            </a:graphic>
          </wp:inline>
        </w:drawing>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12</w:t>
      </w:r>
    </w:p>
    <w:p>
      <w:pPr>
        <w:spacing w:after="0" w:line="142" w:lineRule="exact"/>
        <w:rPr>
          <w:sz w:val="20"/>
          <w:szCs w:val="20"/>
          <w:color w:val="auto"/>
        </w:rPr>
      </w:pPr>
    </w:p>
    <w:p>
      <w:pPr>
        <w:jc w:val="both"/>
        <w:ind w:firstLine="8"/>
        <w:spacing w:after="0" w:line="231" w:lineRule="auto"/>
        <w:tabs>
          <w:tab w:leader="none" w:pos="68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This Agreement constitutes the entire agreement between the parties with respect to the subject matter hereof, and may not be amended or modified except in writing signed by each party hereto. For the avoidance of doubt, any previous engagement letters, sales agreements and other agreements between the parties hereto remain in full force and effect in accordance with their terms. This Agreement may not be assigned by either party hereto without the prior written consent of the other, to be given in the sole discretion of the party from whom such consent is being requested. Any attempted assignment of this Agreement made without such consent shall be void and of no effect, at the option of the non-assigning party. This Agreement is binding upon and inures to the benefit of each party's permitted successors and permitted assigns. This Agreement is solely for the benefit of the Company, each Placement Agent, and, to the extent expressly set forth herein, the Indemnified Persons and no other party shall be a third party beneficiary to, or otherwise acquire or have any rights under or by virtue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Jefferies, TD Cowen and the other Placement Agents may, in the performance of their services hereunder, procure the services of other members of Jefferies Financial Group, TD Bank or their affiliates, respectively, which members or affiliates shall be entitled to the benefits and subject to the terms of this Agreement. If any provision hereof shall be held by a court of competent jurisdiction to be invalid, void or unenforceable in any respect, or against public policy, such determination shall not affect such provision in any other respect nor any other provision hereof. Headings used herein are for convenience of reference only and shall not affect the interpretation or construction of this Agreement. All references to "$" or "dollars" herein shall be references to U.S. dollars. Each of the Company and the Placement Agents are referred to herein as a "Party" and together, the "Parties." "Third party" as used herein shall mean any party other than the Parties. Any reference herein to a statute shall mean the statute in force as at the date of this Agreement (together with all regulations promulgated thereunder), as the same may be amended, re-enacted, consolidated or replaced from time to time, and any successor statute thereto, unless otherwise expressly provided. No failure or delay by any Placement Agent in exercising any right, power or remedy hereunder or pursuant hereto, or any failure to give notice of any breach of or to require compliance with any term of this Agreement, shall operate as a waiver thereof. This Agreement may be executed in facsimile or other electronic counterparts (including any electronic signature covered by the U.S. federal ESIGN Act of 2000, Uniform Electronic Transactions Act, the Electronic Signatures and Records Act or other applicable law, e.g., www.docusign.com), each of which will be deemed to be an original and all of which together will be deemed to be one and the same document. This Agreement has been reviewed by each of the signatories hereto and its counsel. There shall be no construction of any provision against any Placement Agent because this Agreement was drafted by the Placement Agents, and the parties waive any statute or rule of law to such effect. For the purposes of this Agreement, “business day” means any day, other than a Saturday or Sunday, on which banks are open for business in Toronto, Ontario.</w:t>
      </w:r>
    </w:p>
    <w:p>
      <w:pPr>
        <w:spacing w:after="0" w:line="174" w:lineRule="exact"/>
        <w:rPr>
          <w:rFonts w:ascii="Times New Roman" w:cs="Times New Roman" w:eastAsia="Times New Roman" w:hAnsi="Times New Roman"/>
          <w:sz w:val="22"/>
          <w:szCs w:val="22"/>
          <w:color w:val="auto"/>
        </w:rPr>
      </w:pPr>
    </w:p>
    <w:p>
      <w:pPr>
        <w:jc w:val="both"/>
        <w:ind w:firstLine="8"/>
        <w:spacing w:after="0" w:line="239" w:lineRule="auto"/>
        <w:tabs>
          <w:tab w:leader="none" w:pos="64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Each Placement Agent hereby notifies the Company that pursuant to the requirements of the USA PATRIOT Improvement and Reauthorization Act. Pub. L. N 109-177 (Mar. 9, 2006)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it is required to obtain, verify and record information that identifies the Company in a manner that satisfies the requirements of the Patriot Act. This notice is given in accordance with the requirements of the Patriot Act.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2025</w:t>
      </w:r>
    </w:p>
    <w:p>
      <w:pPr>
        <w:spacing w:after="0"/>
        <w:rPr>
          <w:sz w:val="20"/>
          <w:szCs w:val="20"/>
          <w:color w:val="auto"/>
        </w:rPr>
      </w:pPr>
      <w:r>
        <w:rPr>
          <w:rFonts w:ascii="Times New Roman" w:cs="Times New Roman" w:eastAsia="Times New Roman" w:hAnsi="Times New Roman"/>
          <w:sz w:val="22"/>
          <w:szCs w:val="22"/>
          <w:color w:val="auto"/>
        </w:rPr>
        <w:t>Page 13</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Please sign below and return to each Placement Agent to indicate the Company's acceptance of the terms set forth herein, and once executed by each of the Placement Agents and the Company, this Agreement shall constitute a binding agreement between the Company and each Placement Agent as of the date first written above.</w:t>
      </w:r>
    </w:p>
    <w:p>
      <w:pPr>
        <w:spacing w:after="0" w:line="15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 Bedir Shather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Bedir Shather</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22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 Brian Hagerty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Brian Hagerty</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CANTOR FITZGERALD &amp; CO.</w:t>
      </w:r>
    </w:p>
    <w:p>
      <w:pPr>
        <w:spacing w:after="0" w:line="22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 Asif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Asif Ahmed</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BLOOM BURTON SECURITIES INC.</w:t>
      </w:r>
    </w:p>
    <w:p>
      <w:pPr>
        <w:spacing w:after="0" w:line="22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 James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James Rowland</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Managing Director, Investment Banking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its present and future affiliates and subsidiaries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used thereby to facilitate the transactions contemplated hereby</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831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So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color w:val="auto"/>
        </w:rPr>
        <w:t>SCHEDULE 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is made to the Agreement attached hereto between each Placement Agent (as defined therein) and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noted, all capitalized terms used herein shall have the meanings set forth in the Agreement.</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As further consideration under the Agreement, the Company agrees to indemnify and hold harmless each Placement Agent and its affiliates, and each of their respective officers, directors, managers, members, partners, employees and agents, and any other persons controlling such Placement Agent or any of its affiliates and their successors and permitted assigns (collectively, "</w:t>
      </w:r>
      <w:r>
        <w:rPr>
          <w:rFonts w:ascii="Times New Roman" w:cs="Times New Roman" w:eastAsia="Times New Roman" w:hAnsi="Times New Roman"/>
          <w:sz w:val="21"/>
          <w:szCs w:val="21"/>
          <w:u w:val="single" w:color="auto"/>
          <w:color w:val="auto"/>
        </w:rPr>
        <w:t>Indemnified Persons</w:t>
      </w:r>
      <w:r>
        <w:rPr>
          <w:rFonts w:ascii="Times New Roman" w:cs="Times New Roman" w:eastAsia="Times New Roman" w:hAnsi="Times New Roman"/>
          <w:sz w:val="21"/>
          <w:szCs w:val="21"/>
          <w:color w:val="auto"/>
        </w:rPr>
        <w:t>"), to the fullest extent lawful, from and against any and all claims, liabilities, losses, actions, suits, proceedings, third party subpoenas, damages, costs and expenses (an "</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xml:space="preserve">") (including, without limitation, full reimbursement of all reasonable and documented fees and expenses of counsel incurred in investigating, preparing or defending against any such Action and in enforcing the terms of this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as incurred, (a) related to or arising out of or in connection with any untrue or alleged untrue statement of material fact contained in the Offering Materials or other information provided by or on behalf of the Company to the Placement Agents, investors or parties to a Transaction, or omission or alleged omission to state a material fact necessary to make the statements contained therein, in light of the circumstances in which they were made, not misleading or</w:t>
      </w:r>
    </w:p>
    <w:p>
      <w:pPr>
        <w:spacing w:after="0" w:line="9" w:lineRule="exact"/>
        <w:rPr>
          <w:sz w:val="20"/>
          <w:szCs w:val="20"/>
          <w:color w:val="auto"/>
        </w:rPr>
      </w:pPr>
    </w:p>
    <w:p>
      <w:pPr>
        <w:jc w:val="both"/>
        <w:ind w:firstLine="8"/>
        <w:spacing w:after="0" w:line="232" w:lineRule="auto"/>
        <w:tabs>
          <w:tab w:leader="none" w:pos="31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related to or arising out of or in connection with each Placement Agent's services (whether occurring before, at or after the date hereof) under the Agreement, or the Transaction or any proposed transaction contemplated by the Agreement or any Indemnified Person's role in connection therewith, whether or not resulting from an Indemnified Person's negligence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the foregoing clause (b), the Company shall not be responsible for any Excluded Losses. "</w:t>
      </w:r>
      <w:r>
        <w:rPr>
          <w:rFonts w:ascii="Times New Roman" w:cs="Times New Roman" w:eastAsia="Times New Roman" w:hAnsi="Times New Roman"/>
          <w:sz w:val="22"/>
          <w:szCs w:val="22"/>
          <w:u w:val="single" w:color="auto"/>
          <w:color w:val="auto"/>
        </w:rPr>
        <w:t>Excluded Losses</w:t>
      </w:r>
      <w:r>
        <w:rPr>
          <w:rFonts w:ascii="Times New Roman" w:cs="Times New Roman" w:eastAsia="Times New Roman" w:hAnsi="Times New Roman"/>
          <w:sz w:val="22"/>
          <w:szCs w:val="22"/>
          <w:color w:val="auto"/>
        </w:rPr>
        <w:t>" shall mean Losses that arise out of or are based on any action of or failure to act by a Placement Agent to the extent such Losses are determined, by a final, non-appealable judgment by a court, to have resulted solely from such Placement Agent's gross negligence or willful misconduct (other than an action or failure to act undertaken at the request or with the consent of the Company).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agrees that no Indemnified Person shall have any liability to the Company or its owners, parents, affiliates, securityholders or creditors for any Losses, except for Excluded Losses.</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agrees that it will not settle, facilitate any settlement of, or compromise or consent to the entry of any judgment in, or otherwise seek to terminate, any pending or threatened Action in respect of which indemnification or contribution may be sought hereunder (whether or not any Indemnified Person is a party to such Action) unless each Placement Agent has given its prior written consent, or the settlement, compromise, consent or termination (i) includes an express unconditional release of such Indemnified Person from all Losses arising out of such Action and (ii) does not include any admission or assumption of fault on the part of any Indemnified Person.</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for any reason (other than by reason of a final, non-appealable judgment by a court as to the gross negligence or willful misconduct of a Placement Agent as provided above) the foregoing indemnity is judicially determined to be unavailable to an Indemnified Person for any reason or insufficient to hold any Indemnified Person harmless, then the Company agrees to contribute to any such Losses in such proportion as is appropriate to reflect the relative benefits received or proposed to be received by the Company and its securityholders, on the one hand, and by each Placement Agent, on the other, from the Transaction or proposed Transaction or, if allocation on that basis is not permitted under applicable law, in such proportion as is appropriate to reflect not only the relative benefits received by the Company and its securityholders, on the one hand, and each Placement Agent, on the other, but also the relative fault of the Company and its securityholders on the one hand, and each Placement Agent, on the other, as well as any relevant equitable considerations. Notwithstanding the provisions hereof, the aggregate contribution of all Indemnified Persons to all Losses shall not exceed the amount of fees actually received by any Placement Agent with respect to the services rendered pursuant to the Agreement. Relative benefits to the Company and its securityholders, on the one hand, and to each Placement Agent, on the other hand, shall be deemed to be in the same proportion as (i) the total transaction value of the Transaction or the proposed Transaction bears to (ii) all fees actually received by each Placement Agent in connection with the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jc w:val="both"/>
        <w:spacing w:after="0" w:line="253" w:lineRule="auto"/>
        <w:rPr>
          <w:sz w:val="20"/>
          <w:szCs w:val="20"/>
          <w:color w:val="auto"/>
        </w:rPr>
      </w:pPr>
      <w:r>
        <w:rPr>
          <w:rFonts w:ascii="Times New Roman" w:cs="Times New Roman" w:eastAsia="Times New Roman" w:hAnsi="Times New Roman"/>
          <w:sz w:val="21"/>
          <w:szCs w:val="21"/>
          <w:color w:val="auto"/>
        </w:rPr>
        <w:t>The indemnity, contribution and expense reimbursement obligations set forth herein (i) shall be in addition to any liability the Company may have to any Indemnified Person at common law or otherwise, (ii) shall survive the termination of the Agreement,</w:t>
      </w:r>
    </w:p>
    <w:p>
      <w:pPr>
        <w:spacing w:after="0" w:line="1" w:lineRule="exact"/>
        <w:rPr>
          <w:sz w:val="20"/>
          <w:szCs w:val="20"/>
          <w:color w:val="auto"/>
        </w:rPr>
      </w:pPr>
    </w:p>
    <w:p>
      <w:pPr>
        <w:jc w:val="both"/>
        <w:ind w:firstLine="8"/>
        <w:spacing w:after="0" w:line="231" w:lineRule="auto"/>
        <w:tabs>
          <w:tab w:leader="none" w:pos="3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apply to any modification of any Placement Agent's engagement, (iv) shall remain operative and in full force and effect regardless of any investigation made by or on behalf of any Placement Agent or any other Indemnified Person, (v) shall be binding on any successor or assign of the Company and successors or assigns to the Company's business and assets and (vi) shall inure to the benefit of any successor or assign of any Indemnified Person. For a period beginning on the date hereof and ending on that date which is three years from termination of this Agreement, prior to entering into any agreement or arrangement with respect to, or effecting, any proposed sale, exchange, dividend or other distribution or liquidation of all or a significant portion of its assets in one or a series of transactions or any significant recapitalization or reclassification of its outstanding securities that does not directly or indirectly provide for the assumption of the obligations of the Company set forth in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the Company will notify each Placement Agent in writing thereof (if not previously notified) and, if requested by such Placement Agent, shall arrange in connection therewith alternative means of providing for obligations of the Company set forth in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including the assumption of such obligations by another party, insurance, surety bonds or the creation of an escrow, in each case in an amount and upon terms and conditions satisfactory to each Placement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any action, proceeding or investigation is pending at the end of such three-year period for which a claim for indemnification, contribution or reimbursement under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has been made, the Company's obligations hereunder shall continue until such action, proceeding or investigation has been ultimately resolved.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83"/>
        </w:trPr>
        <w:tc>
          <w:tcPr>
            <w:tcW w:w="3080" w:type="dxa"/>
            <w:vAlign w:val="bottom"/>
          </w:tcPr>
          <w:p>
            <w:pPr>
              <w:spacing w:after="0"/>
              <w:rPr>
                <w:sz w:val="24"/>
                <w:szCs w:val="24"/>
                <w:color w:val="auto"/>
              </w:rPr>
            </w:pPr>
          </w:p>
        </w:tc>
        <w:tc>
          <w:tcPr>
            <w:tcW w:w="4320" w:type="dxa"/>
            <w:vAlign w:val="bottom"/>
          </w:tcPr>
          <w:p>
            <w:pPr>
              <w:jc w:val="center"/>
              <w:ind w:left="657"/>
              <w:spacing w:after="0"/>
              <w:rPr>
                <w:sz w:val="20"/>
                <w:szCs w:val="20"/>
                <w:color w:val="auto"/>
              </w:rPr>
            </w:pPr>
            <w:r>
              <w:rPr>
                <w:rFonts w:ascii="Times New Roman" w:cs="Times New Roman" w:eastAsia="Times New Roman" w:hAnsi="Times New Roman"/>
                <w:sz w:val="22"/>
                <w:szCs w:val="22"/>
                <w:color w:val="auto"/>
                <w:w w:val="98"/>
              </w:rPr>
              <w:t>EXHIBIT A</w:t>
            </w:r>
          </w:p>
        </w:tc>
      </w:tr>
      <w:tr>
        <w:trPr>
          <w:trHeight w:val="419"/>
        </w:trPr>
        <w:tc>
          <w:tcPr>
            <w:tcW w:w="3080" w:type="dxa"/>
            <w:vAlign w:val="bottom"/>
          </w:tcPr>
          <w:p>
            <w:pPr>
              <w:spacing w:after="0"/>
              <w:rPr>
                <w:sz w:val="24"/>
                <w:szCs w:val="24"/>
                <w:color w:val="auto"/>
              </w:rPr>
            </w:pPr>
          </w:p>
        </w:tc>
        <w:tc>
          <w:tcPr>
            <w:tcW w:w="4320" w:type="dxa"/>
            <w:vAlign w:val="bottom"/>
          </w:tcPr>
          <w:p>
            <w:pPr>
              <w:jc w:val="center"/>
              <w:ind w:left="677"/>
              <w:spacing w:after="0"/>
              <w:rPr>
                <w:sz w:val="20"/>
                <w:szCs w:val="20"/>
                <w:color w:val="auto"/>
              </w:rPr>
            </w:pPr>
            <w:r>
              <w:rPr>
                <w:rFonts w:ascii="Times New Roman" w:cs="Times New Roman" w:eastAsia="Times New Roman" w:hAnsi="Times New Roman"/>
                <w:sz w:val="22"/>
                <w:szCs w:val="22"/>
                <w:b w:val="1"/>
                <w:bCs w:val="1"/>
                <w:color w:val="auto"/>
                <w:w w:val="98"/>
              </w:rPr>
              <w:t>FORM OF LOCK-UP AGREEMENT</w:t>
            </w:r>
          </w:p>
        </w:tc>
      </w:tr>
      <w:tr>
        <w:trPr>
          <w:trHeight w:val="432"/>
        </w:trPr>
        <w:tc>
          <w:tcPr>
            <w:tcW w:w="3080" w:type="dxa"/>
            <w:vAlign w:val="bottom"/>
          </w:tcPr>
          <w:p>
            <w:pPr>
              <w:spacing w:after="0"/>
              <w:rPr>
                <w:sz w:val="24"/>
                <w:szCs w:val="24"/>
                <w:color w:val="auto"/>
              </w:rPr>
            </w:pPr>
          </w:p>
        </w:tc>
        <w:tc>
          <w:tcPr>
            <w:tcW w:w="4320" w:type="dxa"/>
            <w:vAlign w:val="bottom"/>
          </w:tcPr>
          <w:p>
            <w:pPr>
              <w:jc w:val="center"/>
              <w:ind w:left="677"/>
              <w:spacing w:after="0"/>
              <w:rPr>
                <w:sz w:val="20"/>
                <w:szCs w:val="20"/>
                <w:color w:val="auto"/>
              </w:rPr>
            </w:pPr>
            <w:r>
              <w:rPr>
                <w:rFonts w:ascii="Times New Roman" w:cs="Times New Roman" w:eastAsia="Times New Roman" w:hAnsi="Times New Roman"/>
                <w:sz w:val="22"/>
                <w:szCs w:val="22"/>
                <w:b w:val="1"/>
                <w:bCs w:val="1"/>
                <w:color w:val="auto"/>
                <w:w w:val="97"/>
              </w:rPr>
              <w:t>LOCK-UP AGREEMENT</w:t>
            </w:r>
          </w:p>
        </w:tc>
      </w:tr>
      <w:tr>
        <w:trPr>
          <w:trHeight w:val="36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43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October 27, 2025</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520 Madison Avenue</w:t>
            </w:r>
          </w:p>
        </w:tc>
        <w:tc>
          <w:tcPr>
            <w:tcW w:w="43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4320" w:type="dxa"/>
            <w:vAlign w:val="bottom"/>
          </w:tcPr>
          <w:p>
            <w:pPr>
              <w:spacing w:after="0"/>
              <w:rPr>
                <w:sz w:val="20"/>
                <w:szCs w:val="20"/>
                <w:color w:val="auto"/>
              </w:rPr>
            </w:pPr>
          </w:p>
        </w:tc>
      </w:tr>
      <w:tr>
        <w:trPr>
          <w:trHeight w:val="4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4320" w:type="dxa"/>
            <w:vAlign w:val="bottom"/>
          </w:tcPr>
          <w:p>
            <w:pPr>
              <w:spacing w:after="0"/>
              <w:rPr>
                <w:sz w:val="24"/>
                <w:szCs w:val="24"/>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1 Vanderbilt Avenue, 11th Floor</w:t>
            </w:r>
          </w:p>
        </w:tc>
        <w:tc>
          <w:tcPr>
            <w:tcW w:w="43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10017</w:t>
            </w:r>
          </w:p>
        </w:tc>
        <w:tc>
          <w:tcPr>
            <w:tcW w:w="4320" w:type="dxa"/>
            <w:vAlign w:val="bottom"/>
          </w:tcPr>
          <w:p>
            <w:pPr>
              <w:spacing w:after="0"/>
              <w:rPr>
                <w:sz w:val="20"/>
                <w:szCs w:val="20"/>
                <w:color w:val="auto"/>
              </w:rPr>
            </w:pPr>
          </w:p>
        </w:tc>
      </w:tr>
      <w:tr>
        <w:trPr>
          <w:trHeight w:val="41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4320" w:type="dxa"/>
            <w:vAlign w:val="bottom"/>
          </w:tcPr>
          <w:p>
            <w:pPr>
              <w:spacing w:after="0"/>
              <w:rPr>
                <w:sz w:val="24"/>
                <w:szCs w:val="24"/>
                <w:color w:val="auto"/>
              </w:rPr>
            </w:pPr>
          </w:p>
        </w:tc>
      </w:tr>
      <w:tr>
        <w:trPr>
          <w:trHeight w:val="253"/>
        </w:trPr>
        <w:tc>
          <w:tcPr>
            <w:tcW w:w="308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4320" w:type="dxa"/>
            <w:vAlign w:val="bottom"/>
          </w:tcPr>
          <w:p>
            <w:pPr>
              <w:spacing w:after="0"/>
              <w:rPr>
                <w:sz w:val="21"/>
                <w:szCs w:val="2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4320" w:type="dxa"/>
            <w:vAlign w:val="bottom"/>
          </w:tcPr>
          <w:p>
            <w:pPr>
              <w:spacing w:after="0"/>
              <w:rPr>
                <w:sz w:val="20"/>
                <w:szCs w:val="20"/>
                <w:color w:val="auto"/>
              </w:rPr>
            </w:pPr>
          </w:p>
        </w:tc>
      </w:tr>
      <w:tr>
        <w:trPr>
          <w:trHeight w:val="4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Bloom Burton Securities Inc.</w:t>
            </w:r>
          </w:p>
        </w:tc>
        <w:tc>
          <w:tcPr>
            <w:tcW w:w="4320" w:type="dxa"/>
            <w:vAlign w:val="bottom"/>
          </w:tcPr>
          <w:p>
            <w:pPr>
              <w:spacing w:after="0"/>
              <w:rPr>
                <w:sz w:val="24"/>
                <w:szCs w:val="24"/>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181 Bay Street, Suite 3410</w:t>
            </w:r>
          </w:p>
        </w:tc>
        <w:tc>
          <w:tcPr>
            <w:tcW w:w="43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Toronto, Ontario, M5J 2T3</w:t>
            </w:r>
          </w:p>
        </w:tc>
        <w:tc>
          <w:tcPr>
            <w:tcW w:w="4320" w:type="dxa"/>
            <w:vAlign w:val="bottom"/>
          </w:tcPr>
          <w:p>
            <w:pPr>
              <w:spacing w:after="0"/>
              <w:rPr>
                <w:sz w:val="20"/>
                <w:szCs w:val="20"/>
                <w:color w:val="auto"/>
              </w:rPr>
            </w:pPr>
          </w:p>
        </w:tc>
      </w:tr>
    </w:tbl>
    <w:p>
      <w:pPr>
        <w:spacing w:after="0" w:line="14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b w:val="1"/>
          <w:bCs w:val="1"/>
          <w:color w:val="auto"/>
        </w:rPr>
        <w:t>Offering of Equity Securities of Cybin Inc.</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Reference is made to a placement agency agreement dated October 27, 2025 (the “</w:t>
      </w:r>
      <w:r>
        <w:rPr>
          <w:rFonts w:ascii="Times New Roman" w:cs="Times New Roman" w:eastAsia="Times New Roman" w:hAnsi="Times New Roman"/>
          <w:sz w:val="22"/>
          <w:szCs w:val="22"/>
          <w:u w:val="single" w:color="auto"/>
          <w:color w:val="auto"/>
        </w:rPr>
        <w:t>Placement Agency Agreement</w:t>
      </w:r>
      <w:r>
        <w:rPr>
          <w:rFonts w:ascii="Times New Roman" w:cs="Times New Roman" w:eastAsia="Times New Roman" w:hAnsi="Times New Roman"/>
          <w:sz w:val="22"/>
          <w:szCs w:val="22"/>
          <w:color w:val="auto"/>
        </w:rPr>
        <w:t>”) among Jefferies LLC (“</w:t>
      </w:r>
      <w:r>
        <w:rPr>
          <w:rFonts w:ascii="Times New Roman" w:cs="Times New Roman" w:eastAsia="Times New Roman" w:hAnsi="Times New Roman"/>
          <w:sz w:val="22"/>
          <w:szCs w:val="22"/>
          <w:u w:val="single" w:color="auto"/>
          <w:color w:val="auto"/>
        </w:rPr>
        <w:t>Jefferies</w:t>
      </w:r>
      <w:r>
        <w:rPr>
          <w:rFonts w:ascii="Times New Roman" w:cs="Times New Roman" w:eastAsia="Times New Roman" w:hAnsi="Times New Roman"/>
          <w:sz w:val="22"/>
          <w:szCs w:val="22"/>
          <w:color w:val="auto"/>
        </w:rPr>
        <w:t>”), TD Securities (USA) LLC (“</w:t>
      </w:r>
      <w:r>
        <w:rPr>
          <w:rFonts w:ascii="Times New Roman" w:cs="Times New Roman" w:eastAsia="Times New Roman" w:hAnsi="Times New Roman"/>
          <w:sz w:val="22"/>
          <w:szCs w:val="22"/>
          <w:u w:val="single" w:color="auto"/>
          <w:color w:val="auto"/>
        </w:rPr>
        <w:t>TD Cowen</w:t>
      </w:r>
      <w:r>
        <w:rPr>
          <w:rFonts w:ascii="Times New Roman" w:cs="Times New Roman" w:eastAsia="Times New Roman" w:hAnsi="Times New Roman"/>
          <w:sz w:val="22"/>
          <w:szCs w:val="22"/>
          <w:color w:val="auto"/>
        </w:rPr>
        <w:t>”) and Cantor Fitzgerald &amp; Co., during the term of this engagement, to act as joint lead placement agents (collectively, the “</w:t>
      </w:r>
      <w:r>
        <w:rPr>
          <w:rFonts w:ascii="Times New Roman" w:cs="Times New Roman" w:eastAsia="Times New Roman" w:hAnsi="Times New Roman"/>
          <w:sz w:val="22"/>
          <w:szCs w:val="22"/>
          <w:u w:val="single" w:color="auto"/>
          <w:color w:val="auto"/>
        </w:rPr>
        <w:t>Lead Placement Agents</w:t>
      </w:r>
      <w:r>
        <w:rPr>
          <w:rFonts w:ascii="Times New Roman" w:cs="Times New Roman" w:eastAsia="Times New Roman" w:hAnsi="Times New Roman"/>
          <w:sz w:val="22"/>
          <w:szCs w:val="22"/>
          <w:color w:val="auto"/>
        </w:rPr>
        <w:t>”) and (b) Bloom Burton Securities Inc., during the term of this engagement, to act as a placement agent (together with the Lead Placement Agents, the “</w:t>
      </w:r>
      <w:r>
        <w:rPr>
          <w:rFonts w:ascii="Times New Roman" w:cs="Times New Roman" w:eastAsia="Times New Roman" w:hAnsi="Times New Roman"/>
          <w:sz w:val="22"/>
          <w:szCs w:val="22"/>
          <w:u w:val="single" w:color="auto"/>
          <w:color w:val="auto"/>
        </w:rPr>
        <w:t>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and Cybin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relating to the placement of equity securities of the Company to certain investors (the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undersigned is a senior officer or director of the Company who holds common shares in the capital of the Company ("</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or securities convertible into, exchangeable for, or otherwise exercisable to acquire Common Shares or other securities of the Company (collectively, the "</w:t>
      </w:r>
      <w:r>
        <w:rPr>
          <w:rFonts w:ascii="Times New Roman" w:cs="Times New Roman" w:eastAsia="Times New Roman" w:hAnsi="Times New Roman"/>
          <w:sz w:val="22"/>
          <w:szCs w:val="22"/>
          <w:u w:val="single" w:color="auto"/>
          <w:color w:val="auto"/>
        </w:rPr>
        <w:t>Locked-Up Securities</w:t>
      </w:r>
      <w:r>
        <w:rPr>
          <w:rFonts w:ascii="Times New Roman" w:cs="Times New Roman" w:eastAsia="Times New Roman" w:hAnsi="Times New Roman"/>
          <w:sz w:val="22"/>
          <w:szCs w:val="22"/>
          <w:color w:val="auto"/>
        </w:rPr>
        <w:t>") and, accordingly, recognizes that the Transaction will benefit the Company. The undersigned has good and marketable title to the Locked-Up Securities and acknowledges that the Placement Agents are relying on the representations and agreements of the undersigned contained in this Lock-Up Agreement in carrying out and completing the Transaction.</w:t>
      </w:r>
    </w:p>
    <w:p>
      <w:pPr>
        <w:spacing w:after="0" w:line="14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In consideration of the foregoing, the undersigned hereby agrees that during the period commencing on the date of this Agreement until the date that is 60 days following the date hereof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undersigned will not, directly or indirectly, offer, sell, contract to sell, transfer, pledge, assign, lend, swap, grant or sell any option to purchase, purchase any option or contract to sell, hypothecate, or enter into any other agreement to transfer the economic consequences of, or otherwise dispose of or deal with, whether through the facilities of a stock exchange, by private placement or otherwise, make any demand for or exercise any right with respect to the registration of, any Common Shares or other securities of the Company held by them, or announce any intention to do any of the foregoing, other than (a) with the prior written consent of Jefferies and TD Cowen, (b) in connection with the vesting, settlement, or exercise of restricted share units, options, warrants, or other rights to purchase Common Shares (including, in each case, by way of “net” or “cashless” exercise), including for the payment of exercise price and tax and remittance payments due as a result of the vesting, settlement, or exercise of such restricted share units, options, warrants, or rights, (c) transfers to or among a shareholder’s affiliates or to immediate family members for tax or other planning purposes, or (d) a tender or sale by a shareholder of securities of the Company in or pursuant to a take-over bid or similar transaction involving a change of control of the Company. In the case of a transfer pursuant to clause (c), prior to such transfer, the Placement Agents shall receive a signed lock-up letter agreement (substantially in the form of this Lock-Up Agreement) for the balance of the Restricted Period hereunder from each proposed transferee. In the case of a transfer pursuant to clauses (b) or (c), it shall be a condition to such transfer that no public filing, report or announcement shall be voluntarily made and if any filing is required to be made in connection with such change, it shall clearly indicate in the footnotes thereto the nature and conditions of such transfer.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5" w:name="page116"/>
    <w:bookmarkEnd w:id="115"/>
    <w:p>
      <w:pPr>
        <w:jc w:val="both"/>
        <w:spacing w:after="0" w:line="238" w:lineRule="auto"/>
        <w:rPr>
          <w:sz w:val="20"/>
          <w:szCs w:val="20"/>
          <w:color w:val="auto"/>
        </w:rPr>
      </w:pPr>
      <w:r>
        <w:rPr>
          <w:rFonts w:ascii="Times New Roman" w:cs="Times New Roman" w:eastAsia="Times New Roman" w:hAnsi="Times New Roman"/>
          <w:sz w:val="22"/>
          <w:szCs w:val="22"/>
          <w:color w:val="auto"/>
        </w:rPr>
        <w:t>If the Company decides not to proceed with the Transaction, this Lock-Up Agreement and the obligations of the undersigned hereunder shall terminate. This Lock-Up Agreement is governed by the laws of the state of New York and the federal laws of the United States applicable therein. This Lock-Up Agreement shall not be assigned by the undersigned without the prior written consent of Jefferies and TD Cowen. This Lock-Up Agreement is irrevocable and will be binding on the undersigned and its respective successors, heirs, personal or legal representatives and permitted assigns.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DATED as of the date first written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of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117" w:name="page118"/>
    <w:bookmarkEnd w:id="117"/>
    <w:p>
      <w:pPr>
        <w:jc w:val="right"/>
        <w:ind w:right="3979"/>
        <w:spacing w:after="0"/>
        <w:rPr>
          <w:sz w:val="20"/>
          <w:szCs w:val="20"/>
          <w:color w:val="auto"/>
        </w:rPr>
      </w:pPr>
      <w:r>
        <w:rPr>
          <w:rFonts w:ascii="Times New Roman" w:cs="Times New Roman" w:eastAsia="Times New Roman" w:hAnsi="Times New Roman"/>
          <w:sz w:val="22"/>
          <w:szCs w:val="22"/>
          <w:color w:val="auto"/>
        </w:rPr>
        <w:t>EXHIBIT B</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-95250</wp:posOffset>
            </wp:positionV>
            <wp:extent cx="68580" cy="68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128905</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599"/>
          </w:cols>
          <w:pgMar w:left="860" w:top="531"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2994025</wp:posOffset>
            </wp:positionH>
            <wp:positionV relativeFrom="page">
              <wp:posOffset>226060</wp:posOffset>
            </wp:positionV>
            <wp:extent cx="1568450" cy="4889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88950"/>
                    </a:xfrm>
                    <a:prstGeom prst="rect">
                      <a:avLst/>
                    </a:prstGeom>
                    <a:noFill/>
                  </pic:spPr>
                </pic:pic>
              </a:graphicData>
            </a:graphic>
          </wp:anchor>
        </w:drawing>
        <w:t>October 28,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230" w:lineRule="auto"/>
        <w:rPr>
          <w:sz w:val="20"/>
          <w:szCs w:val="20"/>
          <w:color w:val="auto"/>
        </w:rPr>
      </w:pPr>
      <w:r>
        <w:rPr>
          <w:rFonts w:ascii="Times New Roman" w:cs="Times New Roman" w:eastAsia="Times New Roman" w:hAnsi="Times New Roman"/>
          <w:sz w:val="22"/>
          <w:szCs w:val="22"/>
          <w:color w:val="auto"/>
        </w:rPr>
        <w:t>Toronto, Ontario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M5X 1C9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Sirs/Mesdames:</w:t>
      </w:r>
    </w:p>
    <w:p>
      <w:pPr>
        <w:spacing w:after="0" w:line="1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Cybin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Prospectus Supplement dated October 28, 2025 to the Short Form Base Shelf Prospectus dated September 17, 2025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consent to the reference to our firm name under the heading "Documents Filed as Part of the Registration Statement" in the Prospectus Supplement, which forms part of the registration statement on Form F-10, as amended (File No. 333-289139), filed by the Company with the United States Securities and Exchange Commission, and to the reference to our advice under the headings "Experts" and "Enforcement of Civil Liabilities for U.S. Investors".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551815</wp:posOffset>
            </wp:positionV>
            <wp:extent cx="71532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125095</wp:posOffset>
            </wp:positionV>
            <wp:extent cx="6283325"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283325" cy="308610"/>
                    </a:xfrm>
                    <a:prstGeom prst="rect">
                      <a:avLst/>
                    </a:prstGeom>
                    <a:noFill/>
                  </pic:spPr>
                </pic:pic>
              </a:graphicData>
            </a:graphic>
          </wp:anchor>
        </w:drawing>
      </w:r>
    </w:p>
    <w:sectPr>
      <w:pgSz w:w="11900" w:h="16838" w:orient="portrait"/>
      <w:cols w:equalWidth="0" w:num="1">
        <w:col w:w="11240"/>
      </w:cols>
      <w:pgMar w:left="320" w:top="12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lowerLetter"/>
      <w:start w:val="2"/>
    </w:lvl>
  </w:abstractNum>
  <w:abstractNum w:abstractNumId="1">
    <w:nsid w:val="7644A45C"/>
    <w:multiLevelType w:val="hybridMultilevel"/>
    <w:lvl w:ilvl="0">
      <w:lvlJc w:val="left"/>
      <w:lvlText w:val="(%1)"/>
      <w:numFmt w:val="lowerLetter"/>
      <w:start w:val="1"/>
    </w:lvl>
    <w:lvl w:ilvl="1">
      <w:lvlJc w:val="left"/>
      <w:lvlText w:val="(%2)"/>
      <w:numFmt w:val="lowerRoman"/>
      <w:start w:val="1"/>
    </w:lvl>
  </w:abstractNum>
  <w:abstractNum w:abstractNumId="2">
    <w:nsid w:val="32FFF902"/>
    <w:multiLevelType w:val="hybridMultilevel"/>
    <w:lvl w:ilvl="0">
      <w:lvlJc w:val="left"/>
      <w:lvlText w:val="(%1)"/>
      <w:numFmt w:val="lowerLetter"/>
      <w:start w:val="1"/>
    </w:lvl>
    <w:lvl w:ilvl="1">
      <w:lvlJc w:val="left"/>
      <w:lvlText w:val="(%2)"/>
      <w:numFmt w:val="lowerLetter"/>
      <w:start w:val="9"/>
    </w:lvl>
  </w:abstractNum>
  <w:abstractNum w:abstractNumId="3">
    <w:nsid w:val="684A481A"/>
    <w:multiLevelType w:val="hybridMultilevel"/>
    <w:lvl w:ilvl="0">
      <w:lvlJc w:val="left"/>
      <w:lvlText w:val="%1"/>
      <w:numFmt w:val="lowerLetter"/>
      <w:start w:val="1"/>
    </w:lvl>
    <w:lvl w:ilvl="1">
      <w:lvlJc w:val="left"/>
      <w:lvlText w:val="(%2)"/>
      <w:numFmt w:val="lowerRoman"/>
      <w:start w:val="2"/>
    </w:lvl>
  </w:abstractNum>
  <w:abstractNum w:abstractNumId="4">
    <w:nsid w:val="579478FE"/>
    <w:multiLevelType w:val="hybridMultilevel"/>
    <w:lvl w:ilvl="0">
      <w:lvlJc w:val="left"/>
      <w:lvlText w:val="(%1)"/>
      <w:numFmt w:val="lowerLetter"/>
      <w:start w:val="2"/>
    </w:lvl>
    <w:lvl w:ilvl="1">
      <w:lvlJc w:val="left"/>
      <w:lvlText w:val="(%2)"/>
      <w:numFmt w:val="lowerRoman"/>
      <w:start w:val="1"/>
    </w:lvl>
  </w:abstractNum>
  <w:abstractNum w:abstractNumId="5">
    <w:nsid w:val="749ABB43"/>
    <w:multiLevelType w:val="hybridMultilevel"/>
    <w:lvl w:ilvl="0">
      <w:lvlJc w:val="left"/>
      <w:lvlText w:val="(%1)"/>
      <w:numFmt w:val="lowerLetter"/>
      <w:start w:val="1"/>
    </w:lvl>
  </w:abstractNum>
  <w:abstractNum w:abstractNumId="6">
    <w:nsid w:val="3DC240FB"/>
    <w:multiLevelType w:val="hybridMultilevel"/>
    <w:lvl w:ilvl="0">
      <w:lvlJc w:val="left"/>
      <w:lvlText w:val="%1"/>
      <w:numFmt w:val="lowerLetter"/>
      <w:start w:val="1"/>
    </w:lvl>
    <w:lvl w:ilvl="1">
      <w:lvlJc w:val="left"/>
      <w:lvlText w:val="(%2)"/>
      <w:numFmt w:val="lowerLetter"/>
      <w:start w:val="7"/>
    </w:lvl>
  </w:abstractNum>
  <w:abstractNum w:abstractNumId="7">
    <w:nsid w:val="1BA026FA"/>
    <w:multiLevelType w:val="hybridMultilevel"/>
    <w:lvl w:ilvl="0">
      <w:lvlJc w:val="left"/>
      <w:lvlText w:val="(%1)"/>
      <w:numFmt w:val="lowerLetter"/>
      <w:start w:val="9"/>
    </w:lvl>
    <w:lvl w:ilvl="1">
      <w:lvlJc w:val="left"/>
      <w:lvlText w:val="%2"/>
      <w:numFmt w:val="lowerLetter"/>
      <w:start w:val="1"/>
    </w:lvl>
  </w:abstractNum>
  <w:abstractNum w:abstractNumId="8">
    <w:nsid w:val="79A1DEAA"/>
    <w:multiLevelType w:val="hybridMultilevel"/>
    <w:lvl w:ilvl="0">
      <w:lvlJc w:val="left"/>
      <w:lvlText w:val="(%1)"/>
      <w:numFmt w:val="lowerLetter"/>
      <w:start w:val="12"/>
    </w:lvl>
  </w:abstractNum>
  <w:abstractNum w:abstractNumId="9">
    <w:nsid w:val="75C6C33A"/>
    <w:multiLevelType w:val="hybridMultilevel"/>
    <w:lvl w:ilvl="0">
      <w:lvlJc w:val="left"/>
      <w:lvlText w:val="(%1)"/>
      <w:numFmt w:val="lowerLetter"/>
      <w:start w:val="16"/>
    </w:lvl>
  </w:abstractNum>
  <w:abstractNum w:abstractNumId="10">
    <w:nsid w:val="12E685FB"/>
    <w:multiLevelType w:val="hybridMultilevel"/>
    <w:lvl w:ilvl="0">
      <w:lvlJc w:val="left"/>
      <w:lvlText w:val="(%1)"/>
      <w:numFmt w:val="lowerLetter"/>
      <w:start w:val="23"/>
    </w:lvl>
  </w:abstractNum>
  <w:abstractNum w:abstractNumId="11">
    <w:nsid w:val="70C6A529"/>
    <w:multiLevelType w:val="hybridMultilevel"/>
    <w:lvl w:ilvl="0">
      <w:lvlJc w:val="left"/>
      <w:lvlText w:val="(%1)"/>
      <w:numFmt w:val="lowerLetter"/>
      <w:start w:val="27"/>
    </w:lvl>
  </w:abstractNum>
  <w:abstractNum w:abstractNumId="12">
    <w:nsid w:val="520EEDD1"/>
    <w:multiLevelType w:val="hybridMultilevel"/>
    <w:lvl w:ilvl="0">
      <w:lvlJc w:val="left"/>
      <w:lvlText w:val="(%1)"/>
      <w:numFmt w:val="lowerLetter"/>
      <w:start w:val="28"/>
    </w:lvl>
  </w:abstractNum>
  <w:abstractNum w:abstractNumId="13">
    <w:nsid w:val="374A3FE6"/>
    <w:multiLevelType w:val="hybridMultilevel"/>
    <w:lvl w:ilvl="0">
      <w:lvlJc w:val="left"/>
      <w:lvlText w:val="(%1)"/>
      <w:numFmt w:val="lowerLetter"/>
      <w:start w:val="32"/>
    </w:lvl>
  </w:abstractNum>
  <w:abstractNum w:abstractNumId="14">
    <w:nsid w:val="4F4EF005"/>
    <w:multiLevelType w:val="hybridMultilevel"/>
    <w:lvl w:ilvl="0">
      <w:lvlJc w:val="left"/>
      <w:lvlText w:val="(%1)"/>
      <w:numFmt w:val="upperLetter"/>
      <w:start w:val="1"/>
    </w:lvl>
  </w:abstractNum>
  <w:abstractNum w:abstractNumId="15">
    <w:nsid w:val="23F9C13C"/>
    <w:multiLevelType w:val="hybridMultilevel"/>
    <w:lvl w:ilvl="0">
      <w:lvlJc w:val="left"/>
      <w:lvlText w:val="(%1)"/>
      <w:numFmt w:val="upperLetter"/>
      <w:start w:val="2"/>
    </w:lvl>
  </w:abstractNum>
  <w:abstractNum w:abstractNumId="16">
    <w:nsid w:val="649BB77C"/>
    <w:multiLevelType w:val="hybridMultilevel"/>
    <w:lvl w:ilvl="0">
      <w:lvlJc w:val="left"/>
      <w:lvlText w:val="(%1)"/>
      <w:numFmt w:val="upperLetter"/>
      <w:start w:val="4"/>
    </w:lvl>
  </w:abstractNum>
  <w:abstractNum w:abstractNumId="17">
    <w:nsid w:val="275AC794"/>
    <w:multiLevelType w:val="hybridMultilevel"/>
    <w:lvl w:ilvl="0">
      <w:lvlJc w:val="left"/>
      <w:lvlText w:val="(%1)"/>
      <w:numFmt w:val="upperLetter"/>
      <w:start w:val="7"/>
    </w:lvl>
  </w:abstractNum>
  <w:abstractNum w:abstractNumId="18">
    <w:nsid w:val="39386575"/>
    <w:multiLevelType w:val="hybridMultilevel"/>
    <w:lvl w:ilvl="0">
      <w:lvlJc w:val="left"/>
      <w:lvlText w:val="(%1)"/>
      <w:numFmt w:val="lowerLetter"/>
      <w:start w:val="36"/>
    </w:lvl>
    <w:lvl w:ilvl="1">
      <w:lvlJc w:val="left"/>
      <w:lvlText w:val="(%2)"/>
      <w:numFmt w:val="lowerLetter"/>
      <w:start w:val="9"/>
    </w:lvl>
  </w:abstractNum>
  <w:abstractNum w:abstractNumId="19">
    <w:nsid w:val="1CF10FD8"/>
    <w:multiLevelType w:val="hybridMultilevel"/>
    <w:lvl w:ilvl="0">
      <w:lvlJc w:val="left"/>
      <w:lvlText w:val="%1"/>
      <w:numFmt w:val="lowerLetter"/>
      <w:start w:val="1"/>
    </w:lvl>
    <w:lvl w:ilvl="1">
      <w:lvlJc w:val="left"/>
      <w:lvlText w:val="(%2)"/>
      <w:numFmt w:val="lowerRoman"/>
      <w:start w:val="2"/>
    </w:lvl>
  </w:abstractNum>
  <w:abstractNum w:abstractNumId="20">
    <w:nsid w:val="180115BE"/>
    <w:multiLevelType w:val="hybridMultilevel"/>
    <w:lvl w:ilvl="0">
      <w:lvlJc w:val="left"/>
      <w:lvlText w:val="(%1)"/>
      <w:numFmt w:val="lowerLetter"/>
      <w:start w:val="39"/>
    </w:lvl>
    <w:lvl w:ilvl="1">
      <w:lvlJc w:val="left"/>
      <w:lvlText w:val="%2"/>
      <w:numFmt w:val="lowerRoman"/>
      <w:start w:val="1"/>
    </w:lvl>
  </w:abstractNum>
  <w:abstractNum w:abstractNumId="21">
    <w:nsid w:val="235BA861"/>
    <w:multiLevelType w:val="hybridMultilevel"/>
    <w:lvl w:ilvl="0">
      <w:lvlJc w:val="left"/>
      <w:lvlText w:val="(%1)"/>
      <w:numFmt w:val="lowerLetter"/>
      <w:start w:val="40"/>
    </w:lvl>
  </w:abstractNum>
  <w:abstractNum w:abstractNumId="22">
    <w:nsid w:val="47398C89"/>
    <w:multiLevelType w:val="hybridMultilevel"/>
    <w:lvl w:ilvl="0">
      <w:lvlJc w:val="left"/>
      <w:lvlText w:val="(%1)"/>
      <w:numFmt w:val="lowerLetter"/>
      <w:start w:val="44"/>
    </w:lvl>
  </w:abstractNum>
  <w:abstractNum w:abstractNumId="23">
    <w:nsid w:val="354FE9F9"/>
    <w:multiLevelType w:val="hybridMultilevel"/>
    <w:lvl w:ilvl="0">
      <w:lvlJc w:val="left"/>
      <w:lvlText w:val="(%1)"/>
      <w:numFmt w:val="lowerLetter"/>
      <w:start w:val="46"/>
    </w:lvl>
  </w:abstractNum>
  <w:abstractNum w:abstractNumId="24">
    <w:nsid w:val="15B5AF5C"/>
    <w:multiLevelType w:val="hybridMultilevel"/>
    <w:lvl w:ilvl="0">
      <w:lvlJc w:val="left"/>
      <w:lvlText w:val="(%1)"/>
      <w:numFmt w:val="lowerLetter"/>
      <w:start w:val="51"/>
    </w:lvl>
  </w:abstractNum>
  <w:abstractNum w:abstractNumId="25">
    <w:nsid w:val="741226BB"/>
    <w:multiLevelType w:val="hybridMultilevel"/>
    <w:lvl w:ilvl="0">
      <w:lvlJc w:val="left"/>
      <w:lvlText w:val="(%1)"/>
      <w:numFmt w:val="lowerLetter"/>
      <w:start w:val="53"/>
    </w:lvl>
  </w:abstractNum>
  <w:abstractNum w:abstractNumId="26">
    <w:nsid w:val="D34B6A8"/>
    <w:multiLevelType w:val="hybridMultilevel"/>
    <w:lvl w:ilvl="0">
      <w:lvlJc w:val="left"/>
      <w:lvlText w:val="(%1)"/>
      <w:numFmt w:val="lowerLetter"/>
      <w:start w:val="57"/>
    </w:lvl>
    <w:lvl w:ilvl="1">
      <w:lvlJc w:val="left"/>
      <w:lvlText w:val="(%2)"/>
      <w:numFmt w:val="lowerRoman"/>
      <w:start w:val="1"/>
    </w:lvl>
    <w:lvl w:ilvl="2">
      <w:lvlJc w:val="left"/>
      <w:lvlText w:val="(%3)"/>
      <w:numFmt w:val="upperLetter"/>
      <w:start w:val="1"/>
    </w:lvl>
  </w:abstractNum>
  <w:abstractNum w:abstractNumId="27">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8">
    <w:nsid w:val="3F6AB60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9">
    <w:nsid w:val="61574095"/>
    <w:multiLevelType w:val="hybridMultilevel"/>
    <w:lvl w:ilvl="0">
      <w:lvlJc w:val="left"/>
      <w:lvlText w:val="(%1)"/>
      <w:numFmt w:val="lowerLetter"/>
      <w:start w:val="59"/>
    </w:lvl>
    <w:lvl w:ilvl="1">
      <w:lvlJc w:val="left"/>
      <w:lvlText w:val="%2"/>
      <w:numFmt w:val="lowerRoman"/>
      <w:start w:val="1"/>
    </w:lvl>
    <w:lvl w:ilvl="2">
      <w:lvlJc w:val="left"/>
      <w:lvlText w:val="%3"/>
      <w:numFmt w:val="upperLetter"/>
      <w:start w:val="1"/>
    </w:lvl>
  </w:abstractNum>
  <w:abstractNum w:abstractNumId="30">
    <w:nsid w:val="7E0C57B1"/>
    <w:multiLevelType w:val="hybridMultilevel"/>
    <w:lvl w:ilvl="0">
      <w:lvlJc w:val="left"/>
      <w:lvlText w:val="(%1)"/>
      <w:numFmt w:val="lowerLetter"/>
      <w:start w:val="62"/>
    </w:lvl>
  </w:abstractNum>
  <w:abstractNum w:abstractNumId="31">
    <w:nsid w:val="77AE35EB"/>
    <w:multiLevelType w:val="hybridMultilevel"/>
    <w:lvl w:ilvl="0">
      <w:lvlJc w:val="left"/>
      <w:lvlText w:val="%1"/>
      <w:numFmt w:val="lowerLetter"/>
      <w:start w:val="1"/>
    </w:lvl>
    <w:lvl w:ilvl="1">
      <w:lvlJc w:val="left"/>
      <w:lvlText w:val="(%2)"/>
      <w:numFmt w:val="lowerLetter"/>
      <w:start w:val="67"/>
    </w:lvl>
  </w:abstractNum>
  <w:abstractNum w:abstractNumId="32">
    <w:nsid w:val="579BE4F1"/>
    <w:multiLevelType w:val="hybridMultilevel"/>
    <w:lvl w:ilvl="0">
      <w:lvlJc w:val="left"/>
      <w:lvlText w:val="(%1)"/>
      <w:numFmt w:val="lowerLetter"/>
      <w:start w:val="9"/>
    </w:lvl>
    <w:lvl w:ilvl="1">
      <w:lvlJc w:val="left"/>
      <w:lvlText w:val="(%2)"/>
      <w:numFmt w:val="lowerLetter"/>
      <w:start w:val="69"/>
    </w:lvl>
  </w:abstractNum>
  <w:abstractNum w:abstractNumId="33">
    <w:nsid w:val="310C50B3"/>
    <w:multiLevelType w:val="hybridMultilevel"/>
    <w:lvl w:ilvl="0">
      <w:lvlJc w:val="left"/>
      <w:lvlText w:val="(%1)"/>
      <w:numFmt w:val="lowerLetter"/>
      <w:start w:val="74"/>
    </w:lvl>
  </w:abstractNum>
  <w:abstractNum w:abstractNumId="34">
    <w:nsid w:val="5FF87E05"/>
    <w:multiLevelType w:val="hybridMultilevel"/>
    <w:lvl w:ilvl="0">
      <w:lvlJc w:val="left"/>
      <w:lvlText w:val="(%1)"/>
      <w:numFmt w:val="lowerLetter"/>
      <w:start w:val="78"/>
    </w:lvl>
    <w:lvl w:ilvl="1">
      <w:lvlJc w:val="left"/>
      <w:lvlText w:val="(%2)"/>
      <w:numFmt w:val="lowerRoman"/>
      <w:start w:val="1"/>
    </w:lvl>
    <w:lvl w:ilvl="2">
      <w:lvlJc w:val="left"/>
      <w:lvlText w:val="(%3)"/>
      <w:numFmt w:val="upperLetter"/>
      <w:start w:val="1"/>
    </w:lvl>
  </w:abstractNum>
  <w:abstractNum w:abstractNumId="35">
    <w:nsid w:val="2F305DEF"/>
    <w:multiLevelType w:val="hybridMultilevel"/>
    <w:lvl w:ilvl="0">
      <w:lvlJc w:val="left"/>
      <w:lvlText w:val="(%1)"/>
      <w:numFmt w:val="lowerLetter"/>
      <w:start w:val="79"/>
    </w:lvl>
  </w:abstractNum>
  <w:abstractNum w:abstractNumId="36">
    <w:nsid w:val="25A70BF7"/>
    <w:multiLevelType w:val="hybridMultilevel"/>
    <w:lvl w:ilvl="0">
      <w:lvlJc w:val="left"/>
      <w:lvlText w:val="(%1)"/>
      <w:numFmt w:val="lowerLetter"/>
      <w:start w:val="1"/>
    </w:lvl>
  </w:abstractNum>
  <w:abstractNum w:abstractNumId="37">
    <w:nsid w:val="1DBABF00"/>
    <w:multiLevelType w:val="hybridMultilevel"/>
    <w:lvl w:ilvl="0">
      <w:lvlJc w:val="left"/>
      <w:lvlText w:val="(%1)"/>
      <w:numFmt w:val="lowerLetter"/>
      <w:start w:val="2"/>
    </w:lvl>
  </w:abstractNum>
  <w:abstractNum w:abstractNumId="38">
    <w:nsid w:val="4AD084E9"/>
    <w:multiLevelType w:val="hybridMultilevel"/>
    <w:lvl w:ilvl="0">
      <w:lvlJc w:val="left"/>
      <w:lvlText w:val="(%1)"/>
      <w:numFmt w:val="lowerLetter"/>
      <w:start w:val="8"/>
    </w:lvl>
  </w:abstractNum>
  <w:abstractNum w:abstractNumId="39">
    <w:nsid w:val="1F48EAA1"/>
    <w:multiLevelType w:val="hybridMultilevel"/>
    <w:lvl w:ilvl="0">
      <w:lvlJc w:val="left"/>
      <w:lvlText w:val="(%1)"/>
      <w:numFmt w:val="lowerLetter"/>
      <w:start w:val="10"/>
    </w:lvl>
    <w:lvl w:ilvl="1">
      <w:lvlJc w:val="left"/>
      <w:lvlText w:val="(%2)"/>
      <w:numFmt w:val="lowerLetter"/>
      <w:start w:val="9"/>
    </w:lvl>
  </w:abstractNum>
  <w:abstractNum w:abstractNumId="40">
    <w:nsid w:val="1381823A"/>
    <w:multiLevelType w:val="hybridMultilevel"/>
    <w:lvl w:ilvl="0">
      <w:lvlJc w:val="left"/>
      <w:lvlText w:val="(%1)"/>
      <w:numFmt w:val="lowerRoman"/>
      <w:start w:val="2"/>
    </w:lvl>
  </w:abstractNum>
  <w:abstractNum w:abstractNumId="41">
    <w:nsid w:val="5DB70AE5"/>
    <w:multiLevelType w:val="hybridMultilevel"/>
    <w:lvl w:ilvl="0">
      <w:lvlJc w:val="left"/>
      <w:lvlText w:val="(%1)"/>
      <w:numFmt w:val="lowerRoman"/>
      <w:start w:val="3"/>
    </w:lvl>
  </w:abstractNum>
  <w:abstractNum w:abstractNumId="42">
    <w:nsid w:val="100F8FCA"/>
    <w:multiLevelType w:val="hybridMultilevel"/>
    <w:lvl w:ilvl="0">
      <w:lvlJc w:val="left"/>
      <w:lvlText w:val="%1"/>
      <w:numFmt w:val="lowerRoman"/>
      <w:start w:val="1"/>
    </w:lvl>
    <w:lvl w:ilvl="1">
      <w:lvlJc w:val="left"/>
      <w:lvlText w:val="(%2)"/>
      <w:numFmt w:val="lowerLetter"/>
      <w:start w:val="1"/>
    </w:lvl>
  </w:abstractNum>
  <w:abstractNum w:abstractNumId="43">
    <w:nsid w:val="6590700B"/>
    <w:multiLevelType w:val="hybridMultilevel"/>
    <w:lvl w:ilvl="0">
      <w:lvlJc w:val="left"/>
      <w:lvlText w:val="(%1)"/>
      <w:numFmt w:val="lowerRoman"/>
      <w:start w:val="4"/>
    </w:lvl>
    <w:lvl w:ilvl="1">
      <w:lvlJc w:val="left"/>
      <w:lvlText w:val="(%2)"/>
      <w:numFmt w:val="lowerLetter"/>
      <w:start w:val="3"/>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46">
    <w:nsid w:val="98A3148"/>
    <w:multiLevelType w:val="hybridMultilevel"/>
    <w:lvl w:ilvl="0">
      <w:lvlJc w:val="left"/>
      <w:lvlText w:val="(%1)"/>
      <w:numFmt w:val="lowerLetter"/>
      <w:start w:val="1"/>
    </w:lvl>
    <w:lvl w:ilvl="1">
      <w:lvlJc w:val="left"/>
      <w:lvlText w:val="(%2)"/>
      <w:numFmt w:val="upperLetter"/>
      <w:start w:val="1"/>
    </w:lvl>
  </w:abstractNum>
  <w:abstractNum w:abstractNumId="47">
    <w:nsid w:val="799D0247"/>
    <w:multiLevelType w:val="hybridMultilevel"/>
    <w:lvl w:ilvl="0">
      <w:lvlJc w:val="left"/>
      <w:lvlText w:val="(%1)"/>
      <w:numFmt w:val="upperLetter"/>
      <w:start w:val="24"/>
    </w:lvl>
  </w:abstractNum>
  <w:abstractNum w:abstractNumId="48">
    <w:nsid w:val="6B94764"/>
    <w:multiLevelType w:val="hybridMultilevel"/>
    <w:lvl w:ilvl="0">
      <w:lvlJc w:val="left"/>
      <w:lvlText w:val="(%1)"/>
      <w:numFmt w:val="lowerLetter"/>
      <w:start w:val="3"/>
    </w:lvl>
  </w:abstractNum>
  <w:abstractNum w:abstractNumId="49">
    <w:nsid w:val="42C296BD"/>
    <w:multiLevelType w:val="hybridMultilevel"/>
    <w:lvl w:ilvl="0">
      <w:lvlJc w:val="left"/>
      <w:lvlText w:val="(%1)"/>
      <w:numFmt w:val="lowerLetter"/>
      <w:start w:val="1"/>
    </w:lvl>
  </w:abstractNum>
  <w:abstractNum w:abstractNumId="50">
    <w:nsid w:val="168E121F"/>
    <w:multiLevelType w:val="hybridMultilevel"/>
    <w:lvl w:ilvl="0">
      <w:lvlJc w:val="left"/>
      <w:lvlText w:val="(%1)"/>
      <w:numFmt w:val="lowerLetter"/>
      <w:start w:val="2"/>
    </w:lvl>
  </w:abstractNum>
  <w:abstractNum w:abstractNumId="51">
    <w:nsid w:val="1EBA5D23"/>
    <w:multiLevelType w:val="hybridMultilevel"/>
    <w:lvl w:ilvl="0">
      <w:lvlJc w:val="left"/>
      <w:lvlText w:val="(%1)"/>
      <w:numFmt w:val="lowerLetter"/>
      <w:start w:val="1"/>
    </w:lvl>
  </w:abstractNum>
  <w:abstractNum w:abstractNumId="52">
    <w:nsid w:val="661E3F1E"/>
    <w:multiLevelType w:val="hybridMultilevel"/>
    <w:lvl w:ilvl="0">
      <w:lvlJc w:val="left"/>
      <w:lvlText w:val="(%1)"/>
      <w:numFmt w:val="lowerLetter"/>
      <w:start w:val="2"/>
    </w:lvl>
  </w:abstractNum>
  <w:abstractNum w:abstractNumId="53">
    <w:nsid w:val="5DC79EA8"/>
    <w:multiLevelType w:val="hybridMultilevel"/>
    <w:lvl w:ilvl="0">
      <w:lvlJc w:val="left"/>
      <w:lvlText w:val="(%1)"/>
      <w:numFmt w:val="lowerRoman"/>
      <w:start w:val="1"/>
    </w:lvl>
  </w:abstractNum>
  <w:abstractNum w:abstractNumId="54">
    <w:nsid w:val="540A471C"/>
    <w:multiLevelType w:val="hybridMultilevel"/>
    <w:lvl w:ilvl="0">
      <w:lvlJc w:val="left"/>
      <w:lvlText w:val="(%1)"/>
      <w:numFmt w:val="lowerRoman"/>
      <w:start w:val="3"/>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2"/>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upperLetter"/>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3"/>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2"/>
    </w:lvl>
  </w:abstractNum>
  <w:abstractNum w:abstractNumId="67">
    <w:nsid w:val="60B6DF70"/>
    <w:multiLevelType w:val="hybridMultilevel"/>
    <w:lvl w:ilvl="0">
      <w:lvlJc w:val="left"/>
      <w:lvlText w:val="(%1)"/>
      <w:numFmt w:val="lowerLetter"/>
      <w:start w:val="6"/>
    </w:lvl>
  </w:abstractNum>
  <w:abstractNum w:abstractNumId="68">
    <w:nsid w:val="6A5EE64"/>
    <w:multiLevelType w:val="hybridMultilevel"/>
    <w:lvl w:ilvl="0">
      <w:lvlJc w:val="left"/>
      <w:lvlText w:val="(%1)"/>
      <w:numFmt w:val="lowerLetter"/>
      <w:start w:val="10"/>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2"/>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3"/>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2"/>
    </w:lvl>
  </w:abstractNum>
  <w:abstractNum w:abstractNumId="77">
    <w:nsid w:val="94211F2"/>
    <w:multiLevelType w:val="hybridMultilevel"/>
    <w:lvl w:ilvl="0">
      <w:lvlJc w:val="left"/>
      <w:lvlText w:val="%1."/>
      <w:numFmt w:val="decimal"/>
      <w:start w:val="1"/>
    </w:lvl>
    <w:lvl w:ilvl="1">
      <w:lvlJc w:val="left"/>
      <w:lvlText w:val="(%2)"/>
      <w:numFmt w:val="lowerLetter"/>
      <w:start w:val="1"/>
    </w:lvl>
  </w:abstractNum>
  <w:abstractNum w:abstractNumId="78">
    <w:nsid w:val="885E1B"/>
    <w:multiLevelType w:val="hybridMultilevel"/>
    <w:lvl w:ilvl="0">
      <w:lvlJc w:val="left"/>
      <w:lvlText w:val="%1."/>
      <w:numFmt w:val="decimal"/>
      <w:start w:val="2"/>
    </w:lvl>
    <w:lvl w:ilvl="1">
      <w:lvlJc w:val="left"/>
      <w:lvlText w:val="(%2)"/>
      <w:numFmt w:val="lowerLetter"/>
      <w:start w:val="1"/>
    </w:lvl>
  </w:abstractNum>
  <w:abstractNum w:abstractNumId="79">
    <w:nsid w:val="76272110"/>
    <w:multiLevelType w:val="hybridMultilevel"/>
    <w:lvl w:ilvl="0">
      <w:lvlJc w:val="left"/>
      <w:lvlText w:val="(%1)"/>
      <w:numFmt w:val="lowerLetter"/>
      <w:start w:val="4"/>
    </w:lvl>
  </w:abstractNum>
  <w:abstractNum w:abstractNumId="80">
    <w:nsid w:val="4C04A8AF"/>
    <w:multiLevelType w:val="hybridMultilevel"/>
    <w:lvl w:ilvl="0">
      <w:lvlJc w:val="left"/>
      <w:lvlText w:val="(%1)"/>
      <w:numFmt w:val="decimal"/>
      <w:start w:val="1"/>
    </w:lvl>
    <w:lvl w:ilvl="1">
      <w:lvlJc w:val="left"/>
      <w:lvlText w:val="%2."/>
      <w:numFmt w:val="lowerLetter"/>
      <w:start w:val="1"/>
    </w:lvl>
  </w:abstractNum>
  <w:abstractNum w:abstractNumId="81">
    <w:nsid w:val="1716703B"/>
    <w:multiLevelType w:val="hybridMultilevel"/>
    <w:lvl w:ilvl="0">
      <w:lvlJc w:val="left"/>
      <w:lvlText w:val="%1."/>
      <w:numFmt w:val="lowerLetter"/>
      <w:start w:val="8"/>
    </w:lvl>
  </w:abstractNum>
  <w:abstractNum w:abstractNumId="82">
    <w:nsid w:val="14E17E33"/>
    <w:multiLevelType w:val="hybridMultilevel"/>
    <w:lvl w:ilvl="0">
      <w:lvlJc w:val="left"/>
      <w:lvlText w:val="%1."/>
      <w:numFmt w:val="lowerLetter"/>
      <w:start w:val="12"/>
    </w:lvl>
  </w:abstractNum>
  <w:abstractNum w:abstractNumId="83">
    <w:nsid w:val="3222E7CD"/>
    <w:multiLevelType w:val="hybridMultilevel"/>
    <w:lvl w:ilvl="0">
      <w:lvlJc w:val="left"/>
      <w:lvlText w:val="%1"/>
      <w:numFmt w:val="decimal"/>
      <w:start w:val="1"/>
    </w:lvl>
    <w:lvl w:ilvl="1">
      <w:lvlJc w:val="left"/>
      <w:lvlText w:val="(%2)"/>
      <w:numFmt w:val="lowerLetter"/>
      <w:start w:val="13"/>
    </w:lvl>
  </w:abstractNum>
  <w:abstractNum w:abstractNumId="84">
    <w:nsid w:val="74DE0EE3"/>
    <w:multiLevelType w:val="hybridMultilevel"/>
    <w:lvl w:ilvl="0">
      <w:lvlJc w:val="left"/>
      <w:lvlText w:val="%1."/>
      <w:numFmt w:val="decimal"/>
      <w:start w:val="3"/>
    </w:lvl>
    <w:lvl w:ilvl="1">
      <w:lvlJc w:val="left"/>
      <w:lvlText w:val="%2"/>
      <w:numFmt w:val="lowerLetter"/>
      <w:start w:val="1"/>
    </w:lvl>
  </w:abstractNum>
  <w:abstractNum w:abstractNumId="85">
    <w:nsid w:val="68EBC550"/>
    <w:multiLevelType w:val="hybridMultilevel"/>
    <w:lvl w:ilvl="0">
      <w:lvlJc w:val="left"/>
      <w:lvlText w:val="%1."/>
      <w:numFmt w:val="decimal"/>
      <w:start w:val="4"/>
    </w:lvl>
  </w:abstractNum>
  <w:abstractNum w:abstractNumId="86">
    <w:nsid w:val="2DF6D648"/>
    <w:multiLevelType w:val="hybridMultilevel"/>
    <w:lvl w:ilvl="0">
      <w:lvlJc w:val="left"/>
      <w:lvlText w:val="%1."/>
      <w:numFmt w:val="decimal"/>
      <w:start w:val="7"/>
    </w:lvl>
    <w:lvl w:ilvl="1">
      <w:lvlJc w:val="left"/>
      <w:lvlText w:val="(%2)"/>
      <w:numFmt w:val="lowerLetter"/>
      <w:start w:val="1"/>
    </w:lvl>
  </w:abstractNum>
  <w:abstractNum w:abstractNumId="87">
    <w:nsid w:val="46B7D447"/>
    <w:multiLevelType w:val="hybridMultilevel"/>
    <w:lvl w:ilvl="0">
      <w:lvlJc w:val="left"/>
      <w:lvlText w:val="(%1)"/>
      <w:numFmt w:val="lowerLetter"/>
      <w:start w:val="2"/>
    </w:lvl>
  </w:abstractNum>
  <w:abstractNum w:abstractNumId="88">
    <w:nsid w:val="4A2AC315"/>
    <w:multiLevelType w:val="hybridMultilevel"/>
    <w:lvl w:ilvl="0">
      <w:lvlJc w:val="left"/>
      <w:lvlText w:val="%1"/>
      <w:numFmt w:val="decimal"/>
      <w:start w:val="1"/>
    </w:lvl>
    <w:lvl w:ilvl="1">
      <w:lvlJc w:val="left"/>
      <w:lvlText w:val="(%2)"/>
      <w:numFmt w:val="lowerLetter"/>
      <w:start w:val="3"/>
    </w:lvl>
  </w:abstractNum>
  <w:abstractNum w:abstractNumId="89">
    <w:nsid w:val="39EE015C"/>
    <w:multiLevelType w:val="hybridMultilevel"/>
    <w:lvl w:ilvl="0">
      <w:lvlJc w:val="left"/>
      <w:lvlText w:val="%1."/>
      <w:numFmt w:val="decimal"/>
      <w:start w:val="11"/>
    </w:lvl>
    <w:lvl w:ilvl="1">
      <w:lvlJc w:val="left"/>
      <w:lvlText w:val="%2"/>
      <w:numFmt w:val="lowerLetter"/>
      <w:start w:val="1"/>
    </w:lvl>
  </w:abstractNum>
  <w:abstractNum w:abstractNumId="90">
    <w:nsid w:val="57FC4FBB"/>
    <w:multiLevelType w:val="hybridMultilevel"/>
    <w:lvl w:ilvl="0">
      <w:lvlJc w:val="left"/>
      <w:lvlText w:val="%1."/>
      <w:numFmt w:val="decimal"/>
      <w:start w:val="13"/>
    </w:lvl>
    <w:lvl w:ilvl="1">
      <w:lvlJc w:val="left"/>
      <w:lvlText w:val="(%2)"/>
      <w:numFmt w:val="lowerLetter"/>
      <w:start w:val="1"/>
    </w:lvl>
  </w:abstractNum>
  <w:abstractNum w:abstractNumId="91">
    <w:nsid w:val="CC1016F"/>
    <w:multiLevelType w:val="hybridMultilevel"/>
    <w:lvl w:ilvl="0">
      <w:lvlJc w:val="left"/>
      <w:lvlText w:val="%1."/>
      <w:numFmt w:val="decimal"/>
      <w:start w:val="16"/>
    </w:lvl>
  </w:abstractNum>
  <w:abstractNum w:abstractNumId="92">
    <w:nsid w:val="43F18422"/>
    <w:multiLevelType w:val="hybridMultilevel"/>
    <w:lvl w:ilvl="0">
      <w:lvlJc w:val="left"/>
      <w:lvlText w:val="(%1)"/>
      <w:numFmt w:val="lowerLetter"/>
      <w:start w:val="2"/>
    </w:lvl>
  </w:abstractNum>
  <w:abstractNum w:abstractNumId="93">
    <w:nsid w:val="60EF011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jpeg"/><Relationship Id="rId9" Type="http://schemas.openxmlformats.org/officeDocument/2006/relationships/hyperlink" Target="http://www.sec.gov/Archives/edgar/data/1833141/000106299325015680/formf10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2025-10-29T05:29:36Z</dcterms:created>
  <dcterms:modified xsi:type="dcterms:W3CDTF">2025-10-29T05:29:36Z</dcterms:modified>
</cp:coreProperties>
</file>