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October,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Helus Pharma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48"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349"/>
        <w:gridCol w:w="349"/>
        <w:gridCol w:w="349"/>
        <w:gridCol w:w="654"/>
        <w:gridCol w:w="654"/>
        <w:gridCol w:w="6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HELUS 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/s/ Greg Cavers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586" w:type="dxa"/>
        <w:jc w:val="left"/>
        <w:tblInd w:w="0" w:type="dxa"/>
        <w:tblLayout w:type="fixed"/>
        <w:tblCellMar>
          <w:top w:w="28" w:type="dxa"/>
          <w:left w:w="28" w:type="dxa"/>
          <w:bottom w:w="28" w:type="dxa"/>
          <w:right w:w="28" w:type="dxa"/>
        </w:tblCellMar>
      </w:tblPr>
      <w:tblGrid>
        <w:gridCol w:w="174"/>
        <w:gridCol w:w="153"/>
        <w:gridCol w:w="154"/>
        <w:gridCol w:w="909"/>
        <w:gridCol w:w="909"/>
        <w:gridCol w:w="128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1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essreleaseannouncingname.htm">
              <w:r>
                <w:rPr>
                  <w:rStyle w:val="InternetLink"/>
                  <w:rFonts w:ascii="Times New Roman;serif" w:hAnsi="Times New Roman;serif"/>
                  <w:b w:val="false"/>
                  <w:color w:val="000080"/>
                  <w:sz w:val="20"/>
                  <w:u w:val="single"/>
                </w:rPr>
                <w:t xml:space="preserve">News Release dated </w:t>
              </w:r>
            </w:hyperlink>
            <w:hyperlink w:anchor="pressreleaseannouncingname.htm">
              <w:r>
                <w:rPr>
                  <w:rStyle w:val="InternetLink"/>
                  <w:rFonts w:ascii="Times New Roman;serif" w:hAnsi="Times New Roman;serif"/>
                  <w:b w:val="false"/>
                  <w:color w:val="000080"/>
                  <w:sz w:val="20"/>
                  <w:u w:val="single"/>
                </w:rPr>
                <w:t>October</w:t>
              </w:r>
            </w:hyperlink>
            <w:hyperlink w:anchor="pressreleaseannouncingname.htm">
              <w:r>
                <w:rPr>
                  <w:rStyle w:val="InternetLink"/>
                  <w:rFonts w:ascii="Times New Roman;serif" w:hAnsi="Times New Roman;serif"/>
                  <w:b w:val="false"/>
                  <w:color w:val="000080"/>
                  <w:sz w:val="20"/>
                  <w:u w:val="single"/>
                </w:rPr>
                <w:t xml:space="preserve"> </w:t>
              </w:r>
            </w:hyperlink>
            <w:hyperlink w:anchor="pressreleaseannouncingname.htm">
              <w:r>
                <w:rPr>
                  <w:rStyle w:val="InternetLink"/>
                  <w:rFonts w:ascii="Times New Roman;serif" w:hAnsi="Times New Roman;serif"/>
                  <w:b w:val="false"/>
                  <w:color w:val="000080"/>
                  <w:sz w:val="20"/>
                  <w:u w:val="single"/>
                </w:rPr>
                <w:t>1, 2026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Helus Pharma Announces Completion of Legal Name Change</w:t>
      </w:r>
    </w:p>
    <w:p>
      <w:pPr>
        <w:pStyle w:val="TextBody"/>
        <w:bidi w:val="0"/>
        <w:spacing w:lineRule="auto" w:line="295" w:before="252" w:after="240"/>
        <w:jc w:val="both"/>
        <w:rPr/>
      </w:pPr>
      <w:r>
        <w:rPr>
          <w:rFonts w:ascii="Times New Roman;serif" w:hAnsi="Times New Roman;serif"/>
          <w:b/>
          <w:color w:val="000000"/>
          <w:sz w:val="22"/>
        </w:rPr>
        <w:t xml:space="preserve">NEW YORK and TORONTO </w:t>
      </w:r>
      <w:r>
        <w:rPr>
          <w:color w:val="000000"/>
        </w:rPr>
        <w:t xml:space="preserve">– </w:t>
      </w:r>
      <w:r>
        <w:rPr>
          <w:rFonts w:ascii="Times New Roman;serif" w:hAnsi="Times New Roman;serif"/>
          <w:b w:val="false"/>
          <w:color w:val="000000"/>
          <w:sz w:val="22"/>
        </w:rPr>
        <w:t xml:space="preserve">October 1, 2026 – Helus Pharma (Nasdaq: HELP) (Cboe CA: HELP) (“Helus” or the “Company”), a clinical-stage pharmaceutical company committed to helping minds heal by developing novel serotonergic agonists (“NSAs”), is pleased to announce the Company’s legal name has been changed from “Cybin Inc.” to “Helus Pharma Inc.” effective October 1, 2026. The name change was approved by shareholders at the Company’s annual and special meeting of shareholders held on September 22, 2026. The name change follows the Company’s adoption of the business name “Helus Pharma” on January 5, 2026 and reflects the Company’s anticipated transformation from a clinical stage discovery and development company to a commercial-ready pharmaceutical company. </w:t>
      </w:r>
    </w:p>
    <w:p>
      <w:pPr>
        <w:pStyle w:val="TextBody"/>
        <w:bidi w:val="0"/>
        <w:spacing w:lineRule="auto" w:line="295" w:before="252" w:after="240"/>
        <w:jc w:val="both"/>
        <w:rPr>
          <w:rFonts w:ascii="Times New Roman;serif" w:hAnsi="Times New Roman;serif"/>
          <w:b w:val="false"/>
          <w:color w:val="000000"/>
          <w:sz w:val="22"/>
        </w:rPr>
      </w:pPr>
      <w:r>
        <w:rPr>
          <w:rFonts w:ascii="Times New Roman;serif" w:hAnsi="Times New Roman;serif"/>
          <w:b w:val="false"/>
          <w:color w:val="000000"/>
          <w:sz w:val="22"/>
        </w:rPr>
        <w:t>The Company’s common shares will continue to trade on the Nasdaq Global Market and Cboe Canada under the ticker symbol “HELP”. No action is required by existing shareholders, and outstanding share certificates and DRS statements remain valid. The new CUSIP number assigned to the Company’s common shares is 423492107 and its new ISIN is CA4234921076.</w:t>
      </w:r>
    </w:p>
    <w:p>
      <w:pPr>
        <w:pStyle w:val="TextBody"/>
        <w:bidi w:val="0"/>
        <w:spacing w:lineRule="auto" w:line="295" w:before="252"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will continue to file documents under its updated profile on SEDAR+ at www.sedarplus.ca and with the U.S. Securities and Exchange Commission on EDGAR at www.sec.gov. </w:t>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About Helus Pharma</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is working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transform from a clinical stage discovery and development company to a commercial-ready pharmaceutical company; and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makes no medical, treatment or health benefit claims about Company’s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Helus Pharma cannot obtain the approvals or research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commercialize its business, it may have a material adverse effect on Company’s performance and operations.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i/>
          <w:color w:val="000000"/>
          <w:sz w:val="22"/>
        </w:rPr>
      </w:pPr>
      <w:r>
        <w:rPr>
          <w:rFonts w:ascii="Times New Roman;serif" w:hAnsi="Times New Roman;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Matthew Beck</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astr partners</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Managing Partner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(917) 415-1750</w:t>
      </w:r>
    </w:p>
    <w:p>
      <w:pPr>
        <w:pStyle w:val="TextBody"/>
        <w:bidi w:val="0"/>
        <w:spacing w:lineRule="auto" w:line="319" w:before="0" w:after="0"/>
        <w:jc w:val="both"/>
        <w:rPr/>
      </w:pPr>
      <w:r>
        <w:rPr>
          <w:rFonts w:ascii="Times New Roman;serif" w:hAnsi="Times New Roman;serif"/>
          <w:b w:val="false"/>
          <w:color w:val="0563C1"/>
          <w:sz w:val="22"/>
          <w:u w:val="single"/>
        </w:rPr>
        <w:t>Matthew.beck@astrpartners.com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Gabriel Fahel</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Chief Legal Officer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1-866-292-4601</w:t>
      </w:r>
    </w:p>
    <w:p>
      <w:pPr>
        <w:pStyle w:val="TextBody"/>
        <w:bidi w:val="0"/>
        <w:spacing w:lineRule="auto" w:line="319" w:before="0" w:after="0"/>
        <w:jc w:val="both"/>
        <w:rPr/>
      </w:pPr>
      <w:r>
        <w:rPr>
          <w:rFonts w:ascii="Times New Roman;serif" w:hAnsi="Times New Roman;serif"/>
          <w:b w:val="false"/>
          <w:color w:val="0563C1"/>
          <w:sz w:val="22"/>
          <w:u w:val="single"/>
        </w:rPr>
        <w:t>irteam@helus.com</w:t>
      </w:r>
      <w:r>
        <w:rPr>
          <w:color w:val="000000"/>
        </w:rPr>
        <w:t xml:space="preserve"> – </w:t>
      </w:r>
      <w:r>
        <w:rPr>
          <w:rFonts w:ascii="Times New Roman;serif" w:hAnsi="Times New Roman;serif"/>
          <w:b w:val="false"/>
          <w:color w:val="000000"/>
          <w:sz w:val="22"/>
        </w:rPr>
        <w:t xml:space="preserve">or – </w:t>
      </w:r>
      <w:r>
        <w:rPr>
          <w:rFonts w:ascii="Times New Roman;serif" w:hAnsi="Times New Roman;serif"/>
          <w:b w:val="false"/>
          <w:color w:val="0563C1"/>
          <w:sz w:val="22"/>
          <w:u w:val="single"/>
        </w:rPr>
        <w:t>media@helus.com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Victoria Verdeja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RXMD</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Public Relations Director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(212) 537-9495</w:t>
      </w:r>
    </w:p>
    <w:p>
      <w:pPr>
        <w:pStyle w:val="TextBody"/>
        <w:bidi w:val="0"/>
        <w:spacing w:lineRule="auto" w:line="319" w:before="0" w:after="0"/>
        <w:jc w:val="both"/>
        <w:rPr/>
      </w:pPr>
      <w:r>
        <w:rPr>
          <w:rFonts w:ascii="Times New Roman;serif" w:hAnsi="Times New Roman;serif"/>
          <w:b w:val="false"/>
          <w:color w:val="0563C1"/>
          <w:sz w:val="22"/>
          <w:u w:val="single"/>
        </w:rPr>
        <w:t>vverdeja@rxmedyn.com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1165</Words>
  <Characters>6916</Characters>
  <CharactersWithSpaces>8049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