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r>
      <w:r>
        <w:rPr>
          <w:b/>
        </w:rPr>
        <w:t>Washington, D.C. 20549</w:t>
      </w:r>
      <w:r>
        <w:rPr/>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spacing w:before="200" w:after="0"/>
        <w:jc w:val="both"/>
        <w:rPr/>
      </w:pPr>
      <w:r>
        <w:rPr/>
        <w:t xml:space="preserve">For the month of </w:t>
      </w:r>
      <w:r>
        <w:rPr>
          <w:b/>
          <w:u w:val="single"/>
        </w:rPr>
        <w:t>July, 2026.</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100 King Street West, Suite 5600, Toronto, Ontario, M5X 1C9</w:t>
      </w:r>
      <w:r>
        <w:rPr>
          <w:b/>
        </w:rPr>
        <w:t xml:space="preserve"> </w:t>
      </w:r>
    </w:p>
    <w:p>
      <w:pPr>
        <w:pStyle w:val="TextBody"/>
        <w:bidi w:val="0"/>
        <w:spacing w:before="0" w:after="200"/>
        <w:jc w:val="center"/>
        <w:rPr/>
      </w:pPr>
      <w:r>
        <w:rPr/>
        <w:t>(Address of principal executive offices)</w:t>
      </w:r>
    </w:p>
    <w:p>
      <w:pPr>
        <w:pStyle w:val="TextBody"/>
        <w:bidi w:val="0"/>
        <w:spacing w:before="200" w:after="0"/>
        <w:jc w:val="both"/>
        <w:rPr/>
      </w:pPr>
      <w:r>
        <w:rPr/>
        <w:t>Indicate by check mark whether the registrant files or will file annual reports under cover Form 20-F or Form 40-F.</w:t>
      </w:r>
    </w:p>
    <w:p>
      <w:pPr>
        <w:pStyle w:val="TextBody"/>
        <w:bidi w:val="0"/>
        <w:spacing w:before="0" w:after="200"/>
        <w:jc w:val="both"/>
        <w:rPr/>
      </w:pPr>
      <w:r>
        <w:rPr/>
        <w:t>Form 20-F □ Form 40-F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INCORPORATION BY REFERENCE</w:t>
      </w:r>
    </w:p>
    <w:p>
      <w:pPr>
        <w:pStyle w:val="TextBody"/>
        <w:bidi w:val="0"/>
        <w:spacing w:before="200" w:after="200"/>
        <w:ind w:left="0" w:right="0" w:firstLine="720"/>
        <w:jc w:val="both"/>
        <w:rPr/>
      </w:pPr>
      <w:r>
        <w:rPr/>
        <w:t>Exhibit 99.1 of this Form 6-K of Cybin Inc. (the "Company") is hereby incorporated by reference into the Registration Statement on Form F-10 (</w:t>
      </w:r>
      <w:hyperlink r:id="rId2">
        <w:r>
          <w:rPr>
            <w:rStyle w:val="InternetLink"/>
            <w:u w:val="single"/>
          </w:rPr>
          <w:t>File No. 333-292294</w:t>
        </w:r>
      </w:hyperlink>
      <w:r>
        <w:rPr/>
        <w:t>)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ind w:left="0" w:right="0" w:firstLine="720"/>
        <w:jc w:val="both"/>
        <w:rPr/>
      </w:pPr>
      <w:r>
        <w:rPr/>
        <w:t>Pursuant to the requirements of the Securities Exchange Act of 1934, the registrant has duly caused this report to be signed on its behalf by the undersigned, thereunto duly authorized.</w:t>
      </w:r>
    </w:p>
    <w:tbl>
      <w:tblPr>
        <w:tblW w:w="4730" w:type="dxa"/>
        <w:jc w:val="left"/>
        <w:tblInd w:w="0" w:type="dxa"/>
        <w:tblLayout w:type="fixed"/>
        <w:tblCellMar>
          <w:top w:w="0" w:type="dxa"/>
          <w:left w:w="0" w:type="dxa"/>
          <w:bottom w:w="0" w:type="dxa"/>
          <w:right w:w="0" w:type="dxa"/>
        </w:tblCellMar>
      </w:tblPr>
      <w:tblGrid>
        <w:gridCol w:w="545"/>
        <w:gridCol w:w="1310"/>
        <w:gridCol w:w="650"/>
        <w:gridCol w:w="2225"/>
      </w:tblGrid>
      <w:tr>
        <w:trPr/>
        <w:tc>
          <w:tcPr>
            <w:tcW w:w="54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b/>
              </w:rPr>
            </w:pPr>
            <w:r>
              <w:rPr>
                <w:b/>
              </w:rPr>
              <w:t>CYBIN INC.</w:t>
            </w:r>
          </w:p>
        </w:tc>
      </w:tr>
      <w:tr>
        <w:trPr/>
        <w:tc>
          <w:tcPr>
            <w:tcW w:w="54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2875" w:type="dxa"/>
            <w:gridSpan w:val="2"/>
            <w:tcBorders/>
            <w:vAlign w:val="center"/>
          </w:tcPr>
          <w:p>
            <w:pPr>
              <w:pStyle w:val="TableContents"/>
              <w:bidi w:val="0"/>
              <w:spacing w:before="0" w:after="0"/>
              <w:jc w:val="left"/>
              <w:rPr/>
            </w:pPr>
            <w:r>
              <w:rPr/>
              <w:t>(Registrant)</w:t>
            </w:r>
          </w:p>
        </w:tc>
      </w:tr>
      <w:tr>
        <w:trPr/>
        <w:tc>
          <w:tcPr>
            <w:tcW w:w="54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Date:</w:t>
            </w:r>
          </w:p>
        </w:tc>
        <w:tc>
          <w:tcPr>
            <w:tcW w:w="1310" w:type="dxa"/>
            <w:tcBorders/>
            <w:vAlign w:val="center"/>
          </w:tcPr>
          <w:p>
            <w:pPr>
              <w:pStyle w:val="TableContents"/>
              <w:bidi w:val="0"/>
              <w:spacing w:before="0" w:after="0"/>
              <w:jc w:val="left"/>
              <w:rPr/>
            </w:pPr>
            <w:r>
              <w:rPr/>
              <w:t>July 16, 2026</w:t>
            </w:r>
          </w:p>
        </w:tc>
        <w:tc>
          <w:tcPr>
            <w:tcW w:w="650" w:type="dxa"/>
            <w:tcBorders>
              <w:bottom w:val="single" w:sz="6" w:space="0" w:color="000000"/>
            </w:tcBorders>
            <w:tcMar>
              <w:bottom w:w="28" w:type="dxa"/>
            </w:tcMar>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i/>
              </w:rPr>
            </w:pPr>
            <w:r>
              <w:rPr>
                <w:i/>
              </w:rPr>
              <w:t xml:space="preserve">/s/ Greg Cavers </w:t>
            </w:r>
          </w:p>
        </w:tc>
      </w:tr>
      <w:tr>
        <w:trPr/>
        <w:tc>
          <w:tcPr>
            <w:tcW w:w="54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Greg Cavers</w:t>
            </w:r>
          </w:p>
        </w:tc>
      </w:tr>
      <w:tr>
        <w:trPr/>
        <w:tc>
          <w:tcPr>
            <w:tcW w:w="54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7" w:name="page_4"/>
      <w:bookmarkEnd w:id="7"/>
      <w:r>
        <w:rPr>
          <w:b/>
          <w:u w:val="single"/>
        </w:rPr>
        <w:t>EXHIBIT INDEX</w:t>
      </w:r>
    </w:p>
    <w:tbl>
      <w:tblPr>
        <w:tblW w:w="4735" w:type="dxa"/>
        <w:jc w:val="left"/>
        <w:tblInd w:w="0" w:type="dxa"/>
        <w:tblLayout w:type="fixed"/>
        <w:tblCellMar>
          <w:top w:w="0" w:type="dxa"/>
          <w:left w:w="0" w:type="dxa"/>
          <w:bottom w:w="0" w:type="dxa"/>
          <w:right w:w="0" w:type="dxa"/>
        </w:tblCellMar>
      </w:tblPr>
      <w:tblGrid>
        <w:gridCol w:w="455"/>
        <w:gridCol w:w="4280"/>
      </w:tblGrid>
      <w:tr>
        <w:trPr/>
        <w:tc>
          <w:tcPr>
            <w:tcW w:w="45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4280" w:type="dxa"/>
            <w:tcBorders/>
            <w:shd w:fill="EEEEEE" w:val="clear"/>
            <w:vAlign w:val="center"/>
          </w:tcPr>
          <w:p>
            <w:pPr>
              <w:pStyle w:val="TableContents"/>
              <w:bidi w:val="0"/>
              <w:spacing w:before="0" w:after="0"/>
              <w:jc w:val="both"/>
              <w:rPr/>
            </w:pPr>
            <w:hyperlink w:anchor="exhibit99-1.htm">
              <w:r>
                <w:rPr>
                  <w:rStyle w:val="InternetLink"/>
                  <w:u w:val="single"/>
                </w:rPr>
                <w:t>Material Change Report dated June 26, 2026</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8" w:name="exhibit99-1.htm"/>
      <w:bookmarkStart w:id="9" w:name="ksexhibit991"/>
      <w:bookmarkStart w:id="10" w:name="exhibit99-1.htm"/>
      <w:bookmarkStart w:id="11" w:name="ksexhibit991"/>
      <w:bookmarkEnd w:id="10"/>
      <w:bookmarkEnd w:id="11"/>
      <w:r>
        <w:br w:type="page"/>
      </w:r>
    </w:p>
    <w:p>
      <w:pPr>
        <w:pStyle w:val="TextBody"/>
        <w:bidi w:val="0"/>
        <w:spacing w:before="200" w:after="0"/>
        <w:jc w:val="center"/>
        <w:rPr>
          <w:b/>
        </w:rPr>
      </w:pPr>
      <w:bookmarkStart w:id="12" w:name="page_11"/>
      <w:bookmarkEnd w:id="12"/>
      <w:r>
        <w:rPr>
          <w:b/>
        </w:rPr>
        <w:t>FORM 51-102F3</w:t>
      </w:r>
    </w:p>
    <w:p>
      <w:pPr>
        <w:pStyle w:val="TextBody"/>
        <w:bidi w:val="0"/>
        <w:spacing w:before="0" w:after="200"/>
        <w:jc w:val="center"/>
        <w:rPr>
          <w:b/>
        </w:rPr>
      </w:pPr>
      <w:r>
        <w:rPr>
          <w:b/>
        </w:rPr>
        <w:t>MATERIAL CHANGE REPORT</w:t>
      </w:r>
    </w:p>
    <w:p>
      <w:pPr>
        <w:pStyle w:val="TextBody"/>
        <w:bidi w:val="0"/>
        <w:spacing w:before="200" w:after="200"/>
        <w:jc w:val="left"/>
        <w:rPr>
          <w:b/>
        </w:rPr>
      </w:pPr>
      <w:r>
        <w:rPr>
          <w:b/>
        </w:rPr>
        <w:t>Item 1. Name and Address of Company</w:t>
      </w:r>
    </w:p>
    <w:p>
      <w:pPr>
        <w:pStyle w:val="TextBody"/>
        <w:bidi w:val="0"/>
        <w:spacing w:before="200" w:after="200"/>
        <w:jc w:val="both"/>
        <w:rPr/>
      </w:pPr>
      <w:r>
        <w:rPr/>
        <w:t>Cybin Inc. d/b/a Helus Pharma (the "</w:t>
      </w:r>
      <w:r>
        <w:rPr>
          <w:b/>
        </w:rPr>
        <w:t>Company</w:t>
      </w:r>
      <w:r>
        <w:rPr/>
        <w:t>")</w:t>
        <w:br/>
        <w:t>100 King Street West, Suite 5600</w:t>
        <w:br/>
        <w:t>Toronto, Ontario</w:t>
        <w:br/>
        <w:t>M5X 1C9</w:t>
      </w:r>
    </w:p>
    <w:p>
      <w:pPr>
        <w:pStyle w:val="TextBody"/>
        <w:bidi w:val="0"/>
        <w:spacing w:before="200" w:after="200"/>
        <w:jc w:val="both"/>
        <w:rPr>
          <w:b/>
        </w:rPr>
      </w:pPr>
      <w:r>
        <w:rPr>
          <w:b/>
        </w:rPr>
        <w:t>Item 2. Date of Material Change</w:t>
      </w:r>
    </w:p>
    <w:p>
      <w:pPr>
        <w:pStyle w:val="TextBody"/>
        <w:bidi w:val="0"/>
        <w:spacing w:before="200" w:after="200"/>
        <w:jc w:val="both"/>
        <w:rPr/>
      </w:pPr>
      <w:r>
        <w:rPr/>
        <w:t>June 24, 2026</w:t>
      </w:r>
    </w:p>
    <w:p>
      <w:pPr>
        <w:pStyle w:val="TextBody"/>
        <w:bidi w:val="0"/>
        <w:spacing w:before="200" w:after="200"/>
        <w:jc w:val="both"/>
        <w:rPr>
          <w:b/>
        </w:rPr>
      </w:pPr>
      <w:r>
        <w:rPr>
          <w:b/>
        </w:rPr>
        <w:t>Item 3. News Release</w:t>
      </w:r>
    </w:p>
    <w:p>
      <w:pPr>
        <w:pStyle w:val="TextBody"/>
        <w:bidi w:val="0"/>
        <w:spacing w:before="200" w:after="200"/>
        <w:jc w:val="both"/>
        <w:rPr/>
      </w:pPr>
      <w:r>
        <w:rPr/>
        <w:t>News releases with respect to the material change were disseminated by the Company on June 24 and June 25, 2026 through GlobeNewswire (collectively, the "</w:t>
      </w:r>
      <w:r>
        <w:rPr>
          <w:b/>
        </w:rPr>
        <w:t>News Releases</w:t>
      </w:r>
      <w:r>
        <w:rPr/>
        <w:t>").</w:t>
      </w:r>
    </w:p>
    <w:p>
      <w:pPr>
        <w:pStyle w:val="TextBody"/>
        <w:bidi w:val="0"/>
        <w:spacing w:before="200" w:after="200"/>
        <w:jc w:val="both"/>
        <w:rPr>
          <w:b/>
        </w:rPr>
      </w:pPr>
      <w:r>
        <w:rPr>
          <w:b/>
        </w:rPr>
        <w:t>Item 4. Summary of Material Change</w:t>
      </w:r>
    </w:p>
    <w:p>
      <w:pPr>
        <w:pStyle w:val="TextBody"/>
        <w:bidi w:val="0"/>
        <w:spacing w:before="200" w:after="200"/>
        <w:jc w:val="both"/>
        <w:rPr/>
      </w:pPr>
      <w:r>
        <w:rPr/>
        <w:t>On June 24, 2026, the Company announced an underwritten offering (the "</w:t>
      </w:r>
      <w:r>
        <w:rPr>
          <w:b/>
        </w:rPr>
        <w:t>Offering</w:t>
      </w:r>
      <w:r>
        <w:rPr/>
        <w:t>") of 10,309,280 common shares in the capital of the Company (the "</w:t>
      </w:r>
      <w:r>
        <w:rPr>
          <w:b/>
        </w:rPr>
        <w:t>Common Shares</w:t>
      </w:r>
      <w:r>
        <w:rPr/>
        <w:t>") at a price of US$4.85 per Common Share for aggregate gross proceeds of approximately US$50 million.</w:t>
      </w:r>
    </w:p>
    <w:p>
      <w:pPr>
        <w:pStyle w:val="TextBody"/>
        <w:bidi w:val="0"/>
        <w:spacing w:before="200" w:after="200"/>
        <w:jc w:val="both"/>
        <w:rPr/>
      </w:pPr>
      <w:r>
        <w:rPr/>
        <w:t>Cantor Fitzgerald &amp; Co. and Barclays Capital Inc. acted as joint bookrunning managers for the Offering, and Bloom Burton Securities Inc. and Lucid Capital Markets acted as lead managers.</w:t>
      </w:r>
    </w:p>
    <w:p>
      <w:pPr>
        <w:pStyle w:val="TextBody"/>
        <w:bidi w:val="0"/>
        <w:spacing w:before="200" w:after="200"/>
        <w:jc w:val="both"/>
        <w:rPr/>
      </w:pPr>
      <w:r>
        <w:rPr/>
        <w:t>On June 25, 2026, the Company announced it had closed the Offering.</w:t>
      </w:r>
    </w:p>
    <w:p>
      <w:pPr>
        <w:pStyle w:val="TextBody"/>
        <w:bidi w:val="0"/>
        <w:spacing w:before="200" w:after="200"/>
        <w:jc w:val="both"/>
        <w:rPr/>
      </w:pPr>
      <w:r>
        <w:rPr/>
        <w:t>The Company intends to use the net proceeds from the Offering to progress the Company's HLP003 program for major depressive disorder, HLP004 for generalized anxiety disorder and HLP005 programs, and for working capital and general corporate purposes.</w:t>
      </w:r>
    </w:p>
    <w:p>
      <w:pPr>
        <w:pStyle w:val="TextBody"/>
        <w:bidi w:val="0"/>
        <w:spacing w:before="200" w:after="200"/>
        <w:jc w:val="both"/>
        <w:rPr/>
      </w:pPr>
      <w:r>
        <w:rPr/>
        <w:t>The Common Shares were offered in the United States and in certain other jurisdictions outside of Canada pursuant to a prospectus supplement (the "</w:t>
      </w:r>
      <w:r>
        <w:rPr>
          <w:b/>
        </w:rPr>
        <w:t>Prospectus Supplement</w:t>
      </w:r>
      <w:r>
        <w:rPr/>
        <w:t>") to the Company's short form base shelf prospectus dated September 17, 2025, as amended on December 19, 2025 (the "</w:t>
      </w:r>
      <w:r>
        <w:rPr>
          <w:b/>
        </w:rPr>
        <w:t>Base Shelf Prospectus</w:t>
      </w:r>
      <w:r>
        <w:rPr/>
        <w:t>"). The Prospectus Supplement was filed with the securities commissions in all of the provinces and territories of Canada and with the United States Securities and Exchange Commission (the "</w:t>
      </w:r>
      <w:r>
        <w:rPr>
          <w:b/>
        </w:rPr>
        <w:t>SEC</w:t>
      </w:r>
      <w:r>
        <w:rPr/>
        <w:t>"), as part of a registration statement on Form F-10 (File No. 333-292294), which was declared effective by the SEC on December 19, 2025, under the United States Securities Act of 1933, as amended, in accordance with the Multijurisdictional Disclosure System established between Canada and the United States.</w:t>
      </w:r>
    </w:p>
    <w:p>
      <w:pPr>
        <w:pStyle w:val="TextBody"/>
        <w:bidi w:val="0"/>
        <w:spacing w:before="200" w:after="200"/>
        <w:jc w:val="both"/>
        <w:rPr>
          <w:b/>
        </w:rPr>
      </w:pPr>
      <w:r>
        <w:rPr>
          <w:b/>
        </w:rPr>
        <w:t>Item 5. Full Description of Material Change</w:t>
      </w:r>
    </w:p>
    <w:p>
      <w:pPr>
        <w:pStyle w:val="TextBody"/>
        <w:bidi w:val="0"/>
        <w:spacing w:before="200" w:after="200"/>
        <w:jc w:val="both"/>
        <w:rPr/>
      </w:pPr>
      <w:r>
        <w:rPr/>
        <w:t>See the full text of the News Releases attached hereto as Schedules "A" and "B".</w:t>
      </w:r>
    </w:p>
    <w:p>
      <w:pPr>
        <w:pStyle w:val="TextBody"/>
        <w:bidi w:val="0"/>
        <w:spacing w:before="200" w:after="200"/>
        <w:jc w:val="both"/>
        <w:rPr>
          <w:b/>
        </w:rPr>
      </w:pPr>
      <w:r>
        <w:rPr>
          <w:b/>
        </w:rPr>
        <w:t>Item 6. Reliance on subsection 7.1(2) of National Instrument 51-102</w:t>
      </w:r>
    </w:p>
    <w:p>
      <w:pPr>
        <w:pStyle w:val="TextBody"/>
        <w:bidi w:val="0"/>
        <w:spacing w:before="200" w:after="200"/>
        <w:jc w:val="both"/>
        <w:rPr/>
      </w:pPr>
      <w:r>
        <w:rPr/>
        <w:t>Not applicable.</w:t>
      </w:r>
    </w:p>
    <w:p>
      <w:pPr>
        <w:pStyle w:val="HorizontalLine"/>
        <w:pBdr>
          <w:bottom w:val="single" w:sz="30" w:space="0" w:color="000000"/>
        </w:pBdr>
        <w:bidi w:val="0"/>
        <w:jc w:val="left"/>
        <w:rPr/>
      </w:pPr>
      <w:r>
        <w:rPr/>
      </w:r>
    </w:p>
    <w:p>
      <w:pPr>
        <w:pStyle w:val="TextBody"/>
        <w:bidi w:val="0"/>
        <w:spacing w:before="200" w:after="200"/>
        <w:jc w:val="both"/>
        <w:rPr>
          <w:b/>
        </w:rPr>
      </w:pPr>
      <w:bookmarkStart w:id="13" w:name="page_21"/>
      <w:bookmarkEnd w:id="13"/>
      <w:r>
        <w:rPr>
          <w:b/>
        </w:rPr>
        <w:t>Item 7. Omitted Information</w:t>
      </w:r>
    </w:p>
    <w:p>
      <w:pPr>
        <w:pStyle w:val="TextBody"/>
        <w:bidi w:val="0"/>
        <w:spacing w:before="200" w:after="200"/>
        <w:jc w:val="both"/>
        <w:rPr/>
      </w:pPr>
      <w:r>
        <w:rPr/>
        <w:t>Not applicable.</w:t>
      </w:r>
    </w:p>
    <w:p>
      <w:pPr>
        <w:pStyle w:val="TextBody"/>
        <w:bidi w:val="0"/>
        <w:spacing w:before="200" w:after="200"/>
        <w:jc w:val="both"/>
        <w:rPr>
          <w:b/>
        </w:rPr>
      </w:pPr>
      <w:r>
        <w:rPr>
          <w:b/>
        </w:rPr>
        <w:t>Item 8. Executive Officer</w:t>
      </w:r>
    </w:p>
    <w:p>
      <w:pPr>
        <w:pStyle w:val="TextBody"/>
        <w:bidi w:val="0"/>
        <w:spacing w:before="200" w:after="200"/>
        <w:jc w:val="both"/>
        <w:rPr/>
      </w:pPr>
      <w:r>
        <w:rPr/>
        <w:t>Further information regarding the matters described in this report may be obtained from Greg Cavers, Chief Financial Officer of the Company, who is knowledgeable about the details of the material change and may be contacted at 1-866-292-4601 x715.</w:t>
      </w:r>
    </w:p>
    <w:p>
      <w:pPr>
        <w:pStyle w:val="TextBody"/>
        <w:bidi w:val="0"/>
        <w:spacing w:before="200" w:after="200"/>
        <w:jc w:val="both"/>
        <w:rPr>
          <w:b/>
        </w:rPr>
      </w:pPr>
      <w:r>
        <w:rPr>
          <w:b/>
        </w:rPr>
        <w:t>Item 9. Date of Report</w:t>
      </w:r>
    </w:p>
    <w:p>
      <w:pPr>
        <w:pStyle w:val="TextBody"/>
        <w:bidi w:val="0"/>
        <w:spacing w:before="200" w:after="200"/>
        <w:jc w:val="both"/>
        <w:rPr/>
      </w:pPr>
      <w:r>
        <w:rPr/>
        <w:t>June 26, 2026.</w:t>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14" w:name="page_31"/>
      <w:bookmarkEnd w:id="14"/>
      <w:r>
        <w:rPr>
          <w:b/>
          <w:u w:val="single"/>
        </w:rPr>
        <w:t>Schedule "A"</w:t>
      </w:r>
    </w:p>
    <w:p>
      <w:pPr>
        <w:pStyle w:val="TextBody"/>
        <w:bidi w:val="0"/>
        <w:spacing w:before="200" w:after="0"/>
        <w:jc w:val="both"/>
        <w:rPr/>
      </w:pPr>
      <w:r>
        <w:rPr/>
        <w:drawing>
          <wp:inline distT="0" distB="0" distL="0" distR="0">
            <wp:extent cx="193357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933575" cy="1019175"/>
                    </a:xfrm>
                    <a:prstGeom prst="rect">
                      <a:avLst/>
                    </a:prstGeom>
                  </pic:spPr>
                </pic:pic>
              </a:graphicData>
            </a:graphic>
          </wp:inline>
        </w:drawing>
      </w:r>
    </w:p>
    <w:p>
      <w:pPr>
        <w:pStyle w:val="TextBody"/>
        <w:bidi w:val="0"/>
        <w:spacing w:before="0" w:after="200"/>
        <w:jc w:val="center"/>
        <w:rPr>
          <w:b/>
          <w:sz w:val="24"/>
        </w:rPr>
      </w:pPr>
      <w:r>
        <w:rPr>
          <w:b/>
          <w:sz w:val="24"/>
        </w:rPr>
        <w:t>HELUS PHARMA</w:t>
      </w:r>
      <w:r>
        <w:rPr>
          <w:b/>
          <w:position w:val="8"/>
          <w:sz w:val="19"/>
          <w:sz w:val="24"/>
        </w:rPr>
        <w:t>TM</w:t>
      </w:r>
      <w:r>
        <w:rPr>
          <w:b/>
          <w:sz w:val="24"/>
        </w:rPr>
        <w:t xml:space="preserve"> ANNOUNCES US$50 MILLION UNDERWRITTEN OFFERING</w:t>
      </w:r>
    </w:p>
    <w:p>
      <w:pPr>
        <w:pStyle w:val="TextBody"/>
        <w:bidi w:val="0"/>
        <w:spacing w:before="200" w:after="200"/>
        <w:jc w:val="both"/>
        <w:rPr/>
      </w:pPr>
      <w:r>
        <w:rPr/>
        <w:t>NEW YORK &amp; TORONTO - June 24, 2026 - Helus Pharma</w:t>
      </w:r>
      <w:r>
        <w:rPr>
          <w:position w:val="8"/>
          <w:sz w:val="19"/>
        </w:rPr>
        <w:t>TM</w:t>
      </w:r>
      <w:r>
        <w:rPr/>
        <w:t xml:space="preserve"> (Nasdaq: HELP) (Cboe CA: HELP) (the "</w:t>
      </w:r>
      <w:r>
        <w:rPr>
          <w:b/>
        </w:rPr>
        <w:t>Company</w:t>
      </w:r>
      <w:r>
        <w:rPr/>
        <w:t>" or "</w:t>
      </w:r>
      <w:r>
        <w:rPr>
          <w:b/>
        </w:rPr>
        <w:t>Helus Pharma</w:t>
      </w:r>
      <w:r>
        <w:rPr/>
        <w:t>"), a clinical stage pharmaceutical company committed to helping minds heal by developing novel serotonergic agonists ("</w:t>
      </w:r>
      <w:r>
        <w:rPr>
          <w:b/>
        </w:rPr>
        <w:t>NSAs</w:t>
      </w:r>
      <w:r>
        <w:rPr/>
        <w:t>"), is pleased to announce the pricing of an underwritten offering of 10,309,280 common shares in the capital of the Company (the "</w:t>
      </w:r>
      <w:r>
        <w:rPr>
          <w:b/>
        </w:rPr>
        <w:t>Common Shares</w:t>
      </w:r>
      <w:r>
        <w:rPr/>
        <w:t xml:space="preserve">") at an offering price of US$4.85 per Common Share, for aggregate gross proceeds of US$50 million (the " </w:t>
      </w:r>
      <w:r>
        <w:rPr>
          <w:b/>
        </w:rPr>
        <w:t>Offering</w:t>
      </w:r>
      <w:r>
        <w:rPr/>
        <w:t>").</w:t>
      </w:r>
    </w:p>
    <w:p>
      <w:pPr>
        <w:pStyle w:val="TextBody"/>
        <w:bidi w:val="0"/>
        <w:spacing w:before="200" w:after="200"/>
        <w:jc w:val="both"/>
        <w:rPr/>
      </w:pPr>
      <w:r>
        <w:rPr/>
        <w:t>Cantor and Barclays are acting as joint bookrunning managers for the Offering. Bloom Burton Securities Inc. and Lucid Capital Markets are acting as lead managers for the Offering.</w:t>
      </w:r>
    </w:p>
    <w:p>
      <w:pPr>
        <w:pStyle w:val="TextBody"/>
        <w:bidi w:val="0"/>
        <w:spacing w:before="200" w:after="200"/>
        <w:jc w:val="both"/>
        <w:rPr/>
      </w:pPr>
      <w:r>
        <w:rPr/>
        <w:t>The Offering is expected to close on June 25, 2026 or such other date as may be mutually agreed by the Company and the underwriters. The Offering is subject to customary closing conditions, including approval of Cboe Canada Inc. ("</w:t>
      </w:r>
      <w:r>
        <w:rPr>
          <w:b/>
        </w:rPr>
        <w:t>Cboe Canada</w:t>
      </w:r>
      <w:r>
        <w:rPr/>
        <w:t>") and notification of the Offering to the Nasdaq Global Market (the "</w:t>
      </w:r>
      <w:r>
        <w:rPr>
          <w:b/>
        </w:rPr>
        <w:t>Nasdaq</w:t>
      </w:r>
      <w:r>
        <w:rPr/>
        <w:t>").</w:t>
      </w:r>
    </w:p>
    <w:p>
      <w:pPr>
        <w:pStyle w:val="TextBody"/>
        <w:bidi w:val="0"/>
        <w:spacing w:before="200" w:after="200"/>
        <w:jc w:val="both"/>
        <w:rPr/>
      </w:pPr>
      <w:r>
        <w:rPr/>
        <w:t>The Company intends to use the net proceeds from the Offering to progress the Company's HLP003 for major depressive disorder with Phase 3 APPROACH data expected in the fourth quarter of 2026, HLP004 for generalized anxiety disorder, and HLP005 programs, and for working capital and general corporate purposes.</w:t>
      </w:r>
    </w:p>
    <w:p>
      <w:pPr>
        <w:pStyle w:val="TextBody"/>
        <w:bidi w:val="0"/>
        <w:spacing w:before="200" w:after="200"/>
        <w:jc w:val="both"/>
        <w:rPr/>
      </w:pPr>
      <w:r>
        <w:rPr/>
        <w:t>The Company is offering the Common Shares only in the United States and in certain other jurisdictions outside of Canada, pursuant to a prospectus supplement (the "</w:t>
      </w:r>
      <w:r>
        <w:rPr>
          <w:b/>
        </w:rPr>
        <w:t>Prospectus Supplement</w:t>
      </w:r>
      <w:r>
        <w:rPr/>
        <w:t>") to the Company's short form base shelf prospectus dated September 17, 2025, as amended on December 19, 2025 (the "</w:t>
      </w:r>
      <w:r>
        <w:rPr>
          <w:b/>
        </w:rPr>
        <w:t>Base Shelf Prospectus</w:t>
      </w:r>
      <w:r>
        <w:rPr/>
        <w:t>"). The Prospectus Supplement will be filed with the securities commissions in all of the provinces and territories of Canada and with the United States Securities and Exchange Commission (the "</w:t>
      </w:r>
      <w:r>
        <w:rPr>
          <w:b/>
        </w:rPr>
        <w:t>SEC</w:t>
      </w:r>
      <w:r>
        <w:rPr/>
        <w:t xml:space="preserve">"), as part of a registration statement on Form F-10 (File No. 333-292294) which was filed with the SEC, under the United States Securities Act of 1933, as amended, on December 19, 2025,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will be available on the Company's SEDAR+ profile at </w:t>
      </w:r>
      <w:r>
        <w:rPr>
          <w:u w:val="single"/>
        </w:rPr>
        <w:t>www.sedarplus.ca</w:t>
      </w:r>
      <w:r>
        <w:rPr/>
        <w:t xml:space="preserve"> and the Company's EDGAR profile at </w:t>
      </w:r>
      <w:r>
        <w:rPr>
          <w:u w:val="single"/>
        </w:rPr>
        <w:t>www.sec.gov/edgar</w:t>
      </w:r>
      <w:r>
        <w:rPr/>
        <w:t>.</w:t>
      </w:r>
    </w:p>
    <w:p>
      <w:pPr>
        <w:pStyle w:val="TextBody"/>
        <w:bidi w:val="0"/>
        <w:spacing w:before="200" w:after="200"/>
        <w:jc w:val="both"/>
        <w:rPr/>
      </w:pPr>
      <w:r>
        <w:rPr/>
        <w:t>The Base Shelf Prospectus is, and the Prospectus Supplement will be accessible on SEDAR+ and on EDGAR. An electronic or paper copy of the Base Shelf Prospectus and the Prospectus Supplement, upon filing, and any amendments thereto, may be obtained, without charge, from any of the Representatives by contacting Cantor Fitzgerald &amp; Co., Attention: Capital Markets, 110 East 59th Street, 6th Floor, New York, New York 10022, or by email at prospectus@cantor.com, or Barclays Capital Inc., c/o Broadridge Financial Solutions, 1155 Long Island Avenue, Edgewood, NY 11717, via telephone at (888) 603-5847, or via e-mail at Barclaysprospectus@broadridge.com.</w:t>
      </w:r>
    </w:p>
    <w:p>
      <w:pPr>
        <w:pStyle w:val="HorizontalLine"/>
        <w:pBdr>
          <w:bottom w:val="single" w:sz="30" w:space="0" w:color="000000"/>
        </w:pBdr>
        <w:bidi w:val="0"/>
        <w:jc w:val="left"/>
        <w:rPr/>
      </w:pPr>
      <w:r>
        <w:rPr/>
      </w:r>
    </w:p>
    <w:p>
      <w:pPr>
        <w:pStyle w:val="TextBody"/>
        <w:bidi w:val="0"/>
        <w:spacing w:before="200" w:after="200"/>
        <w:jc w:val="both"/>
        <w:rPr>
          <w:i/>
        </w:rPr>
      </w:pPr>
      <w:bookmarkStart w:id="15" w:name="page_41"/>
      <w:bookmarkEnd w:id="15"/>
      <w:r>
        <w:rPr>
          <w:i/>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before="200" w:after="200"/>
        <w:jc w:val="both"/>
        <w:rPr>
          <w:b/>
        </w:rPr>
      </w:pPr>
      <w:r>
        <w:rPr>
          <w:b/>
        </w:rPr>
        <w:t>About Helus Pharma</w:t>
      </w:r>
    </w:p>
    <w:p>
      <w:pPr>
        <w:pStyle w:val="TextBody"/>
        <w:bidi w:val="0"/>
        <w:spacing w:before="200" w:after="200"/>
        <w:jc w:val="both"/>
        <w:rPr/>
      </w:pPr>
      <w:r>
        <w:rPr/>
        <w:t>Helus Pharma</w:t>
      </w:r>
      <w:r>
        <w:rPr>
          <w:position w:val="8"/>
          <w:sz w:val="19"/>
        </w:rPr>
        <w:t>TM</w:t>
      </w:r>
      <w:r>
        <w:rPr/>
        <w:t>,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200" w:after="200"/>
        <w:jc w:val="both"/>
        <w:rPr/>
      </w:pPr>
      <w:r>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pStyle w:val="TextBody"/>
        <w:bidi w:val="0"/>
        <w:spacing w:before="200" w:after="200"/>
        <w:jc w:val="both"/>
        <w:rPr/>
      </w:pPr>
      <w:r>
        <w:rPr/>
        <w:t>The Company operates in Canada, the United States, the United Kingdom, and Ireland. Helus Pharma</w:t>
      </w:r>
      <w:r>
        <w:rPr>
          <w:position w:val="8"/>
          <w:sz w:val="19"/>
        </w:rPr>
        <w:t>TM</w:t>
      </w:r>
      <w:r>
        <w:rPr/>
        <w:t xml:space="preserve"> is a trademark of Helus Pharma Corp.</w:t>
      </w:r>
    </w:p>
    <w:p>
      <w:pPr>
        <w:pStyle w:val="TextBody"/>
        <w:bidi w:val="0"/>
        <w:spacing w:before="200" w:after="200"/>
        <w:jc w:val="both"/>
        <w:rPr>
          <w:b/>
        </w:rPr>
      </w:pPr>
      <w:r>
        <w:rPr>
          <w:b/>
        </w:rPr>
        <w:t>Cautionary Notes and Forward-Looking Statements</w:t>
      </w:r>
    </w:p>
    <w:p>
      <w:pPr>
        <w:pStyle w:val="TextBody"/>
        <w:bidi w:val="0"/>
        <w:spacing w:before="200" w:after="200"/>
        <w:jc w:val="both"/>
        <w:rPr/>
      </w:pPr>
      <w:r>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satisfaction of customary closing conditions related to the proposed Offering, whether and when the Offering may close, the receipt of applicable regulatory approvals, including the approval of Cboe Canada and the notification of the Offering to the Nasdaq, the Company's intended use of proceeds, and the Company's ability to address the need for treatment options for people who suffer from depression, anxiety and other mental health conditions.</w:t>
      </w:r>
    </w:p>
    <w:p>
      <w:pPr>
        <w:pStyle w:val="TextBody"/>
        <w:bidi w:val="0"/>
        <w:spacing w:before="200" w:after="200"/>
        <w:jc w:val="both"/>
        <w:rPr/>
      </w:pPr>
      <w:r>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u w:val="single"/>
        </w:rPr>
        <w:t>www.sedarplus.ca</w:t>
      </w:r>
      <w:r>
        <w:rPr/>
        <w:t xml:space="preserve"> and the Company's EDGAR profile at </w:t>
      </w:r>
      <w:r>
        <w:rPr>
          <w:u w:val="single"/>
        </w:rPr>
        <w:t>www.sec.gov/edgar</w:t>
      </w:r>
      <w:r>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HorizontalLine"/>
        <w:pBdr>
          <w:bottom w:val="single" w:sz="30" w:space="0" w:color="000000"/>
        </w:pBdr>
        <w:bidi w:val="0"/>
        <w:jc w:val="left"/>
        <w:rPr/>
      </w:pPr>
      <w:r>
        <w:rPr/>
      </w:r>
    </w:p>
    <w:p>
      <w:pPr>
        <w:pStyle w:val="TextBody"/>
        <w:bidi w:val="0"/>
        <w:spacing w:before="200" w:after="200"/>
        <w:jc w:val="both"/>
        <w:rPr/>
      </w:pPr>
      <w:bookmarkStart w:id="16" w:name="page_5"/>
      <w:bookmarkEnd w:id="16"/>
      <w:r>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200" w:after="200"/>
        <w:jc w:val="both"/>
        <w:rPr>
          <w:i/>
        </w:rPr>
      </w:pPr>
      <w:r>
        <w:rPr>
          <w:i/>
        </w:rPr>
        <w:t>Neither Cboe Canada nor the Nasdaq Global Market stock exchange have approved or disapproved the contents of this news release and are not responsible for the adequacy and accuracy of the contents herein.</w:t>
      </w:r>
    </w:p>
    <w:p>
      <w:pPr>
        <w:pStyle w:val="TextBody"/>
        <w:bidi w:val="0"/>
        <w:spacing w:before="200" w:after="200"/>
        <w:jc w:val="both"/>
        <w:rPr/>
      </w:pPr>
      <w:r>
        <w:rPr>
          <w:b/>
        </w:rPr>
        <w:t>Investor Contact:</w:t>
        <w:br/>
      </w:r>
      <w:r>
        <w:rPr/>
        <w:t>Matthew Beck</w:t>
        <w:br/>
        <w:t>astr partners</w:t>
        <w:br/>
        <w:t>Managing Partner</w:t>
        <w:br/>
        <w:t>(917) 415-1750</w:t>
        <w:br/>
      </w:r>
      <w:r>
        <w:rPr>
          <w:color w:val="0000FF"/>
          <w:u w:val="single"/>
        </w:rPr>
        <w:t>matthew.beck@astrpartners.com</w:t>
      </w:r>
    </w:p>
    <w:p>
      <w:pPr>
        <w:pStyle w:val="TextBody"/>
        <w:bidi w:val="0"/>
        <w:spacing w:before="200" w:after="200"/>
        <w:jc w:val="both"/>
        <w:rPr/>
      </w:pPr>
      <w:r>
        <w:rPr>
          <w:b/>
        </w:rPr>
        <w:t>George Tziras</w:t>
        <w:br/>
      </w:r>
      <w:r>
        <w:rPr/>
        <w:t>Chief Business Officer</w:t>
        <w:br/>
        <w:t>Helus Pharma</w:t>
        <w:br/>
        <w:t>1-866-292-4601</w:t>
        <w:br/>
      </w:r>
      <w:r>
        <w:rPr>
          <w:color w:val="0000FF"/>
          <w:u w:val="single"/>
        </w:rPr>
        <w:t>irteam@cybin.com</w:t>
      </w:r>
      <w:r>
        <w:rPr>
          <w:color w:val="0000FF"/>
        </w:rPr>
        <w:t> </w:t>
      </w:r>
      <w:r>
        <w:rPr/>
        <w:t xml:space="preserve">- or - </w:t>
      </w:r>
      <w:r>
        <w:rPr>
          <w:color w:val="0000FF"/>
          <w:u w:val="single"/>
        </w:rPr>
        <w:t>media@cybin.com</w:t>
      </w:r>
    </w:p>
    <w:p>
      <w:pPr>
        <w:pStyle w:val="TextBody"/>
        <w:bidi w:val="0"/>
        <w:spacing w:before="200" w:after="200"/>
        <w:jc w:val="both"/>
        <w:rPr/>
      </w:pPr>
      <w:r>
        <w:rPr>
          <w:b/>
        </w:rPr>
        <w:t>Media Contact:</w:t>
        <w:br/>
      </w:r>
      <w:r>
        <w:rPr/>
        <w:t>Johnny Tokarczyk</w:t>
        <w:br/>
        <w:t>RXMD</w:t>
        <w:br/>
        <w:t>Public Relations Director</w:t>
        <w:br/>
      </w:r>
      <w:r>
        <w:rPr>
          <w:color w:val="0000FF"/>
          <w:u w:val="single"/>
        </w:rPr>
        <w:t>jtokarczyk@rxmedyn.com</w:t>
        <w:br/>
      </w:r>
      <w:r>
        <w:rPr/>
        <w:t>(914) 772-7562</w:t>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17" w:name="page_6"/>
      <w:bookmarkEnd w:id="17"/>
      <w:r>
        <w:rPr>
          <w:b/>
          <w:u w:val="single"/>
        </w:rPr>
        <w:t>Schedule "B"</w:t>
      </w:r>
    </w:p>
    <w:p>
      <w:pPr>
        <w:pStyle w:val="TextBody"/>
        <w:bidi w:val="0"/>
        <w:spacing w:before="200" w:after="0"/>
        <w:jc w:val="both"/>
        <w:rPr/>
      </w:pPr>
      <w:r>
        <w:rPr/>
        <w:drawing>
          <wp:inline distT="0" distB="0" distL="0" distR="0">
            <wp:extent cx="1933575"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933575" cy="1019175"/>
                    </a:xfrm>
                    <a:prstGeom prst="rect">
                      <a:avLst/>
                    </a:prstGeom>
                  </pic:spPr>
                </pic:pic>
              </a:graphicData>
            </a:graphic>
          </wp:inline>
        </w:drawing>
      </w:r>
    </w:p>
    <w:p>
      <w:pPr>
        <w:pStyle w:val="TextBody"/>
        <w:bidi w:val="0"/>
        <w:spacing w:before="0" w:after="200"/>
        <w:jc w:val="center"/>
        <w:rPr>
          <w:b/>
          <w:sz w:val="24"/>
        </w:rPr>
      </w:pPr>
      <w:r>
        <w:rPr>
          <w:b/>
          <w:sz w:val="24"/>
        </w:rPr>
        <w:t>HELUS PHARMA</w:t>
      </w:r>
      <w:r>
        <w:rPr>
          <w:b/>
          <w:position w:val="8"/>
          <w:sz w:val="19"/>
          <w:sz w:val="24"/>
        </w:rPr>
        <w:t>TM</w:t>
      </w:r>
      <w:r>
        <w:rPr>
          <w:b/>
          <w:sz w:val="24"/>
        </w:rPr>
        <w:t xml:space="preserve"> ANNOUNCES CLOSING OF US$50 MILLION UNDERWRITTEN OFFERING</w:t>
      </w:r>
    </w:p>
    <w:p>
      <w:pPr>
        <w:pStyle w:val="TextBody"/>
        <w:bidi w:val="0"/>
        <w:spacing w:before="200" w:after="200"/>
        <w:jc w:val="both"/>
        <w:rPr/>
      </w:pPr>
      <w:r>
        <w:rPr/>
        <w:t>NEW YORK &amp; TORONTO - June 25, 2026 - Helus Pharma</w:t>
      </w:r>
      <w:r>
        <w:rPr>
          <w:position w:val="8"/>
          <w:sz w:val="19"/>
        </w:rPr>
        <w:t>TM</w:t>
      </w:r>
      <w:r>
        <w:rPr/>
        <w:t xml:space="preserve"> (Nasdaq: HELP) (Cboe CA: HELP) (the "</w:t>
      </w:r>
      <w:r>
        <w:rPr>
          <w:b/>
        </w:rPr>
        <w:t>Company"</w:t>
      </w:r>
      <w:r>
        <w:rPr/>
        <w:t xml:space="preserve"> or "</w:t>
      </w:r>
      <w:r>
        <w:rPr>
          <w:b/>
        </w:rPr>
        <w:t>Helus Pharma</w:t>
      </w:r>
      <w:r>
        <w:rPr/>
        <w:t>"), a clinical stage pharmaceutical company committed to helping minds heal by developing novel serotonergic agonists ("</w:t>
      </w:r>
      <w:r>
        <w:rPr>
          <w:b/>
        </w:rPr>
        <w:t>NSAs</w:t>
      </w:r>
      <w:r>
        <w:rPr/>
        <w:t>"), is pleased to announce that it has closed its previously announced underwritten offering of 10,309,280 common shares in the capital of the Company (the "</w:t>
      </w:r>
      <w:r>
        <w:rPr>
          <w:b/>
        </w:rPr>
        <w:t>Common Shares</w:t>
      </w:r>
      <w:r>
        <w:rPr/>
        <w:t>") at an offering price of US$4.85 per Common Share for aggregate gross proceeds of US$50 million (the "</w:t>
      </w:r>
      <w:r>
        <w:rPr>
          <w:b/>
        </w:rPr>
        <w:t>Offering</w:t>
      </w:r>
      <w:r>
        <w:rPr/>
        <w:t>").</w:t>
      </w:r>
    </w:p>
    <w:p>
      <w:pPr>
        <w:pStyle w:val="TextBody"/>
        <w:bidi w:val="0"/>
        <w:spacing w:before="200" w:after="200"/>
        <w:jc w:val="both"/>
        <w:rPr/>
      </w:pPr>
      <w:r>
        <w:rPr/>
        <w:t>Cantor and Barclays acted as joint bookrunning managers for the Offering. Bloom Burton Securities Inc. and Lucid Capital Markets acted as lead managers for the Offering.</w:t>
      </w:r>
    </w:p>
    <w:p>
      <w:pPr>
        <w:pStyle w:val="TextBody"/>
        <w:bidi w:val="0"/>
        <w:spacing w:before="200" w:after="200"/>
        <w:jc w:val="both"/>
        <w:rPr/>
      </w:pPr>
      <w:r>
        <w:rPr/>
        <w:t>The Company intends to use the net proceeds from the Offering to progress the Company's HLP003 for major depressive disorder with Phase 3 APPROACH data expected in the fourth quarter of 2026, HLP004 for generalized anxiety disorder, and HLP005 programs, and for working capital and general corporate purposes.</w:t>
      </w:r>
    </w:p>
    <w:p>
      <w:pPr>
        <w:pStyle w:val="TextBody"/>
        <w:bidi w:val="0"/>
        <w:spacing w:before="200" w:after="200"/>
        <w:jc w:val="both"/>
        <w:rPr/>
      </w:pPr>
      <w:r>
        <w:rPr/>
        <w:t>The Company offered the Common Shares only in the United States and in certain other jurisdictions outside of Canada, pursuant to a prospectus supplement (the "</w:t>
      </w:r>
      <w:r>
        <w:rPr>
          <w:b/>
        </w:rPr>
        <w:t>Prospectus Supplement</w:t>
      </w:r>
      <w:r>
        <w:rPr/>
        <w:t>") to the Company's short form base shelf prospectus dated September 17, 2025, as amended on December 19, 2025 (the "</w:t>
      </w:r>
      <w:r>
        <w:rPr>
          <w:b/>
        </w:rPr>
        <w:t>Base Shelf Prospectus</w:t>
      </w:r>
      <w:r>
        <w:rPr/>
        <w:t>"). The Prospectus Supplement was filed with the securities commissions in all of the provinces and territories of Canada and with the United States Securities and Exchange Commission (the "</w:t>
      </w:r>
      <w:r>
        <w:rPr>
          <w:b/>
        </w:rPr>
        <w:t>SEC</w:t>
      </w:r>
      <w:r>
        <w:rPr/>
        <w:t xml:space="preserve">"), as part of a registration statement on Form F-10 (File No. 333-292294) which was filed with the SEC, under the United States Securities Act of 1933, as amended, on December 19, 2025, in accordance with the Multijurisdictional Disclosure System established between Canada and the United States. The Base Shelf Prospectus, the Prospectus Supplement and the documents incorporated by reference therein, including any marketing materials, are available on the Company's SEDAR+ profile at </w:t>
      </w:r>
      <w:r>
        <w:rPr>
          <w:u w:val="single"/>
        </w:rPr>
        <w:t xml:space="preserve">www.sedarplus.ca </w:t>
      </w:r>
      <w:r>
        <w:rPr/>
        <w:t xml:space="preserve">and the Company's EDGAR profile at </w:t>
      </w:r>
      <w:r>
        <w:rPr>
          <w:u w:val="single"/>
        </w:rPr>
        <w:t>www.sec.gov/edgar</w:t>
      </w:r>
      <w:r>
        <w:rPr/>
        <w:t>. An electronic or paper copy of the Base Shelf Prospectus and the Prospectus Supplement may be obtained, without charge, by contacting Cantor Fitzgerald &amp; Co., Attention: Capital Markets, 110 East 59th Street, 6th Floor, New York, New York 10022, or by email at prospectus@cantor.com, or Barclays Capital Inc., c/o Broadridge Financial Solutions, 1155 Long Island Avenue, Edgewood, NY 11717, via telephone at (888) 603-5847, or via e-mail at Barclaysprospectus@broadridge.com.</w:t>
      </w:r>
    </w:p>
    <w:p>
      <w:pPr>
        <w:pStyle w:val="TextBody"/>
        <w:bidi w:val="0"/>
        <w:spacing w:before="200" w:after="200"/>
        <w:jc w:val="both"/>
        <w:rPr/>
      </w:pPr>
      <w:r>
        <w:rPr/>
        <w:t>In consideration for their services, the Company paid to the underwriters a cash commission of US$3 million.</w:t>
      </w:r>
    </w:p>
    <w:p>
      <w:pPr>
        <w:pStyle w:val="TextBody"/>
        <w:bidi w:val="0"/>
        <w:spacing w:before="200" w:after="200"/>
        <w:jc w:val="both"/>
        <w:rPr>
          <w:i/>
        </w:rPr>
      </w:pPr>
      <w:r>
        <w:rPr>
          <w:i/>
        </w:rPr>
        <w:t>This news release does not constitute an offer to sell or the solicitation of an offer to buy securities, nor will there be any sale of the securities, in any jurisdiction in which such offer, solicitation or sale would be unlawful.</w:t>
      </w:r>
    </w:p>
    <w:p>
      <w:pPr>
        <w:pStyle w:val="HorizontalLine"/>
        <w:pBdr>
          <w:bottom w:val="single" w:sz="30" w:space="0" w:color="000000"/>
        </w:pBdr>
        <w:bidi w:val="0"/>
        <w:jc w:val="left"/>
        <w:rPr/>
      </w:pPr>
      <w:r>
        <w:rPr/>
      </w:r>
    </w:p>
    <w:p>
      <w:pPr>
        <w:pStyle w:val="TextBody"/>
        <w:bidi w:val="0"/>
        <w:spacing w:before="200" w:after="200"/>
        <w:jc w:val="both"/>
        <w:rPr>
          <w:b/>
        </w:rPr>
      </w:pPr>
      <w:bookmarkStart w:id="18" w:name="page_7"/>
      <w:bookmarkEnd w:id="18"/>
      <w:r>
        <w:rPr>
          <w:b/>
        </w:rPr>
        <w:t>About Helus Pharma</w:t>
      </w:r>
    </w:p>
    <w:p>
      <w:pPr>
        <w:pStyle w:val="TextBody"/>
        <w:bidi w:val="0"/>
        <w:spacing w:before="200" w:after="200"/>
        <w:jc w:val="both"/>
        <w:rPr/>
      </w:pPr>
      <w:r>
        <w:rPr/>
        <w:t>Helus Pharma</w:t>
      </w:r>
      <w:r>
        <w:rPr>
          <w:position w:val="8"/>
          <w:sz w:val="19"/>
        </w:rPr>
        <w:t>TM</w:t>
      </w:r>
      <w:r>
        <w:rPr/>
        <w:t>,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200" w:after="200"/>
        <w:jc w:val="both"/>
        <w:rPr/>
      </w:pPr>
      <w:r>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pStyle w:val="TextBody"/>
        <w:bidi w:val="0"/>
        <w:spacing w:before="200" w:after="200"/>
        <w:jc w:val="both"/>
        <w:rPr/>
      </w:pPr>
      <w:r>
        <w:rPr/>
        <w:t>The Company operates in Canada, the United States, the United Kingdom, and Ireland. Helus Pharma</w:t>
      </w:r>
      <w:r>
        <w:rPr>
          <w:position w:val="8"/>
          <w:sz w:val="19"/>
        </w:rPr>
        <w:t>TM</w:t>
      </w:r>
      <w:r>
        <w:rPr/>
        <w:t xml:space="preserve"> is a trademark of Helus Pharma Corp.</w:t>
      </w:r>
    </w:p>
    <w:p>
      <w:pPr>
        <w:pStyle w:val="TextBody"/>
        <w:bidi w:val="0"/>
        <w:spacing w:before="200" w:after="200"/>
        <w:jc w:val="both"/>
        <w:rPr>
          <w:b/>
        </w:rPr>
      </w:pPr>
      <w:r>
        <w:rPr>
          <w:b/>
        </w:rPr>
        <w:t>Cautionary Notes and Forward-Looking Statements</w:t>
      </w:r>
    </w:p>
    <w:p>
      <w:pPr>
        <w:pStyle w:val="TextBody"/>
        <w:bidi w:val="0"/>
        <w:spacing w:before="200" w:after="200"/>
        <w:jc w:val="both"/>
        <w:rPr/>
      </w:pPr>
      <w:r>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intended use of proceeds, and the Company's ability to address the need for treatment options for people who suffer from depression, anxiety and other mental health conditions.</w:t>
      </w:r>
    </w:p>
    <w:p>
      <w:pPr>
        <w:pStyle w:val="TextBody"/>
        <w:bidi w:val="0"/>
        <w:spacing w:before="200" w:after="200"/>
        <w:jc w:val="both"/>
        <w:rPr/>
      </w:pPr>
      <w:r>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u w:val="single"/>
        </w:rPr>
        <w:t>www.sedarplus.ca</w:t>
      </w:r>
      <w:r>
        <w:rPr/>
        <w:t xml:space="preserve"> and the Company's EDGAR profile at </w:t>
      </w:r>
      <w:r>
        <w:rPr>
          <w:u w:val="single"/>
        </w:rPr>
        <w:t>www.sec.gov/edgar</w:t>
      </w:r>
      <w:r>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HorizontalLine"/>
        <w:pBdr>
          <w:bottom w:val="single" w:sz="30" w:space="0" w:color="000000"/>
        </w:pBdr>
        <w:bidi w:val="0"/>
        <w:jc w:val="left"/>
        <w:rPr/>
      </w:pPr>
      <w:r>
        <w:rPr/>
      </w:r>
    </w:p>
    <w:p>
      <w:pPr>
        <w:pStyle w:val="TextBody"/>
        <w:bidi w:val="0"/>
        <w:spacing w:before="200" w:after="200"/>
        <w:jc w:val="both"/>
        <w:rPr/>
      </w:pPr>
      <w:bookmarkStart w:id="19" w:name="page_8"/>
      <w:bookmarkEnd w:id="19"/>
      <w:r>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200" w:after="200"/>
        <w:jc w:val="both"/>
        <w:rPr>
          <w:i/>
        </w:rPr>
      </w:pPr>
      <w:r>
        <w:rPr>
          <w:i/>
        </w:rPr>
        <w:t>Neither Cboe Canada nor the Nasdaq Global Market stock exchange have approved or disapproved the contents of this news release and are not responsible for the adequacy and accuracy of the contents herein.</w:t>
      </w:r>
    </w:p>
    <w:p>
      <w:pPr>
        <w:pStyle w:val="TextBody"/>
        <w:bidi w:val="0"/>
        <w:spacing w:before="200" w:after="200"/>
        <w:jc w:val="both"/>
        <w:rPr/>
      </w:pPr>
      <w:r>
        <w:rPr>
          <w:b/>
        </w:rPr>
        <w:t>Investor Contact:</w:t>
        <w:br/>
      </w:r>
      <w:r>
        <w:rPr/>
        <w:t>Matthew Beck</w:t>
        <w:br/>
        <w:t>astr partners</w:t>
        <w:br/>
        <w:t>Managing Partner</w:t>
        <w:br/>
        <w:t>(917) 415-1750</w:t>
        <w:br/>
      </w:r>
      <w:r>
        <w:rPr>
          <w:color w:val="0000FF"/>
          <w:u w:val="single"/>
        </w:rPr>
        <w:t>matthew.beck@astrpartners.com</w:t>
      </w:r>
    </w:p>
    <w:p>
      <w:pPr>
        <w:pStyle w:val="TextBody"/>
        <w:bidi w:val="0"/>
        <w:spacing w:before="200" w:after="200"/>
        <w:jc w:val="both"/>
        <w:rPr/>
      </w:pPr>
      <w:r>
        <w:rPr/>
        <w:t>George Tziras</w:t>
        <w:br/>
        <w:t>Chief Business Officer</w:t>
        <w:br/>
        <w:t>Helus Pharma</w:t>
        <w:br/>
        <w:t>1-866-292-4601</w:t>
        <w:br/>
      </w:r>
      <w:r>
        <w:rPr>
          <w:color w:val="000000"/>
        </w:rPr>
        <w:t>irteam@cybin.com - </w:t>
      </w:r>
      <w:r>
        <w:rPr/>
        <w:t xml:space="preserve">or </w:t>
      </w:r>
      <w:r>
        <w:rPr>
          <w:color w:val="000000"/>
        </w:rPr>
        <w:t>- media@cybin.com</w:t>
      </w:r>
    </w:p>
    <w:p>
      <w:pPr>
        <w:pStyle w:val="TextBody"/>
        <w:bidi w:val="0"/>
        <w:spacing w:before="200" w:after="200"/>
        <w:jc w:val="both"/>
        <w:rPr/>
      </w:pPr>
      <w:r>
        <w:rPr>
          <w:b/>
        </w:rPr>
        <w:t>Media Contact:</w:t>
        <w:br/>
      </w:r>
      <w:r>
        <w:rPr/>
        <w:t>Johnny Tokarczyk</w:t>
        <w:br/>
        <w:t>RXMD</w:t>
        <w:br/>
        <w:t>Public Relations Director</w:t>
        <w:br/>
      </w:r>
      <w:r>
        <w:rPr>
          <w:color w:val="41B6E6"/>
          <w:u w:val="single"/>
        </w:rPr>
        <w:t>jtokarczyk@rxmedyn.com</w:t>
        <w:br/>
      </w:r>
      <w:r>
        <w:rPr/>
        <w:t>(914) 772-7562</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5017416/formf10.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3215</Words>
  <Characters>18542</Characters>
  <CharactersWithSpaces>21687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