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File No. 333-284173</w:t>
      </w:r>
    </w:p>
    <w:p>
      <w:pPr>
        <w:spacing w:after="0" w:line="149"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This prospectus supplement (the "</w:t>
      </w:r>
      <w:r>
        <w:rPr>
          <w:rFonts w:ascii="Times New Roman" w:cs="Times New Roman" w:eastAsia="Times New Roman" w:hAnsi="Times New Roman"/>
          <w:sz w:val="22"/>
          <w:szCs w:val="22"/>
          <w:b w:val="1"/>
          <w:bCs w:val="1"/>
          <w:i w:val="1"/>
          <w:iCs w:val="1"/>
          <w:color w:val="auto"/>
        </w:rPr>
        <w:t>Prospectus Supplement</w:t>
      </w:r>
      <w:r>
        <w:rPr>
          <w:rFonts w:ascii="Times New Roman" w:cs="Times New Roman" w:eastAsia="Times New Roman" w:hAnsi="Times New Roman"/>
          <w:sz w:val="22"/>
          <w:szCs w:val="22"/>
          <w:i w:val="1"/>
          <w:iCs w:val="1"/>
          <w:color w:val="auto"/>
        </w:rPr>
        <w:t>"), together with the short form base shelf prospectus dated August 17, 2023, as amended by Amendment No. 1 dated December 22, 2023, by Amendment No. 2 dated April 8, 2024, and by Amendment No. 3 dated January 6, 2025, to which it relates, as amended or supplemented (the "</w:t>
      </w:r>
      <w:r>
        <w:rPr>
          <w:rFonts w:ascii="Times New Roman" w:cs="Times New Roman" w:eastAsia="Times New Roman" w:hAnsi="Times New Roman"/>
          <w:sz w:val="22"/>
          <w:szCs w:val="22"/>
          <w:b w:val="1"/>
          <w:bCs w:val="1"/>
          <w:i w:val="1"/>
          <w:iCs w:val="1"/>
          <w:color w:val="auto"/>
        </w:rPr>
        <w:t>Base Shelf Prospectus</w:t>
      </w:r>
      <w:r>
        <w:rPr>
          <w:rFonts w:ascii="Times New Roman" w:cs="Times New Roman" w:eastAsia="Times New Roman" w:hAnsi="Times New Roman"/>
          <w:sz w:val="22"/>
          <w:szCs w:val="22"/>
          <w:i w:val="1"/>
          <w:iCs w:val="1"/>
          <w:color w:val="auto"/>
        </w:rPr>
        <w:t>"), and each document deemed to be incorporated by reference into this Prospectus Supplement and the Base Shelf Prospectus, and as may be further amended or supplemented (collectively,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i w:val="1"/>
          <w:iCs w:val="1"/>
          <w:color w:val="auto"/>
        </w:rPr>
        <w:t xml:space="preserve">"), constitutes a public offering of these securities only in those jurisdictions where they may be lawfully offered for sale and only by persons permitted to sell such securities. </w:t>
      </w:r>
      <w:r>
        <w:rPr>
          <w:rFonts w:ascii="Times New Roman" w:cs="Times New Roman" w:eastAsia="Times New Roman" w:hAnsi="Times New Roman"/>
          <w:sz w:val="22"/>
          <w:szCs w:val="22"/>
          <w:b w:val="1"/>
          <w:bCs w:val="1"/>
          <w:i w:val="1"/>
          <w:iCs w:val="1"/>
          <w:color w:val="auto"/>
        </w:rPr>
        <w:t>No 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regulatory authority has expressed an opinion about these securities and it is an offence to claim otherwise.</w:t>
      </w:r>
    </w:p>
    <w:p>
      <w:pPr>
        <w:spacing w:after="0" w:line="135"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 xml:space="preserve">charge from the Secretary of Cybin Inc. at 100 King Street West, Suite 5600, Toronto, Ontario M5X 1C9, telephone 1-866-292-4601, and are also available electronically at </w:t>
      </w:r>
      <w:r>
        <w:rPr>
          <w:rFonts w:ascii="Times New Roman" w:cs="Times New Roman" w:eastAsia="Times New Roman" w:hAnsi="Times New Roman"/>
          <w:sz w:val="22"/>
          <w:szCs w:val="22"/>
          <w:i w:val="1"/>
          <w:iCs w:val="1"/>
          <w:u w:val="single" w:color="auto"/>
          <w:color w:val="auto"/>
        </w:rPr>
        <w:t>www.sedarplus.ca</w:t>
      </w:r>
      <w:r>
        <w:rPr>
          <w:rFonts w:ascii="Times New Roman" w:cs="Times New Roman" w:eastAsia="Times New Roman" w:hAnsi="Times New Roman"/>
          <w:sz w:val="22"/>
          <w:szCs w:val="22"/>
          <w:i w:val="1"/>
          <w:iCs w:val="1"/>
          <w:color w:val="auto"/>
        </w:rPr>
        <w:t xml:space="preserve"> and </w:t>
      </w:r>
      <w:r>
        <w:rPr>
          <w:rFonts w:ascii="Times New Roman" w:cs="Times New Roman" w:eastAsia="Times New Roman" w:hAnsi="Times New Roman"/>
          <w:sz w:val="22"/>
          <w:szCs w:val="22"/>
          <w:i w:val="1"/>
          <w:iCs w:val="1"/>
          <w:u w:val="single" w:color="auto"/>
          <w:color w:val="auto"/>
        </w:rPr>
        <w:t>www.sec.gov/edgar</w:t>
      </w:r>
      <w:r>
        <w:rPr>
          <w:rFonts w:ascii="Times New Roman" w:cs="Times New Roman" w:eastAsia="Times New Roman" w:hAnsi="Times New Roman"/>
          <w:sz w:val="22"/>
          <w:szCs w:val="22"/>
          <w:i w:val="1"/>
          <w:iCs w:val="1"/>
          <w:color w:val="auto"/>
        </w:rPr>
        <w: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Base Shelf Prospectus dated August 17, 2023, as amended on December 22, 2023, April 8, 2024 and January 6,</w:t>
      </w:r>
    </w:p>
    <w:p>
      <w:pPr>
        <w:jc w:val="center"/>
        <w:spacing w:after="0"/>
        <w:rPr>
          <w:sz w:val="20"/>
          <w:szCs w:val="20"/>
          <w:color w:val="auto"/>
        </w:rPr>
      </w:pPr>
      <w:r>
        <w:rPr>
          <w:rFonts w:ascii="Times New Roman" w:cs="Times New Roman" w:eastAsia="Times New Roman" w:hAnsi="Times New Roman"/>
          <w:sz w:val="22"/>
          <w:szCs w:val="22"/>
          <w:b w:val="1"/>
          <w:bCs w:val="1"/>
          <w:color w:val="auto"/>
        </w:rPr>
        <w:t>2025)</w:t>
      </w:r>
    </w:p>
    <w:p>
      <w:pPr>
        <w:spacing w:after="0" w:line="162" w:lineRule="exact"/>
        <w:rPr>
          <w:sz w:val="24"/>
          <w:szCs w:val="24"/>
          <w:color w:val="auto"/>
        </w:rPr>
      </w:pPr>
    </w:p>
    <w:p>
      <w:pPr>
        <w:spacing w:after="0"/>
        <w:tabs>
          <w:tab w:leader="none" w:pos="10240" w:val="left"/>
        </w:tabs>
        <w:rPr>
          <w:sz w:val="20"/>
          <w:szCs w:val="20"/>
          <w:color w:val="auto"/>
        </w:rPr>
      </w:pPr>
      <w:r>
        <w:rPr>
          <w:rFonts w:ascii="Times New Roman" w:cs="Times New Roman" w:eastAsia="Times New Roman" w:hAnsi="Times New Roman"/>
          <w:sz w:val="18"/>
          <w:szCs w:val="18"/>
          <w:i w:val="1"/>
          <w:iCs w:val="1"/>
          <w:u w:val="single" w:color="auto"/>
          <w:color w:val="auto"/>
        </w:rPr>
        <w:t>Secondary Offering</w:t>
      </w:r>
      <w:r>
        <w:rPr>
          <w:sz w:val="20"/>
          <w:szCs w:val="20"/>
          <w:color w:val="auto"/>
        </w:rPr>
        <w:tab/>
      </w:r>
      <w:r>
        <w:rPr>
          <w:rFonts w:ascii="Times New Roman" w:cs="Times New Roman" w:eastAsia="Times New Roman" w:hAnsi="Times New Roman"/>
          <w:sz w:val="18"/>
          <w:szCs w:val="18"/>
          <w:color w:val="auto"/>
        </w:rPr>
        <w:t>July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284480</wp:posOffset>
            </wp:positionV>
            <wp:extent cx="1774190"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 Common Shares</w:t>
      </w:r>
    </w:p>
    <w:p>
      <w:pPr>
        <w:spacing w:after="0" w:line="166" w:lineRule="exact"/>
        <w:rPr>
          <w:sz w:val="24"/>
          <w:szCs w:val="24"/>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Cybin Inc.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is hereby qualifying the periodic resale in the United States of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by the Selling Shareholder (as defined under the heading </w:t>
      </w:r>
      <w:r>
        <w:rPr>
          <w:rFonts w:ascii="Times New Roman" w:cs="Times New Roman" w:eastAsia="Times New Roman" w:hAnsi="Times New Roman"/>
          <w:sz w:val="22"/>
          <w:szCs w:val="22"/>
          <w:i w:val="1"/>
          <w:iCs w:val="1"/>
          <w:color w:val="auto"/>
        </w:rPr>
        <w:t>"Selling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Shareholder") </w:t>
      </w:r>
      <w:r>
        <w:rPr>
          <w:rFonts w:ascii="Times New Roman" w:cs="Times New Roman" w:eastAsia="Times New Roman" w:hAnsi="Times New Roman"/>
          <w:sz w:val="22"/>
          <w:szCs w:val="22"/>
          <w:color w:val="auto"/>
        </w:rPr>
        <w:t>during the 25 month period that the Prospectus, including any amendments thereto, remains valid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Prospectus Supplement covers resales by the Selling Shareholder, from time to time of up to 20,000,000 Common Shares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issuable to the Selling Shareholder upon conversion of up to US$50,000,000 aggregate principal amount of unsecured convertible debentures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originally issued to the Selling Shareholder pursuant to a securities purchase agreement, dated June 30,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 in connection with a private placement of the Convertible Debentures completed by the Corporation on June 30, 2025 (the "</w:t>
      </w:r>
      <w:r>
        <w:rPr>
          <w:rFonts w:ascii="Times New Roman" w:cs="Times New Roman" w:eastAsia="Times New Roman" w:hAnsi="Times New Roman"/>
          <w:sz w:val="22"/>
          <w:szCs w:val="22"/>
          <w:b w:val="1"/>
          <w:bCs w:val="1"/>
          <w:color w:val="auto"/>
        </w:rPr>
        <w:t>June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2025 Private Placement</w:t>
      </w:r>
      <w:r>
        <w:rPr>
          <w:rFonts w:ascii="Times New Roman" w:cs="Times New Roman" w:eastAsia="Times New Roman" w:hAnsi="Times New Roman"/>
          <w:sz w:val="22"/>
          <w:szCs w:val="22"/>
          <w:color w:val="auto"/>
        </w:rPr>
        <w:t>"). The participation of the Selling Shareholder in the filing of this Prospectus Supplement is not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indication of the Selling Shareholder's intention to sell the Registrable Common Shares at any particular time or in any particular amount. See </w:t>
      </w:r>
      <w:r>
        <w:rPr>
          <w:rFonts w:ascii="Times New Roman" w:cs="Times New Roman" w:eastAsia="Times New Roman" w:hAnsi="Times New Roman"/>
          <w:sz w:val="22"/>
          <w:szCs w:val="22"/>
          <w:i w:val="1"/>
          <w:iCs w:val="1"/>
          <w:color w:val="auto"/>
        </w:rPr>
        <w:t>"Description of the Convertible Debentures"</w:t>
      </w:r>
      <w:r>
        <w:rPr>
          <w:rFonts w:ascii="Times New Roman" w:cs="Times New Roman" w:eastAsia="Times New Roman" w:hAnsi="Times New Roman"/>
          <w:sz w:val="22"/>
          <w:szCs w:val="22"/>
          <w:color w:val="auto"/>
        </w:rPr>
        <w: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or has performed any review of, this Prospectus Supplement.</w:t>
      </w:r>
    </w:p>
    <w:p>
      <w:pPr>
        <w:spacing w:after="0" w:line="179"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issued and outstanding Common Shares are listed in Canada on Cboe Canada Inc.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in the United States on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in each case under the trading symbol "CYBN". On July 11, 2025, the last trading day prior to the filing of this Prospectus Supplement, the closing prices of the Common Shares listed on the CBOE Canada and NYSE American were C$10.45 and US$7.64, respectively.</w:t>
      </w:r>
    </w:p>
    <w:p>
      <w:pPr>
        <w:spacing w:after="0" w:line="131"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An investment in the Registrable Common Shares is highly speculative and involves significant risks that should be considered before purchasing Registrable Common Shares. See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section in this Prospectus Supplement, including in the documents incorporated by reference</w:t>
      </w:r>
      <w:r>
        <w:rPr>
          <w:rFonts w:ascii="Times New Roman" w:cs="Times New Roman" w:eastAsia="Times New Roman" w:hAnsi="Times New Roman"/>
          <w:sz w:val="22"/>
          <w:szCs w:val="22"/>
          <w:color w:val="auto"/>
        </w:rPr>
        <w:t>.</w:t>
      </w:r>
    </w:p>
    <w:p>
      <w:pPr>
        <w:spacing w:after="0" w:line="131"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Selling Shareholder may, from time to time, sell, transfer or otherwise dispose of any or all of the Registrable Common Shares or interests in the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 Prices may vary from purchaser to purchaser during the period of distribution.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This</w:t>
      </w:r>
    </w:p>
    <w:p>
      <w:pPr>
        <w:spacing w:after="0" w:line="1"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Prospectus Supplement has not been filed in respect of, and will not qualify, any distribution of the Registrable Common Shares, in Ontario or in any other province or territory of Canada at any time. </w:t>
      </w:r>
      <w:r>
        <w:rPr>
          <w:rFonts w:ascii="Times New Roman" w:cs="Times New Roman" w:eastAsia="Times New Roman" w:hAnsi="Times New Roman"/>
          <w:sz w:val="22"/>
          <w:szCs w:val="22"/>
          <w:color w:val="auto"/>
        </w:rPr>
        <w:t>The Corporation will not receive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proceeds from the sale or other disposition of the Registrable Common Shares by the Selling Shareholder. The net proceeds received from the sale or other disposition of the Registrable Common Shares by the Selling Shareholder, if any, is unknown. See under the heading "Selling Shareholder" for further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27" w:gutter="0" w:footer="0" w:header="0"/>
        </w:sectPr>
      </w:pPr>
    </w:p>
    <w:bookmarkStart w:id="1" w:name="page2"/>
    <w:bookmarkEnd w:id="1"/>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permitted, under the multijurisdictional disclosure system adopted by the United States and Canada ("MJDS"), to prepare this Prospectus Supplement and the accompanying Base Shelf Prospectus in accordance with Canadian disclosure requirements. Purchasers of Registrable Common Shares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The financial statements are subject to the standards of the Public Company Accounting Oversight Board (United States) and the United States Securities and Exchange Commission's (the "SEC") independence standards.</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Registrable Common Shares.</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Purchasers of Registrable Common Shares should be aware that the acquisition of Registrable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Times New Roman" w:cs="Times New Roman" w:eastAsia="Times New Roman" w:hAnsi="Times New Roman"/>
          <w:sz w:val="21"/>
          <w:szCs w:val="21"/>
          <w:b w:val="1"/>
          <w:bCs w:val="1"/>
          <w:i w:val="1"/>
          <w:iCs w:val="1"/>
          <w:color w:val="auto"/>
        </w:rPr>
        <w:t xml:space="preserve">"Certain Canadian Income Tax Considerations" </w:t>
      </w:r>
      <w:r>
        <w:rPr>
          <w:rFonts w:ascii="Times New Roman" w:cs="Times New Roman" w:eastAsia="Times New Roman" w:hAnsi="Times New Roman"/>
          <w:sz w:val="21"/>
          <w:szCs w:val="21"/>
          <w:b w:val="1"/>
          <w:bCs w:val="1"/>
          <w:color w:val="auto"/>
        </w:rPr>
        <w:t>and</w:t>
      </w:r>
      <w:r>
        <w:rPr>
          <w:rFonts w:ascii="Times New Roman" w:cs="Times New Roman" w:eastAsia="Times New Roman" w:hAnsi="Times New Roman"/>
          <w:sz w:val="21"/>
          <w:szCs w:val="21"/>
          <w:b w:val="1"/>
          <w:bCs w:val="1"/>
          <w:i w:val="1"/>
          <w:iCs w:val="1"/>
          <w:color w:val="auto"/>
        </w:rPr>
        <w:t xml:space="preserve"> "Certain United States Federal Income Tax Considerations"</w:t>
      </w:r>
      <w:r>
        <w:rPr>
          <w:rFonts w:ascii="Times New Roman" w:cs="Times New Roman" w:eastAsia="Times New Roman" w:hAnsi="Times New Roman"/>
          <w:sz w:val="21"/>
          <w:szCs w:val="21"/>
          <w:b w:val="1"/>
          <w:bCs w:val="1"/>
          <w:color w:val="auto"/>
        </w:rPr>
        <w:t>.</w:t>
      </w:r>
    </w:p>
    <w:p>
      <w:pPr>
        <w:spacing w:after="0" w:line="12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and that the majority of its officers and directors are not residents of the United States, that some or all of the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Times New Roman" w:cs="Times New Roman" w:eastAsia="Times New Roman" w:hAnsi="Times New Roman"/>
          <w:sz w:val="22"/>
          <w:szCs w:val="22"/>
          <w:b w:val="1"/>
          <w:bCs w:val="1"/>
          <w:i w:val="1"/>
          <w:iCs w:val="1"/>
          <w:color w:val="auto"/>
        </w:rPr>
        <w:t>"Enforcement of Civil Liabilities by U.S. Investors"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NEITHER THE SEC NOR ANY STATE SECURITIES COMMISSION OR REGULATOR HAS APPROVED OR DISAPPROVED THE REGISTRABLE COMMON SHARES NOR PASSED UPON THE ACCURACY OR ADEQUACY OF THE PROSPECTUS. ANY REPRESENTATION TO THE CONTRARY IS A CRIMINAL OFFENCE.</w:t>
      </w:r>
    </w:p>
    <w:p>
      <w:pPr>
        <w:spacing w:after="0" w:line="1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Douglas Drysdale, an officer of the Corporation, 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are to United States dollars and references to "Canadian dollars", "C$" or "$" are to Canadian dollars. See "</w:t>
      </w:r>
      <w:r>
        <w:rPr>
          <w:rFonts w:ascii="Times New Roman" w:cs="Times New Roman" w:eastAsia="Times New Roman" w:hAnsi="Times New Roman"/>
          <w:sz w:val="22"/>
          <w:szCs w:val="22"/>
          <w:i w:val="1"/>
          <w:iCs w:val="1"/>
          <w:color w:val="auto"/>
        </w:rPr>
        <w:t>Currency and Exchange Rate</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1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Registrable Common Shares.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00" w:type="dxa"/>
            <w:vAlign w:val="bottom"/>
            <w:gridSpan w:val="28"/>
            <w:shd w:val="clear" w:color="auto" w:fill="EEEEEE"/>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S-2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CURRENCY AND EXCHANGE RATE INFORMATION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COMMON SHARES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CONVERTIBLE DEBENTURES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PRIOR SALES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BY U.S. INVESTORS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490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22"/>
                <w:szCs w:val="22"/>
                <w:b w:val="1"/>
                <w:bCs w:val="1"/>
                <w:color w:val="auto"/>
              </w:rPr>
              <w:t>Base Shelf Prospectus</w:t>
            </w:r>
          </w:p>
        </w:tc>
        <w:tc>
          <w:tcPr>
            <w:tcW w:w="6000" w:type="dxa"/>
            <w:vAlign w:val="bottom"/>
            <w:tcBorders>
              <w:top w:val="single" w:sz="8" w:color="EEEEEE"/>
            </w:tcBorders>
            <w:gridSpan w:val="5"/>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GENERAL MATTERS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 REGARDING FORWARD LOOKING INFORMATION AND STATEMENTS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Borders>
              <w:bottom w:val="single" w:sz="8" w:color="0000EE"/>
            </w:tcBorders>
            <w:gridSpan w:val="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40" w:type="dxa"/>
            <w:vAlign w:val="bottom"/>
            <w:tcBorders>
              <w:bottom w:val="single" w:sz="8" w:color="EEEEEE"/>
            </w:tcBorders>
            <w:gridSpan w:val="21"/>
            <w:shd w:val="clear" w:color="auto" w:fill="EEEEEE"/>
          </w:tcPr>
          <w:p>
            <w:pPr>
              <w:spacing w:after="0"/>
              <w:rPr>
                <w:sz w:val="16"/>
                <w:szCs w:val="16"/>
                <w:color w:val="auto"/>
              </w:rPr>
            </w:pPr>
          </w:p>
        </w:tc>
        <w:tc>
          <w:tcPr>
            <w:tcW w:w="160" w:type="dxa"/>
            <w:vAlign w:val="bottom"/>
            <w:tcBorders>
              <w:bottom w:val="single" w:sz="8" w:color="EEEEEE"/>
            </w:tcBorders>
            <w:gridSpan w:val="2"/>
            <w:shd w:val="clear" w:color="auto" w:fill="EEEEEE"/>
          </w:tcPr>
          <w:p>
            <w:pPr>
              <w:spacing w:after="0"/>
              <w:rPr>
                <w:sz w:val="16"/>
                <w:szCs w:val="16"/>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08"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35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5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5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340" w:type="dxa"/>
            <w:vAlign w:val="bottom"/>
            <w:tcBorders>
              <w:top w:val="single" w:sz="8" w:color="EEEEEE"/>
            </w:tcBorders>
          </w:tcPr>
          <w:p>
            <w:pPr>
              <w:spacing w:after="0"/>
              <w:rPr>
                <w:sz w:val="24"/>
                <w:szCs w:val="24"/>
                <w:color w:val="auto"/>
              </w:rPr>
            </w:pPr>
          </w:p>
        </w:tc>
        <w:tc>
          <w:tcPr>
            <w:tcW w:w="3360" w:type="dxa"/>
            <w:vAlign w:val="bottom"/>
            <w:tcBorders>
              <w:top w:val="single" w:sz="8" w:color="EEEE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260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340" w:type="dxa"/>
            <w:vAlign w:val="bottom"/>
            <w:shd w:val="clear" w:color="auto" w:fill="000000"/>
          </w:tcPr>
          <w:p>
            <w:pPr>
              <w:spacing w:after="0"/>
              <w:rPr>
                <w:sz w:val="6"/>
                <w:szCs w:val="6"/>
                <w:color w:val="auto"/>
              </w:rPr>
            </w:pPr>
          </w:p>
        </w:tc>
        <w:tc>
          <w:tcPr>
            <w:tcW w:w="336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324"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document consists of two parts. The first part is this Prospectus Supplement, which describes certain terms of the Registrable Common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Registrable Common Shares offered hereunder. Defined terms or abbreviations used in this Prospectus Supplement that are not defined herein shall have the meanings ascribed thereto in the Base Shelf Prospectus.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Investors should rely only on the information contained or incorporated by reference in this Prospectus Supplement and the Base Shelf Prospectus. The Corporation has not authorized anyone to provide investors with different or additional information. The Registrable Common Shares are not being offered or sold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August 17, 2023,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Base Shelf Prospectus also forms part of the Corporation's Registration Statement on Form F-10 (File No. 333-284173)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filed with the SEC on January 8, 2025,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utilizing the MJDS. The Registration Statement was declared effective under the U.S. Securities Act on January 14,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Unless otherwise indicated, or the context otherwise requires,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except as otherwise indicated or as the context otherwise indicates,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9"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3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Some of the risks which could affect future results and could cause results to differ materially from those expressed in the forward-looking statements contained herein include: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Registrable Common Shares is highly speculative; completion of an Offering; receipt of all regulatory and stock exchange approvals in respect of an Offering; forward-looking statements may prove to be inaccurate; potential need for additional financing; negative operating cash flow; discretion in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related to research and development objectives and milestones; and the Corporation's expectation that it will be a "passive foreign investment company".</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3" w:lineRule="exact"/>
        <w:rPr>
          <w:sz w:val="20"/>
          <w:szCs w:val="20"/>
          <w:color w:val="auto"/>
        </w:rPr>
      </w:pPr>
    </w:p>
    <w:p>
      <w:pPr>
        <w:ind w:left="660" w:hanging="331"/>
        <w:spacing w:after="0" w:line="241"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51"/>
        <w:spacing w:after="0"/>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660" w:hanging="331"/>
        <w:spacing w:after="0" w:line="242"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31"/>
        <w:spacing w:after="0" w:line="237"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29" w:lineRule="exact"/>
        <w:rPr>
          <w:sz w:val="20"/>
          <w:szCs w:val="20"/>
          <w:color w:val="auto"/>
        </w:rPr>
      </w:pPr>
    </w:p>
    <w:p>
      <w:pPr>
        <w:ind w:left="520" w:right="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 (the "</w:t>
      </w:r>
      <w:r>
        <w:rPr>
          <w:rFonts w:ascii="Times New Roman" w:cs="Times New Roman" w:eastAsia="Times New Roman" w:hAnsi="Times New Roman"/>
          <w:sz w:val="22"/>
          <w:szCs w:val="22"/>
          <w:b w:val="1"/>
          <w:bCs w:val="1"/>
          <w:color w:val="auto"/>
        </w:rPr>
        <w:t>Annual Financial Statements</w:t>
      </w:r>
      <w:r>
        <w:rPr>
          <w:rFonts w:ascii="Times New Roman" w:cs="Times New Roman" w:eastAsia="Times New Roman" w:hAnsi="Times New Roman"/>
          <w:sz w:val="22"/>
          <w:szCs w:val="22"/>
          <w:color w:val="auto"/>
        </w:rPr>
        <w:t>");</w:t>
      </w:r>
    </w:p>
    <w:p>
      <w:pPr>
        <w:spacing w:after="0" w:line="12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 (the "</w:t>
      </w:r>
      <w:r>
        <w:rPr>
          <w:rFonts w:ascii="Times New Roman" w:cs="Times New Roman" w:eastAsia="Times New Roman" w:hAnsi="Times New Roman"/>
          <w:sz w:val="22"/>
          <w:szCs w:val="22"/>
          <w:b w:val="1"/>
          <w:bCs w:val="1"/>
          <w:color w:val="auto"/>
        </w:rPr>
        <w:t>Annual MD&amp;A</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relating to the June 2025 Private Placement;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24, 2024 relating to the annual and special meeting of shareholders of the Corporation held on August 27, 2024.</w:t>
      </w:r>
    </w:p>
    <w:p>
      <w:pPr>
        <w:spacing w:after="0" w:line="1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document of the type referred to in Section 11.1 of Form 44-101F1 -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In addition, the Corporation may incorporate by reference into the Registration Statement, of which this Prospectus Supplement and the Base Shelf Prospectus forms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www.sec.gov/edgar.</w:t>
      </w:r>
    </w:p>
    <w:p>
      <w:pPr>
        <w:spacing w:after="0" w:line="1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Copies of the documents incorporated by reference herein will be available electronically on the Corporation's SEDAR+ profile, which can be accessed at www.sedarplus.ca, and from the Corporation's EDGAR profile at www.sec.gov/edgar. The Corporation's filings through SEDAR+ and EDGAR are not incorporated by reference in the Prospectus except as specifically set out herein. </w:t>
      </w:r>
      <w:r>
        <w:rPr>
          <w:rFonts w:ascii="Times New Roman" w:cs="Times New Roman" w:eastAsia="Times New Roman" w:hAnsi="Times New Roman"/>
          <w:sz w:val="22"/>
          <w:szCs w:val="22"/>
          <w:b w:val="1"/>
          <w:bCs w:val="1"/>
          <w:color w:val="auto"/>
        </w:rPr>
        <w:t>Any statement contained in this Prospectus Supplement, or in a document incorporated or deemed to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The Corporation has not provided or otherwise authorized any other person to provide investors with information other than that contained or incorporated by reference in this Prospectus Supplement or accompanying Base Shelf Prospectus, and the Corporation does not take any responsibility for other information that others may give an investor. If an investor is provided with different or inconsistent information, he or she should not rely on it.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powers of attorney from certain of the Corporation's directors and officers (included on the signature page of the Registration Statement); (ii) the consent of Zeifmans LLP; and (iii) the consent of the Corporation's Canadian counsel, Aird &amp; Berlis LLP.</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36" w:lineRule="exact"/>
        <w:rPr>
          <w:sz w:val="20"/>
          <w:szCs w:val="20"/>
          <w:color w:val="auto"/>
        </w:rPr>
      </w:pPr>
    </w:p>
    <w:tbl>
      <w:tblPr>
        <w:tblLayout w:type="fixed"/>
        <w:tblInd w:w="2820" w:type="dxa"/>
        <w:tblCellMar>
          <w:top w:w="0" w:type="dxa"/>
          <w:left w:w="0" w:type="dxa"/>
          <w:bottom w:w="0" w:type="dxa"/>
          <w:right w:w="0" w:type="dxa"/>
        </w:tblCellMar>
      </w:tblPr>
      <w:tr>
        <w:trPr>
          <w:trHeight w:val="238"/>
        </w:trPr>
        <w:tc>
          <w:tcPr>
            <w:tcW w:w="3300" w:type="dxa"/>
            <w:vAlign w:val="bottom"/>
            <w:tcBorders>
              <w:bottom w:val="single" w:sz="8" w:color="E6EFFF"/>
            </w:tcBorders>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March 31, 2025</w:t>
            </w:r>
          </w:p>
        </w:tc>
      </w:tr>
      <w:tr>
        <w:trPr>
          <w:trHeight w:val="209"/>
        </w:trPr>
        <w:tc>
          <w:tcPr>
            <w:tcW w:w="330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C$1.4603</w:t>
            </w: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C$1.3460</w:t>
            </w:r>
          </w:p>
        </w:tc>
      </w:tr>
      <w:tr>
        <w:trPr>
          <w:trHeight w:val="216"/>
        </w:trPr>
        <w:tc>
          <w:tcPr>
            <w:tcW w:w="330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C$1.3913</w:t>
            </w: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C$1.4376</w:t>
            </w:r>
          </w:p>
        </w:tc>
      </w:tr>
    </w:tbl>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July 11, 2025, the daily average exchange rate posted by the Bank of Canada for conversion of U.S. dollars into Canadian dollars was US$1.00 = C$1.3684 (the "</w:t>
      </w:r>
      <w:r>
        <w:rPr>
          <w:rFonts w:ascii="Times New Roman" w:cs="Times New Roman" w:eastAsia="Times New Roman" w:hAnsi="Times New Roman"/>
          <w:sz w:val="22"/>
          <w:szCs w:val="22"/>
          <w:b w:val="1"/>
          <w:bCs w:val="1"/>
          <w:color w:val="auto"/>
        </w:rPr>
        <w:t>2025 Rate</w:t>
      </w:r>
      <w:r>
        <w:rPr>
          <w:rFonts w:ascii="Times New Roman" w:cs="Times New Roman" w:eastAsia="Times New Roman" w:hAnsi="Times New Roman"/>
          <w:sz w:val="22"/>
          <w:szCs w:val="22"/>
          <w:color w:val="auto"/>
        </w:rPr>
        <w:t>"). Unless otherwise indicated, currency translation in this Prospectus Supplement reflects the 2025 Rate.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Corporation has filed with the SEC the Registration Statement under the U.S. Securities Act with respect to the Registrable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Reference is also made to the Registration Statement and the exhibits thereto for further information with respect to the Corporation, the Offering and the Registrable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Common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1</w:t>
      </w:r>
    </w:p>
    <w:p>
      <w:pPr>
        <w:spacing w:after="0" w:line="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derivatives, and an expansive list of preclinical molecules to facilitate future drug development opportunities.</w:t>
      </w:r>
    </w:p>
    <w:p>
      <w:pPr>
        <w:spacing w:after="0" w:line="1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Cybin Corp.,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Cybin Corp. being the resulting entity. As a result of this amalgamation, Cybin UK Ltd is now a wholly-owned subsidiary of Cybin Corp.</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90 granted patents and over 230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2357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5" w:lineRule="exact"/>
        <w:rPr>
          <w:sz w:val="20"/>
          <w:szCs w:val="20"/>
          <w:color w:val="auto"/>
        </w:rPr>
      </w:pPr>
    </w:p>
    <w:p>
      <w:pPr>
        <w:jc w:val="both"/>
        <w:ind w:firstLine="8"/>
        <w:spacing w:after="0" w:line="220" w:lineRule="auto"/>
        <w:tabs>
          <w:tab w:leader="none" w:pos="148"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8"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3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Annual MD&amp;A incorporated by reference into this Prospectus Supplement.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generally in this Prospectus Supplement, the Base Shelf Prospectus or the documents incorporated by reference herein, there have been no material developments in the business of the Corporation, since June 30, 2025, the date of the Corporation's most recently issued Annual Financial Statements and the Annual MD&amp;A.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357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55"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See footnote 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1648460</wp:posOffset>
            </wp:positionH>
            <wp:positionV relativeFrom="page">
              <wp:posOffset>88900</wp:posOffset>
            </wp:positionV>
            <wp:extent cx="4251960" cy="2820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251960"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179" w:lineRule="exact"/>
        <w:rPr>
          <w:sz w:val="20"/>
          <w:szCs w:val="20"/>
          <w:color w:val="auto"/>
        </w:rPr>
      </w:pPr>
    </w:p>
    <w:p>
      <w:pPr>
        <w:jc w:val="both"/>
        <w:ind w:left="1420" w:hanging="263"/>
        <w:spacing w:after="0" w:line="256" w:lineRule="auto"/>
        <w:tabs>
          <w:tab w:leader="none" w:pos="146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former shareholders of Adelia Therapeutics Inc. ("</w:t>
      </w:r>
      <w:r>
        <w:rPr>
          <w:rFonts w:ascii="Times New Roman" w:cs="Times New Roman" w:eastAsia="Times New Roman" w:hAnsi="Times New Roman"/>
          <w:sz w:val="21"/>
          <w:szCs w:val="21"/>
          <w:b w:val="1"/>
          <w:bCs w:val="1"/>
          <w:color w:val="auto"/>
        </w:rPr>
        <w:t>Adelia</w:t>
      </w:r>
      <w:r>
        <w:rPr>
          <w:rFonts w:ascii="Times New Roman" w:cs="Times New Roman" w:eastAsia="Times New Roman" w:hAnsi="Times New Roman"/>
          <w:sz w:val="21"/>
          <w:szCs w:val="21"/>
          <w:color w:val="auto"/>
        </w:rPr>
        <w:t>") hold certain non-voting securities of Cybin U.S. issued in connection with the acquisition of Adelia on December 14, 2020 (the "</w:t>
      </w:r>
      <w:r>
        <w:rPr>
          <w:rFonts w:ascii="Times New Roman" w:cs="Times New Roman" w:eastAsia="Times New Roman" w:hAnsi="Times New Roman"/>
          <w:sz w:val="21"/>
          <w:szCs w:val="21"/>
          <w:b w:val="1"/>
          <w:bCs w:val="1"/>
          <w:color w:val="auto"/>
        </w:rPr>
        <w:t>Adelia Transaction</w:t>
      </w:r>
      <w:r>
        <w:rPr>
          <w:rFonts w:ascii="Times New Roman" w:cs="Times New Roman" w:eastAsia="Times New Roman" w:hAnsi="Times New Roman"/>
          <w:sz w:val="21"/>
          <w:szCs w:val="21"/>
          <w:color w:val="auto"/>
        </w:rPr>
        <w:t>") that are convertible into Common Shares of the Corporation. For additional information in respect of the Adelia Transaction, please see the Annual Information Form incorporated by reference in this Prospectus Supplement.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COMMON SHARES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 is authorized to issue an unlimited number of Common Shares and an unlimited number of preferred shares. As at July 14, 2025, the Corporation had 23,023,631 Common Shares and nil preferred shares issued and outstanding. On September 19, 2024, the outstanding Common Shares were consolidated on the basis of one new Common Share for every 38 existing Common Shares (the "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xml:space="preserve">").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 Distributed - Common Shares"</w:t>
      </w:r>
      <w:r>
        <w:rPr>
          <w:rFonts w:ascii="Times New Roman" w:cs="Times New Roman" w:eastAsia="Times New Roman" w:hAnsi="Times New Roman"/>
          <w:sz w:val="22"/>
          <w:szCs w:val="22"/>
          <w:color w:val="auto"/>
        </w:rPr>
        <w:t xml:space="preserve"> in the Base Shelf Prospectus.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CONVERTIBLE DEBENTURES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connection with the June 2025 Private Placement, the Corporation issued the Convertible Debentures for gross proceeds to the Corporation of US$50,000,000. The Convertible Debentures have a two-year term from the closing date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Corporation shall incur guaranteed interest equal to 5.5% of the principal per annum for the Term. Such interest was pre-paid on closing. Upon the occurrence of an event of default, interest shall increase to a rate of 18% per annum on the outstanding principal balance.</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the terms of the Securities Purchase Agreement and the Convertible Debentures, the Selling Shareholder will be entitled to convert the principal amount of, and accrued and unpaid interest, if any, on each Convertible Debenture, in whole or in part, from time to time, into Common Shares at a conversion price per Common Share equal to the lower of (a) US$10.92, or (b) the VWAP of the Common Shares during the five trading days immediately prior to the date of conversion (together, the "</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in its sole discretion, may prepay any outstanding amount under the Convertible Debentures, in whole or in part, in cash by providing the Selling Shareholder with advance written notice prior to such prepayment. The prepayment shall include, (i) if paid during the first year after closing, a 5% prepayment premium on the amount of the prepayment or (ii) if paid thereafter, a 3% prepayment premium on the amount of the prepayment.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44" w:lineRule="auto"/>
        <w:rPr>
          <w:sz w:val="20"/>
          <w:szCs w:val="20"/>
          <w:color w:val="auto"/>
        </w:rPr>
      </w:pPr>
      <w:r>
        <w:rPr>
          <w:rFonts w:ascii="Times New Roman" w:cs="Times New Roman" w:eastAsia="Times New Roman" w:hAnsi="Times New Roman"/>
          <w:sz w:val="22"/>
          <w:szCs w:val="22"/>
          <w:color w:val="auto"/>
        </w:rPr>
        <w:t>The terms of the Convertible Debentures restrict the conversion of Convertible Debentures by the Selling Shareholder if such a conversion or exercise would cause the Selling Shareholder, together with any affiliate thereof, to beneficially own in excess of 4.99% of the number of Common Shares outstanding immediately after giving effect to such conversion.</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Particulars concerning the Common Shares underlying the Convertible Debentures are set out under </w:t>
      </w:r>
      <w:r>
        <w:rPr>
          <w:rFonts w:ascii="Times New Roman" w:cs="Times New Roman" w:eastAsia="Times New Roman" w:hAnsi="Times New Roman"/>
          <w:sz w:val="22"/>
          <w:szCs w:val="22"/>
          <w:i w:val="1"/>
          <w:iCs w:val="1"/>
          <w:color w:val="auto"/>
        </w:rPr>
        <w:t>"Description of the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Shares".</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On June 30, 2025, in connection with the Securities Purchase Agreement, the Corporation and the Selling Shareholder also entered into a registration rights agreement (the "</w:t>
      </w:r>
      <w:r>
        <w:rPr>
          <w:rFonts w:ascii="Times New Roman" w:cs="Times New Roman" w:eastAsia="Times New Roman" w:hAnsi="Times New Roman"/>
          <w:sz w:val="21"/>
          <w:szCs w:val="21"/>
          <w:b w:val="1"/>
          <w:bCs w:val="1"/>
          <w:color w:val="auto"/>
        </w:rPr>
        <w:t>Registration Rights Agreement</w:t>
      </w:r>
      <w:r>
        <w:rPr>
          <w:rFonts w:ascii="Times New Roman" w:cs="Times New Roman" w:eastAsia="Times New Roman" w:hAnsi="Times New Roman"/>
          <w:sz w:val="21"/>
          <w:szCs w:val="21"/>
          <w:color w:val="auto"/>
        </w:rPr>
        <w:t>") pursuant to which, among other matters, the Corporation has agreed to file and declared effective with the SEC a registration statement registering under the U.S. Securities Act the resale by the Selling Shareholder of up to 20,000,000 Common Shares issuable upon the conversion of the Convertible Debentures, no later than 15 calendar days following the closing date. The Corporation also granted to the Selling Shareholder certain demand rights for piggyback registration rights with respect to the Registrable Common Shares issuable upon the conversion of the Convertible Debentures. The Corporation is filing this Prospectus Supplement to satisfy its obligations under the Registration Rights Agreement with respect to registering the Registrable Common Shares issuable upon conversion of the Convertible Debentures. The number of Registrable Common Shares that may actually be issued by the Corporation upon conversion of the Convertible Debentures may be fewer or greater than the number of Registrable Common Shares being qualified by this Prospectus Supplement. The number of Registrable Common Shares that may actually be acquired by the Selling Shareholder pursuant to the Convertible Debentures is not currently known given the variable Conversion Price.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in the Corporation's share or loan capitalization on a consolidated basis since the date of the Annual Financial 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proceeds from the sale or other disposition of the Registrable Common Shares covered by this Prospectus Supplement are solely for the account of the Selling Shareholder. Accordingly, the Corporation will not receive any proceeds from the sale or other disposition of the Registrable Common Shares by the Selling Shareholder. The net proceeds received from the sale or other disposition of the Registrable Common Shares by the Selling Shareholder, if any, is unknown.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SHAREHOLDER</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Registrable Common Shares covered by this Prospectus Supplement are those issued to the selling shareholder identified in the table below (the "</w:t>
      </w:r>
      <w:r>
        <w:rPr>
          <w:rFonts w:ascii="Times New Roman" w:cs="Times New Roman" w:eastAsia="Times New Roman" w:hAnsi="Times New Roman"/>
          <w:sz w:val="22"/>
          <w:szCs w:val="22"/>
          <w:b w:val="1"/>
          <w:bCs w:val="1"/>
          <w:color w:val="auto"/>
        </w:rPr>
        <w:t>Selling Shareholder</w:t>
      </w:r>
      <w:r>
        <w:rPr>
          <w:rFonts w:ascii="Times New Roman" w:cs="Times New Roman" w:eastAsia="Times New Roman" w:hAnsi="Times New Roman"/>
          <w:sz w:val="22"/>
          <w:szCs w:val="22"/>
          <w:color w:val="auto"/>
        </w:rPr>
        <w:t xml:space="preserve">") upon conversion of the Convertible Debentures originally issued to the Selling Shareholder pursuant to the Securities Purchase Agreement, in connection with the June 2025 Private Placement. For additional information regarding the June 2025 Private Placement, see the information provided in the Corporation's material change report dated July 9, 2025, relating to the June 2025 Private Placement, which is available on SEDAR+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and is incorporated by reference herein.</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 is registering the Registrable Common Shares, pursuant to its obligations under the Registration Rights Agreement, in order to permit the Selling Shareholder to offer up to 20,000,000 Registrable Common Shares for sale or other disposition from time to time in the United States. See </w:t>
      </w:r>
      <w:r>
        <w:rPr>
          <w:rFonts w:ascii="Times New Roman" w:cs="Times New Roman" w:eastAsia="Times New Roman" w:hAnsi="Times New Roman"/>
          <w:sz w:val="22"/>
          <w:szCs w:val="22"/>
          <w:i w:val="1"/>
          <w:iCs w:val="1"/>
          <w:color w:val="auto"/>
        </w:rPr>
        <w:t>"Description of the Convertible Debentures"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Prospectus</w:t>
      </w: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Supplement has not been filed in respect of, and will not qualify, any distribution of the Registrable Common Shares, in Ontario or in any other province or territory of Canada at any time.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Except for the ownership of Registrable Common Shares, the Selling Shareholder has not had any material relationship with the Corporation or any associate or affiliate of a principal holder of voting securities of the Corporation within the past three years.</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following table is based in part on information supplied to the Corporation by the Selling Shareholder. The table and footnote assume that the Selling Shareholder will sell all of the Registrable Common Shares listed. However, because the Selling Shareholder may sell all or some of their Registrable Common Shares under this Prospectus Supplement from time to time, or in another permitted manner, the Corporation cannot assure the actual number of Registrable Common Shares that will be sold by the Selling Shareholder or that will be held by the Selling Shareholder after completion of any sales. The Corporation does not know how long the Selling Shareholder will hold the Registrable Common Shares before selling them.</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spacing w:after="0" w:line="238" w:lineRule="auto"/>
        <w:rPr>
          <w:sz w:val="20"/>
          <w:szCs w:val="20"/>
          <w:color w:val="auto"/>
        </w:rPr>
      </w:pPr>
      <w:r>
        <w:rPr>
          <w:rFonts w:ascii="Times New Roman" w:cs="Times New Roman" w:eastAsia="Times New Roman" w:hAnsi="Times New Roman"/>
          <w:sz w:val="22"/>
          <w:szCs w:val="22"/>
          <w:color w:val="auto"/>
        </w:rPr>
        <w:t>The table below identifies the Selling Shareholder and provides other information regarding the beneficial ownership of the Registrable Common Shares by the Selling Shareholder, as provided to the Corporation by the Selling Shareholder. The second and third columns list the number of Common Shares beneficially owned, controlled or directed by the Selling Shareholder, on a non-diluted and fully diluted basis, as of July 14, 2025. The fifth column lists the Registrable Common Shares covered by this Prospectus Supplement that may be sold or otherwise disposed of by the Selling Shareholder.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22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68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Number and</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9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440" w:type="dxa"/>
            <w:vAlign w:val="bottom"/>
            <w:vMerge w:val="continue"/>
          </w:tcPr>
          <w:p>
            <w:pPr>
              <w:spacing w:after="0"/>
              <w:rPr>
                <w:sz w:val="10"/>
                <w:szCs w:val="10"/>
                <w:color w:val="auto"/>
              </w:rPr>
            </w:pPr>
          </w:p>
        </w:tc>
        <w:tc>
          <w:tcPr>
            <w:tcW w:w="22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Registrable Common</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94"/>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9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Owned on a Fully</w:t>
            </w:r>
          </w:p>
        </w:tc>
        <w:tc>
          <w:tcPr>
            <w:tcW w:w="1440" w:type="dxa"/>
            <w:vAlign w:val="bottom"/>
            <w:vMerge w:val="continue"/>
          </w:tcPr>
          <w:p>
            <w:pPr>
              <w:spacing w:after="0"/>
              <w:rPr>
                <w:sz w:val="10"/>
                <w:szCs w:val="10"/>
                <w:color w:val="auto"/>
              </w:rPr>
            </w:pPr>
          </w:p>
        </w:tc>
        <w:tc>
          <w:tcPr>
            <w:tcW w:w="22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to be Sold</w:t>
            </w:r>
          </w:p>
        </w:tc>
        <w:tc>
          <w:tcPr>
            <w:tcW w:w="168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0" w:type="dxa"/>
            <w:vAlign w:val="bottom"/>
          </w:tcPr>
          <w:p>
            <w:pPr>
              <w:spacing w:after="0"/>
              <w:rPr>
                <w:sz w:val="1"/>
                <w:szCs w:val="1"/>
                <w:color w:val="auto"/>
              </w:rPr>
            </w:pPr>
          </w:p>
        </w:tc>
      </w:tr>
      <w:tr>
        <w:trPr>
          <w:trHeight w:val="94"/>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(Legal or</w:t>
            </w:r>
          </w:p>
        </w:tc>
        <w:tc>
          <w:tcPr>
            <w:tcW w:w="2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 to the</w:t>
            </w:r>
          </w:p>
        </w:tc>
        <w:tc>
          <w:tcPr>
            <w:tcW w:w="19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Diluted Basis Prior</w:t>
            </w:r>
          </w:p>
        </w:tc>
        <w:tc>
          <w:tcPr>
            <w:tcW w:w="1440" w:type="dxa"/>
            <w:vAlign w:val="bottom"/>
            <w:vMerge w:val="continue"/>
          </w:tcPr>
          <w:p>
            <w:pPr>
              <w:spacing w:after="0"/>
              <w:rPr>
                <w:sz w:val="10"/>
                <w:szCs w:val="10"/>
                <w:color w:val="auto"/>
              </w:rPr>
            </w:pPr>
          </w:p>
        </w:tc>
        <w:tc>
          <w:tcPr>
            <w:tcW w:w="22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Pursuant to this</w:t>
            </w:r>
          </w:p>
        </w:tc>
        <w:tc>
          <w:tcPr>
            <w:tcW w:w="168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Owned After the</w:t>
            </w: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the Offering</w:t>
            </w:r>
          </w:p>
        </w:tc>
        <w:tc>
          <w:tcPr>
            <w:tcW w:w="1440" w:type="dxa"/>
            <w:vAlign w:val="bottom"/>
            <w:vMerge w:val="continue"/>
          </w:tcPr>
          <w:p>
            <w:pPr>
              <w:spacing w:after="0"/>
              <w:rPr>
                <w:sz w:val="12"/>
                <w:szCs w:val="12"/>
                <w:color w:val="auto"/>
              </w:rPr>
            </w:pPr>
          </w:p>
        </w:tc>
        <w:tc>
          <w:tcPr>
            <w:tcW w:w="22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680" w:type="dxa"/>
            <w:vAlign w:val="bottom"/>
            <w:vMerge w:val="restart"/>
          </w:tcPr>
          <w:p>
            <w:pPr>
              <w:jc w:val="center"/>
              <w:spacing w:after="0" w:line="275" w:lineRule="exact"/>
              <w:rPr>
                <w:sz w:val="20"/>
                <w:szCs w:val="20"/>
                <w:color w:val="auto"/>
              </w:rPr>
            </w:pPr>
            <w:r>
              <w:rPr>
                <w:rFonts w:ascii="Times New Roman" w:cs="Times New Roman" w:eastAsia="Times New Roman" w:hAnsi="Times New Roman"/>
                <w:sz w:val="31"/>
                <w:szCs w:val="31"/>
                <w:b w:val="1"/>
                <w:bCs w:val="1"/>
                <w:color w:val="auto"/>
                <w:w w:val="94"/>
                <w:vertAlign w:val="subscript"/>
              </w:rPr>
              <w:t>Offering</w:t>
            </w:r>
            <w:r>
              <w:rPr>
                <w:rFonts w:ascii="Times New Roman" w:cs="Times New Roman" w:eastAsia="Times New Roman" w:hAnsi="Times New Roman"/>
                <w:sz w:val="14"/>
                <w:szCs w:val="14"/>
                <w:b w:val="1"/>
                <w:bCs w:val="1"/>
                <w:color w:val="auto"/>
                <w:w w:val="94"/>
              </w:rPr>
              <w:t>(1)(2)(3)</w:t>
            </w:r>
          </w:p>
        </w:tc>
        <w:tc>
          <w:tcPr>
            <w:tcW w:w="0" w:type="dxa"/>
            <w:vAlign w:val="bottom"/>
          </w:tcPr>
          <w:p>
            <w:pPr>
              <w:spacing w:after="0"/>
              <w:rPr>
                <w:sz w:val="1"/>
                <w:szCs w:val="1"/>
                <w:color w:val="auto"/>
              </w:rPr>
            </w:pPr>
          </w:p>
        </w:tc>
      </w:tr>
      <w:tr>
        <w:trPr>
          <w:trHeight w:val="135"/>
        </w:trPr>
        <w:tc>
          <w:tcPr>
            <w:tcW w:w="24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1960" w:type="dxa"/>
            <w:vAlign w:val="bottom"/>
            <w:tcBorders>
              <w:bottom w:val="single" w:sz="8" w:color="auto"/>
            </w:tcBorders>
            <w:vMerge w:val="continue"/>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vMerge w:val="continue"/>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E6EF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High Trail Special Situations</w:t>
            </w:r>
          </w:p>
        </w:tc>
        <w:tc>
          <w:tcPr>
            <w:tcW w:w="150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9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4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Legal</w:t>
            </w:r>
          </w:p>
        </w:tc>
        <w:tc>
          <w:tcPr>
            <w:tcW w:w="2240" w:type="dxa"/>
            <w:vAlign w:val="bottom"/>
            <w:vMerge w:val="restart"/>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auto"/>
                <w:w w:val="98"/>
              </w:rPr>
              <w:t>20,000,000</w:t>
            </w:r>
          </w:p>
        </w:tc>
        <w:tc>
          <w:tcPr>
            <w:tcW w:w="168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36"/>
        </w:trPr>
        <w:tc>
          <w:tcPr>
            <w:tcW w:w="2420" w:type="dxa"/>
            <w:vAlign w:val="bottom"/>
            <w:vMerge w:val="restart"/>
            <w:shd w:val="clear" w:color="auto" w:fill="E6EFFF"/>
          </w:tcPr>
          <w:p>
            <w:pPr>
              <w:jc w:val="center"/>
              <w:spacing w:after="0" w:line="271" w:lineRule="exact"/>
              <w:rPr>
                <w:sz w:val="20"/>
                <w:szCs w:val="20"/>
                <w:color w:val="auto"/>
              </w:rPr>
            </w:pPr>
            <w:r>
              <w:rPr>
                <w:rFonts w:ascii="Times New Roman" w:cs="Times New Roman" w:eastAsia="Times New Roman" w:hAnsi="Times New Roman"/>
                <w:sz w:val="18"/>
                <w:szCs w:val="18"/>
                <w:color w:val="auto"/>
                <w:w w:val="91"/>
              </w:rPr>
              <w:t>LLC</w:t>
            </w:r>
            <w:r>
              <w:rPr>
                <w:rFonts w:ascii="Times New Roman" w:cs="Times New Roman" w:eastAsia="Times New Roman" w:hAnsi="Times New Roman"/>
                <w:sz w:val="29"/>
                <w:szCs w:val="29"/>
                <w:color w:val="auto"/>
                <w:w w:val="91"/>
                <w:vertAlign w:val="superscript"/>
              </w:rPr>
              <w:t>(3)</w:t>
            </w:r>
          </w:p>
        </w:tc>
        <w:tc>
          <w:tcPr>
            <w:tcW w:w="1500" w:type="dxa"/>
            <w:vAlign w:val="bottom"/>
            <w:vMerge w:val="continue"/>
            <w:shd w:val="clear" w:color="auto" w:fill="E6EFFF"/>
          </w:tcPr>
          <w:p>
            <w:pPr>
              <w:spacing w:after="0"/>
              <w:rPr>
                <w:sz w:val="11"/>
                <w:szCs w:val="11"/>
                <w:color w:val="auto"/>
              </w:rPr>
            </w:pPr>
          </w:p>
        </w:tc>
        <w:tc>
          <w:tcPr>
            <w:tcW w:w="1960" w:type="dxa"/>
            <w:vAlign w:val="bottom"/>
            <w:vMerge w:val="continue"/>
            <w:shd w:val="clear" w:color="auto" w:fill="E6EFFF"/>
          </w:tcPr>
          <w:p>
            <w:pPr>
              <w:spacing w:after="0"/>
              <w:rPr>
                <w:sz w:val="11"/>
                <w:szCs w:val="11"/>
                <w:color w:val="auto"/>
              </w:rPr>
            </w:pPr>
          </w:p>
        </w:tc>
        <w:tc>
          <w:tcPr>
            <w:tcW w:w="1440" w:type="dxa"/>
            <w:vAlign w:val="bottom"/>
            <w:vMerge w:val="continue"/>
            <w:shd w:val="clear" w:color="auto" w:fill="E6EFFF"/>
          </w:tcPr>
          <w:p>
            <w:pPr>
              <w:spacing w:after="0"/>
              <w:rPr>
                <w:sz w:val="11"/>
                <w:szCs w:val="11"/>
                <w:color w:val="auto"/>
              </w:rPr>
            </w:pPr>
          </w:p>
        </w:tc>
        <w:tc>
          <w:tcPr>
            <w:tcW w:w="2240" w:type="dxa"/>
            <w:vAlign w:val="bottom"/>
            <w:vMerge w:val="continue"/>
            <w:shd w:val="clear" w:color="auto" w:fill="E6EFFF"/>
          </w:tcPr>
          <w:p>
            <w:pPr>
              <w:spacing w:after="0"/>
              <w:rPr>
                <w:sz w:val="11"/>
                <w:szCs w:val="11"/>
                <w:color w:val="auto"/>
              </w:rPr>
            </w:pPr>
          </w:p>
        </w:tc>
        <w:tc>
          <w:tcPr>
            <w:tcW w:w="1680" w:type="dxa"/>
            <w:vAlign w:val="bottom"/>
            <w:vMerge w:val="continue"/>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continue"/>
            <w:shd w:val="clear" w:color="auto" w:fill="E6EFFF"/>
          </w:tcPr>
          <w:p>
            <w:pPr>
              <w:spacing w:after="0"/>
              <w:rPr>
                <w:sz w:val="11"/>
                <w:szCs w:val="11"/>
                <w:color w:val="auto"/>
              </w:rPr>
            </w:pPr>
          </w:p>
        </w:tc>
        <w:tc>
          <w:tcPr>
            <w:tcW w:w="1500" w:type="dxa"/>
            <w:vAlign w:val="bottom"/>
            <w:shd w:val="clear" w:color="auto" w:fill="E6EFFF"/>
          </w:tcPr>
          <w:p>
            <w:pPr>
              <w:spacing w:after="0"/>
              <w:rPr>
                <w:sz w:val="11"/>
                <w:szCs w:val="11"/>
                <w:color w:val="auto"/>
              </w:rPr>
            </w:pPr>
          </w:p>
        </w:tc>
        <w:tc>
          <w:tcPr>
            <w:tcW w:w="1960" w:type="dxa"/>
            <w:vAlign w:val="bottom"/>
            <w:shd w:val="clear" w:color="auto" w:fill="E6EFFF"/>
          </w:tcPr>
          <w:p>
            <w:pPr>
              <w:spacing w:after="0"/>
              <w:rPr>
                <w:sz w:val="11"/>
                <w:szCs w:val="11"/>
                <w:color w:val="auto"/>
              </w:rPr>
            </w:pPr>
          </w:p>
        </w:tc>
        <w:tc>
          <w:tcPr>
            <w:tcW w:w="1440" w:type="dxa"/>
            <w:vAlign w:val="bottom"/>
            <w:shd w:val="clear" w:color="auto" w:fill="E6EFFF"/>
          </w:tcPr>
          <w:p>
            <w:pPr>
              <w:spacing w:after="0"/>
              <w:rPr>
                <w:sz w:val="11"/>
                <w:szCs w:val="11"/>
                <w:color w:val="auto"/>
              </w:rPr>
            </w:pPr>
          </w:p>
        </w:tc>
        <w:tc>
          <w:tcPr>
            <w:tcW w:w="2240" w:type="dxa"/>
            <w:vAlign w:val="bottom"/>
            <w:shd w:val="clear" w:color="auto" w:fill="E6EFFF"/>
          </w:tcPr>
          <w:p>
            <w:pPr>
              <w:spacing w:after="0"/>
              <w:rPr>
                <w:sz w:val="11"/>
                <w:szCs w:val="11"/>
                <w:color w:val="auto"/>
              </w:rPr>
            </w:pPr>
          </w:p>
        </w:tc>
        <w:tc>
          <w:tcPr>
            <w:tcW w:w="1680" w:type="dxa"/>
            <w:vAlign w:val="bottom"/>
            <w:shd w:val="clear" w:color="auto" w:fill="E6EFFF"/>
          </w:tcPr>
          <w:p>
            <w:pPr>
              <w:spacing w:after="0"/>
              <w:rPr>
                <w:sz w:val="11"/>
                <w:szCs w:val="1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hanging="269"/>
        <w:spacing w:after="0" w:line="230" w:lineRule="auto"/>
        <w:tabs>
          <w:tab w:leader="none" w:pos="70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sale of all Registrable Common Shares by the Selling Shareholder during the 25-month period that the Base Shelf Prospectus, including any amendments thereto, remains effective.</w:t>
      </w:r>
    </w:p>
    <w:p>
      <w:pPr>
        <w:spacing w:after="0" w:line="1" w:lineRule="exact"/>
        <w:rPr>
          <w:rFonts w:ascii="Times New Roman" w:cs="Times New Roman" w:eastAsia="Times New Roman" w:hAnsi="Times New Roman"/>
          <w:sz w:val="22"/>
          <w:szCs w:val="22"/>
          <w:color w:val="auto"/>
        </w:rPr>
      </w:pPr>
    </w:p>
    <w:p>
      <w:pPr>
        <w:ind w:left="700" w:hanging="309"/>
        <w:spacing w:after="0" w:line="230" w:lineRule="auto"/>
        <w:tabs>
          <w:tab w:leader="none" w:pos="7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Also represents the number and percentage of Common Shares held on a fully diluted basis after the Offering.</w:t>
      </w:r>
    </w:p>
    <w:p>
      <w:pPr>
        <w:jc w:val="both"/>
        <w:ind w:left="660" w:hanging="269"/>
        <w:spacing w:after="0" w:line="242" w:lineRule="auto"/>
        <w:tabs>
          <w:tab w:leader="none" w:pos="70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ownership includes an estimated 20,000,000 Registrable Common Shares issuable upon conversion of the Convertible Debentures, assuming (i) the conversion of all US$50,000,000 aggregate principal amount outstanding of the Convertible Debentures, pursuant to the terms of the Securities Purchase Agreement and the Convertible Debentures, and (ii) none of the limitations on conversion of the Convertible Debentures set forth in the Securities Purchase Agreement and the Convertible Debentures apply, and does not represent actual conversions. The number of Registrable Common Shares that may actually be acquired by the Selling Shareholder pursuant to the Convertible Debentures is not currently known given the variable Conversion Price. Pursuant to the terms of the Convertible Debentures, the Selling Shareholder may not convert Convertible Debentures into Common Shares in an amount that would result in Selling Shareholder (or its affiliates) beneficially owning more than 4.99% of the Common Shares outstanding immediately after giving effect to such conversion or receipt of shares. The number of Registrable Common Shares that may actually be issued by the Corporation upon conversion of the Convertible Debentures may be fewer or greater than the number of Registrable Common Shares being qualified by this Prospectus Supplement. Hudson Bay Capital Management LP, the investment manager of High Trail Special Situations LLC, has voting and investment power over the Convertible Debentures and the Registrable Common Shares issued upon conversion thereof. Sander Gerber is the managing member of Hudson Bay Capital GP LLC, which is the general partner of Hudson Bay Capital Management LP. Each of High Trail Special Situations LLC and Sander Gerber disclaims beneficial ownership over the Convertible Debentures and any Registrable Common Shares issued upon conversion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is registering the Registrable Common Shares in the United States to permit the resale of the Registrable Common Shares by the Selling Shareholder, from time to time in one or more transactions, after the date of this Prospectus Supplement. All costs, expenses and fees connected with the registration of the Registrable Common Shares will be borne by the Corporation. Any brokerage commissions, legal fees, and similar expenses connected with selling the Registrable Common Shares will be borne by the Selling Shareholder. The Corporation will not receive any of the proceeds from the sale by the Selling Shareholder of the Registrable Common Shares.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Selling Shareholder, which, as used herein, includes donees, pledgees, transferees or other successors-in-interest, selling Registrable Common Shares or interests in Registrable Common Shares received after the date of this Prospectus Supplement from the Selling Shareholder as a gift, pledge, partnership distribution or other transfer, may, from time to time, sell, transfer or otherwise dispose of any or all of their Registrable Common Shares or interests in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line="259" w:lineRule="auto"/>
        <w:rPr>
          <w:sz w:val="20"/>
          <w:szCs w:val="20"/>
          <w:color w:val="auto"/>
        </w:rPr>
      </w:pPr>
      <w:r>
        <w:rPr>
          <w:rFonts w:ascii="Times New Roman" w:cs="Times New Roman" w:eastAsia="Times New Roman" w:hAnsi="Times New Roman"/>
          <w:sz w:val="22"/>
          <w:szCs w:val="22"/>
          <w:color w:val="auto"/>
        </w:rPr>
        <w:t>The Selling Shareholder may use any one or more of the following methods when disposing of Registrable Common Shares or interests therein:</w:t>
      </w:r>
    </w:p>
    <w:p>
      <w:pPr>
        <w:spacing w:after="0" w:line="157" w:lineRule="exact"/>
        <w:rPr>
          <w:sz w:val="20"/>
          <w:szCs w:val="20"/>
          <w:color w:val="auto"/>
        </w:rPr>
      </w:pPr>
    </w:p>
    <w:p>
      <w:pPr>
        <w:ind w:left="660" w:right="2360"/>
        <w:spacing w:after="0" w:line="241" w:lineRule="auto"/>
        <w:rPr>
          <w:sz w:val="20"/>
          <w:szCs w:val="20"/>
          <w:color w:val="auto"/>
        </w:rPr>
      </w:pPr>
      <w:r>
        <w:rPr>
          <w:rFonts w:ascii="Times New Roman" w:cs="Times New Roman" w:eastAsia="Times New Roman" w:hAnsi="Times New Roman"/>
          <w:sz w:val="22"/>
          <w:szCs w:val="22"/>
          <w:color w:val="auto"/>
        </w:rPr>
        <w:t>ordinary brokerage transactions and transactions in which the broker-dealer solicits purchasers; to or through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block trades in which the broker-dealer will attempt to sell the Registrable Common Shares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980"/>
        <w:spacing w:after="0" w:line="230" w:lineRule="auto"/>
        <w:rPr>
          <w:sz w:val="20"/>
          <w:szCs w:val="20"/>
          <w:color w:val="auto"/>
        </w:rPr>
      </w:pPr>
      <w:r>
        <w:rPr>
          <w:rFonts w:ascii="Times New Roman" w:cs="Times New Roman" w:eastAsia="Times New Roman" w:hAnsi="Times New Roman"/>
          <w:sz w:val="22"/>
          <w:szCs w:val="22"/>
          <w:color w:val="auto"/>
        </w:rPr>
        <w:t>purchases by a broker-dealer as principal and resale by the broker-dealer for its account; an exchange distribution in accordance with the rules of the applicable exchange; 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Times New Roman" w:cs="Times New Roman" w:eastAsia="Times New Roman" w:hAnsi="Times New Roman"/>
          <w:sz w:val="22"/>
          <w:szCs w:val="22"/>
          <w:color w:val="auto"/>
        </w:rPr>
        <w:t>short sales effected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through the writing or settlement of options or other hedging transactions, whether through an options exchange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pursuant to agreements with broker-dealers to sell a specified number of such Registrable Common Shares at a stipulated price per Registrable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a combination of any such methods of sale;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any other method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Selling Shareholder may, from time to time, pledge or grant a security interest in some or all of the Registrable Common Shares owned by it and, if it defaults in the performance of its secured obligations, the pledgees or secured parties may offer and sell the Registrable Common Shares, from time to time, under this Prospectus Supplement, or under an amendment to this Prospectus Supplement. The Selling Shareholder may also transfer the Registrable Common Shares in other circumstances, in which case the transferees, pledgees or other successors in interest will be the selling beneficial owners for purposes of this Prospectus Supplement.</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connection with the sale of the Registrable Common Shares or interests therein, the Selling Shareholder may enter into hedging transactions with broker-dealers or other financial institutions, which may in turn engage in short sales of the Registrable Common Shares in the course of hedging the positions they assume. The Selling Shareholder may also sell Registrable Common Shares short and deliver these securities to close out their short positions, or loan or pledge the Registrable Common Shares to broker-dealers that in turn may sell these securities. The Selling Shareholder may also enter into option or other transactions with broker-dealers or other financial institutions or the creation of one or more derivative securities which require the delivery to such broker-dealer or other financial institution of Registrable Common Shares offered by this Prospectus Supplement, which Registrable Common Shares such broker-dealer or other financial institution may resell pursuant to this Prospectus Supplement (as supplemented or amended, as necessary, to reflect such transaction).</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aggregate proceeds to the Selling Shareholder from the sale of the Registrable Common Shares offered by it will be the purchase price of the Registrable Common Shares less discounts or commissions, if any. The Selling Shareholder reserves the right to accept and, together with their agents from time to time, to reject, in whole or in part, any proposed purchase of Registrable Common Shares to be made directly or through agents. The Corporation will not receive any of the proceeds from this Offering.</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Selling Shareholder may also resell all or a portion of the Registrable Common Shares in open market transactions in reliance upon Rule 144 or Rule 904 of Regulation S under the U.S. Securities Act, if available, provided that they meet the criteria and conform to the requirements of those rules, or pursuant to another available exemption under the U.S. Securities Act and applicable state securities laws.</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Selling Shareholder and any underwriters, broker-dealers or agents that participate in the sale of the Registrable Common Shares or interests therein may be "underwriters" within the meaning of Section 2(a)(11) of the U.S. Securities Act. Any discounts, commissions, concessions or profit they earn on any resale of the Registrable Common Shares may be underwriting discounts or commissions under the U.S. Securities Act. If the Selling Shareholder is an "underwriter" within the meaning of Section 2(a)(11) of the U.S. Securities Act it will be subject to the prospectus delivery requirements of the U.S. Securities Act.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required, the Registrable Common Shares to be sold, the name of the Selling Shareholder, the respective purchase prices and public offering prices, the names of any agent, dealer or underwriter, any applicable commissions or discounts with respect to a particular offer will be set forth in an amendment to this Prospectus Supplement.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both"/>
        <w:spacing w:after="0"/>
        <w:rPr>
          <w:sz w:val="20"/>
          <w:szCs w:val="20"/>
          <w:color w:val="auto"/>
        </w:rPr>
      </w:pPr>
      <w:r>
        <w:rPr>
          <w:rFonts w:ascii="Times New Roman" w:cs="Times New Roman" w:eastAsia="Times New Roman" w:hAnsi="Times New Roman"/>
          <w:sz w:val="22"/>
          <w:szCs w:val="22"/>
          <w:color w:val="auto"/>
        </w:rPr>
        <w:t>In order to comply with the securities laws of some states, if applicable, the Registrable Common Shares may be sold in these jurisdictions only through registered or licensed brokers or dealers. In addition, in some states the Registrable Common Shares may not be sold unless they have been registered or qualified for sale or an exemption from registration or qualification is available and is complied with.</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has not been filed in respect of, and will not qualify, any distribution of the Registrable Common Shares, in Ontario or in any other province or territory of Canada at any time.</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Corporation has advised the Selling Shareholder that the anti-manipulation rules of Regulation M under the Exchange Act, may apply to sales of Registrable Common Shares in the market and to the activities of the Selling Shareholder and its affiliates. In addition, to the extent applicable the Corporation will make copies of this Prospectus Supplement (as it may be amended from time to time) available to the Selling Shareholder for the purpose of satisfying the prospectus delivery requirements of the U.S. Securities Act. The Selling Shareholder may indemnify any broker-dealer that participates in transactions involving the sale of the Registrable Common Shares against certain liabilities, including liabilities arising under the U.S. Securities Act.</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agreed to indemnify the Selling Shareholder against liabilities, including liabilities under the U.S. Securities Act, the Exchange Act, or any other federal or state statutory law or regulation, or at common law or otherwise, relating to the registration of the Registrable Common Shares offered by this Prospectus Supplement.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can be no assurance that the Selling Shareholder will sell any or all of the Registrable Common Shares registered pursuant to the Registration Statement, of which this Prospectus Supplement and the accompanying Prospectus form a part.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the CBOE Canada and the NYSE American under the symbol "CYBN". The following table sets forth the reported monthly range of high and low prices per Common Share and total monthly volumes traded on the CBOE Canada and the NYSE American for each of the months indicated during the 12-month period prior to the date of this Prospectus Supplement.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CBOE Canada Price Rang</w:t>
            </w: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73"/>
        </w:trPr>
        <w:tc>
          <w:tcPr>
            <w:tcW w:w="336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34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2960" w:type="dxa"/>
            <w:vAlign w:val="bottom"/>
            <w:tcBorders>
              <w:top w:val="single" w:sz="8" w:color="auto"/>
            </w:tcBorders>
            <w:gridSpan w:val="2"/>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July 2024</w:t>
            </w:r>
          </w:p>
        </w:tc>
        <w:tc>
          <w:tcPr>
            <w:tcW w:w="400" w:type="dxa"/>
            <w:vAlign w:val="bottom"/>
            <w:tcBorders>
              <w:top w:val="single" w:sz="8" w:color="E6EFFF"/>
            </w:tcBorders>
            <w:shd w:val="clear" w:color="auto" w:fill="E6EFFF"/>
          </w:tcPr>
          <w:p>
            <w:pPr>
              <w:spacing w:after="0"/>
              <w:rPr>
                <w:sz w:val="18"/>
                <w:szCs w:val="18"/>
                <w:color w:val="auto"/>
              </w:rPr>
            </w:pPr>
          </w:p>
        </w:tc>
        <w:tc>
          <w:tcPr>
            <w:tcW w:w="2320" w:type="dxa"/>
            <w:vAlign w:val="bottom"/>
            <w:tcBorders>
              <w:top w:val="single" w:sz="8" w:color="auto"/>
            </w:tcBorders>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19.00</w:t>
            </w:r>
          </w:p>
        </w:tc>
        <w:tc>
          <w:tcPr>
            <w:tcW w:w="380" w:type="dxa"/>
            <w:vAlign w:val="bottom"/>
            <w:tcBorders>
              <w:top w:val="single" w:sz="8" w:color="E6EFFF"/>
            </w:tcBorders>
            <w:shd w:val="clear" w:color="auto" w:fill="E6EFFF"/>
          </w:tcPr>
          <w:p>
            <w:pPr>
              <w:spacing w:after="0"/>
              <w:rPr>
                <w:sz w:val="18"/>
                <w:szCs w:val="18"/>
                <w:color w:val="auto"/>
              </w:rPr>
            </w:pPr>
          </w:p>
        </w:tc>
        <w:tc>
          <w:tcPr>
            <w:tcW w:w="700" w:type="dxa"/>
            <w:vAlign w:val="bottom"/>
            <w:tcBorders>
              <w:top w:val="single" w:sz="8" w:color="auto"/>
            </w:tcBorders>
            <w:shd w:val="clear" w:color="auto" w:fill="E6EFFF"/>
          </w:tcPr>
          <w:p>
            <w:pPr>
              <w:spacing w:after="0"/>
              <w:rPr>
                <w:sz w:val="18"/>
                <w:szCs w:val="18"/>
                <w:color w:val="auto"/>
              </w:rPr>
            </w:pPr>
          </w:p>
        </w:tc>
        <w:tc>
          <w:tcPr>
            <w:tcW w:w="1640" w:type="dxa"/>
            <w:vAlign w:val="bottom"/>
            <w:tcBorders>
              <w:top w:val="single" w:sz="8" w:color="auto"/>
            </w:tcBorders>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rPr>
              <w:t>12.73</w:t>
            </w:r>
          </w:p>
        </w:tc>
        <w:tc>
          <w:tcPr>
            <w:tcW w:w="380" w:type="dxa"/>
            <w:vAlign w:val="bottom"/>
            <w:tcBorders>
              <w:top w:val="single" w:sz="8" w:color="E6EFFF"/>
            </w:tcBorders>
            <w:shd w:val="clear" w:color="auto" w:fill="E6EFFF"/>
          </w:tcPr>
          <w:p>
            <w:pPr>
              <w:spacing w:after="0"/>
              <w:rPr>
                <w:sz w:val="18"/>
                <w:szCs w:val="18"/>
                <w:color w:val="auto"/>
              </w:rPr>
            </w:pPr>
          </w:p>
        </w:tc>
        <w:tc>
          <w:tcPr>
            <w:tcW w:w="246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204,807</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2024</w:t>
            </w:r>
          </w:p>
        </w:tc>
        <w:tc>
          <w:tcPr>
            <w:tcW w:w="2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15.20</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3"/>
              </w:rPr>
              <w:t>11.59</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137,135</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32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14.43</w:t>
            </w:r>
          </w:p>
        </w:tc>
        <w:tc>
          <w:tcPr>
            <w:tcW w:w="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64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5"/>
              </w:rPr>
              <w:t>9.25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622,414</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October 2024</w:t>
            </w:r>
          </w:p>
        </w:tc>
        <w:tc>
          <w:tcPr>
            <w:tcW w:w="2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15.95</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3"/>
              </w:rPr>
              <w:t>11.25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234,904</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2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19.46</w:t>
            </w:r>
          </w:p>
        </w:tc>
        <w:tc>
          <w:tcPr>
            <w:tcW w:w="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64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rPr>
              <w:t>12.88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658,562</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2024</w:t>
            </w:r>
          </w:p>
        </w:tc>
        <w:tc>
          <w:tcPr>
            <w:tcW w:w="2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15.50</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12.25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272,739</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2025</w:t>
            </w:r>
          </w:p>
        </w:tc>
        <w:tc>
          <w:tcPr>
            <w:tcW w:w="232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15.55</w:t>
            </w:r>
          </w:p>
        </w:tc>
        <w:tc>
          <w:tcPr>
            <w:tcW w:w="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64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rPr>
              <w:t>12.45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204,121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2025</w:t>
            </w:r>
          </w:p>
        </w:tc>
        <w:tc>
          <w:tcPr>
            <w:tcW w:w="2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15.27</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3"/>
              </w:rPr>
              <w:t>11.15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302,579</w:t>
            </w:r>
          </w:p>
        </w:tc>
      </w:tr>
      <w:tr>
        <w:trPr>
          <w:trHeight w:val="216"/>
        </w:trPr>
        <w:tc>
          <w:tcPr>
            <w:tcW w:w="154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E6EFFF"/>
          </w:tcPr>
          <w:p>
            <w:pPr>
              <w:spacing w:after="0"/>
              <w:rPr>
                <w:sz w:val="18"/>
                <w:szCs w:val="18"/>
                <w:color w:val="auto"/>
              </w:rPr>
            </w:pPr>
          </w:p>
        </w:tc>
        <w:tc>
          <w:tcPr>
            <w:tcW w:w="232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12.14</w:t>
            </w:r>
          </w:p>
        </w:tc>
        <w:tc>
          <w:tcPr>
            <w:tcW w:w="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64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5"/>
              </w:rPr>
              <w:t>8.91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174,695</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April 2025</w:t>
            </w:r>
          </w:p>
        </w:tc>
        <w:tc>
          <w:tcPr>
            <w:tcW w:w="2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11.12</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5"/>
              </w:rPr>
              <w:t>6.95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223,736</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2025</w:t>
            </w:r>
          </w:p>
        </w:tc>
        <w:tc>
          <w:tcPr>
            <w:tcW w:w="232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11.74</w:t>
            </w:r>
          </w:p>
        </w:tc>
        <w:tc>
          <w:tcPr>
            <w:tcW w:w="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64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5"/>
              </w:rPr>
              <w:t>8.40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217,266</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2025</w:t>
            </w:r>
          </w:p>
        </w:tc>
        <w:tc>
          <w:tcPr>
            <w:tcW w:w="2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12.56</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5"/>
              </w:rPr>
              <w:t>9.85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189,178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July (1-11) 2025</w:t>
            </w:r>
          </w:p>
        </w:tc>
        <w:tc>
          <w:tcPr>
            <w:tcW w:w="232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12.18</w:t>
            </w:r>
          </w:p>
        </w:tc>
        <w:tc>
          <w:tcPr>
            <w:tcW w:w="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64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5"/>
              </w:rPr>
              <w:t>9.98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82,493</w:t>
            </w:r>
          </w:p>
        </w:tc>
      </w:tr>
    </w:tbl>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ind w:left="660" w:hanging="269"/>
        <w:spacing w:after="0" w:line="259" w:lineRule="auto"/>
        <w:tabs>
          <w:tab w:leader="none" w:pos="70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July 11, 2025, being the last day on which the Common Shares traded prior to the date of this Prospectus Supplement, the closing price of the Common Shares as reported on the CBOE Canada was C$10.45.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NYSE American Price Range</w:t>
            </w:r>
          </w:p>
        </w:tc>
        <w:tc>
          <w:tcPr>
            <w:tcW w:w="2460" w:type="dxa"/>
            <w:vAlign w:val="bottom"/>
          </w:tcPr>
          <w:p>
            <w:pPr>
              <w:spacing w:after="0"/>
              <w:rPr>
                <w:sz w:val="20"/>
                <w:szCs w:val="20"/>
                <w:color w:val="auto"/>
              </w:rPr>
            </w:pPr>
          </w:p>
        </w:tc>
      </w:tr>
      <w:tr>
        <w:trPr>
          <w:trHeight w:val="472"/>
        </w:trPr>
        <w:tc>
          <w:tcPr>
            <w:tcW w:w="336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7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2960" w:type="dxa"/>
            <w:vAlign w:val="bottom"/>
            <w:tcBorders>
              <w:top w:val="single" w:sz="8" w:color="auto"/>
            </w:tcBorders>
            <w:gridSpan w:val="2"/>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July 2024</w:t>
            </w:r>
          </w:p>
        </w:tc>
        <w:tc>
          <w:tcPr>
            <w:tcW w:w="400" w:type="dxa"/>
            <w:vAlign w:val="bottom"/>
            <w:tcBorders>
              <w:top w:val="single" w:sz="8" w:color="E6EFFF"/>
            </w:tcBorders>
            <w:shd w:val="clear" w:color="auto" w:fill="E6EFFF"/>
          </w:tcPr>
          <w:p>
            <w:pPr>
              <w:spacing w:after="0"/>
              <w:rPr>
                <w:sz w:val="18"/>
                <w:szCs w:val="18"/>
                <w:color w:val="auto"/>
              </w:rPr>
            </w:pPr>
          </w:p>
        </w:tc>
        <w:tc>
          <w:tcPr>
            <w:tcW w:w="232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12.768</w:t>
            </w:r>
          </w:p>
        </w:tc>
        <w:tc>
          <w:tcPr>
            <w:tcW w:w="380" w:type="dxa"/>
            <w:vAlign w:val="bottom"/>
            <w:tcBorders>
              <w:top w:val="single" w:sz="8" w:color="E6EFFF"/>
            </w:tcBorders>
            <w:shd w:val="clear" w:color="auto" w:fill="E6EFFF"/>
          </w:tcPr>
          <w:p>
            <w:pPr>
              <w:spacing w:after="0"/>
              <w:rPr>
                <w:sz w:val="18"/>
                <w:szCs w:val="18"/>
                <w:color w:val="auto"/>
              </w:rPr>
            </w:pPr>
          </w:p>
        </w:tc>
        <w:tc>
          <w:tcPr>
            <w:tcW w:w="234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9.405</w:t>
            </w:r>
          </w:p>
        </w:tc>
        <w:tc>
          <w:tcPr>
            <w:tcW w:w="380" w:type="dxa"/>
            <w:vAlign w:val="bottom"/>
            <w:tcBorders>
              <w:top w:val="single" w:sz="8" w:color="E6EFFF"/>
            </w:tcBorders>
            <w:shd w:val="clear" w:color="auto" w:fill="E6EFFF"/>
          </w:tcPr>
          <w:p>
            <w:pPr>
              <w:spacing w:after="0"/>
              <w:rPr>
                <w:sz w:val="18"/>
                <w:szCs w:val="18"/>
                <w:color w:val="auto"/>
              </w:rPr>
            </w:pPr>
          </w:p>
        </w:tc>
        <w:tc>
          <w:tcPr>
            <w:tcW w:w="246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2,657,895</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10.716</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8.7381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3,478,612</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10.628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5,478,558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October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11.6597</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8.2852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3,140,648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13.88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9.1612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12,981,742</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8.386</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4,976,111</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8.625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3,926,388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10.7199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7.8001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8,083,405</w:t>
            </w:r>
          </w:p>
        </w:tc>
      </w:tr>
      <w:tr>
        <w:trPr>
          <w:trHeight w:val="216"/>
        </w:trPr>
        <w:tc>
          <w:tcPr>
            <w:tcW w:w="154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E6EFFF"/>
          </w:tcPr>
          <w:p>
            <w:pPr>
              <w:spacing w:after="0"/>
              <w:rPr>
                <w:sz w:val="18"/>
                <w:szCs w:val="18"/>
                <w:color w:val="auto"/>
              </w:rPr>
            </w:pP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8.4747</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6.20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3,701,307</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April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6,401,818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6.05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6,742,091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5,711,894</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July (1-11)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7.28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4,780,007</w:t>
            </w: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hanging="269"/>
        <w:spacing w:after="0" w:line="237" w:lineRule="auto"/>
        <w:tabs>
          <w:tab w:leader="none" w:pos="70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 All figures related to securities are represented on a post-Consolidation basis.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July 11, 2025, being the last day on which the Common Shares traded prior to the date of this Prospectus Supplement, the closing price of the Common Shares as reported on the NYSE American was US$7.64.</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 / Principal Amount of</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Issuance / Exercise / Conversion</w:t>
            </w:r>
          </w:p>
        </w:tc>
      </w:tr>
      <w:tr>
        <w:trPr>
          <w:trHeight w:val="275"/>
        </w:trPr>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302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3160" w:type="dxa"/>
            <w:vAlign w:val="bottom"/>
          </w:tcPr>
          <w:p>
            <w:pPr>
              <w:jc w:val="center"/>
              <w:ind w:right="50"/>
              <w:spacing w:after="0" w:line="276" w:lineRule="exact"/>
              <w:rPr>
                <w:sz w:val="20"/>
                <w:szCs w:val="20"/>
                <w:color w:val="auto"/>
              </w:rPr>
            </w:pPr>
            <w:r>
              <w:rPr>
                <w:rFonts w:ascii="Times New Roman" w:cs="Times New Roman" w:eastAsia="Times New Roman" w:hAnsi="Times New Roman"/>
                <w:sz w:val="18"/>
                <w:szCs w:val="18"/>
                <w:b w:val="1"/>
                <w:bCs w:val="1"/>
                <w:color w:val="auto"/>
                <w:w w:val="95"/>
              </w:rPr>
              <w:t>Price Per Security (CAD)</w:t>
            </w:r>
            <w:r>
              <w:rPr>
                <w:rFonts w:ascii="Times New Roman" w:cs="Times New Roman" w:eastAsia="Times New Roman" w:hAnsi="Times New Roman"/>
                <w:sz w:val="29"/>
                <w:szCs w:val="29"/>
                <w:b w:val="1"/>
                <w:bCs w:val="1"/>
                <w:color w:val="auto"/>
                <w:w w:val="95"/>
                <w:vertAlign w:val="superscript"/>
              </w:rPr>
              <w:t>(1)(2)</w:t>
            </w:r>
          </w:p>
        </w:tc>
      </w:tr>
      <w:tr>
        <w:trPr>
          <w:trHeight w:val="210"/>
        </w:trPr>
        <w:tc>
          <w:tcPr>
            <w:tcW w:w="168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August 15, 2024</w:t>
            </w:r>
          </w:p>
        </w:tc>
        <w:tc>
          <w:tcPr>
            <w:tcW w:w="240" w:type="dxa"/>
            <w:vAlign w:val="bottom"/>
            <w:tcBorders>
              <w:top w:val="single" w:sz="8" w:color="E6EFFF"/>
            </w:tcBorders>
            <w:shd w:val="clear" w:color="auto" w:fill="E6EFFF"/>
          </w:tcPr>
          <w:p>
            <w:pPr>
              <w:spacing w:after="0"/>
              <w:rPr>
                <w:sz w:val="18"/>
                <w:szCs w:val="18"/>
                <w:color w:val="auto"/>
              </w:rPr>
            </w:pPr>
          </w:p>
        </w:tc>
        <w:tc>
          <w:tcPr>
            <w:tcW w:w="278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3,061,232</w:t>
            </w:r>
          </w:p>
        </w:tc>
        <w:tc>
          <w:tcPr>
            <w:tcW w:w="240" w:type="dxa"/>
            <w:vAlign w:val="bottom"/>
            <w:tcBorders>
              <w:top w:val="single" w:sz="8" w:color="E6EFFF"/>
            </w:tcBorders>
            <w:shd w:val="clear" w:color="auto" w:fill="E6EFFF"/>
          </w:tcPr>
          <w:p>
            <w:pPr>
              <w:spacing w:after="0"/>
              <w:rPr>
                <w:sz w:val="18"/>
                <w:szCs w:val="18"/>
                <w:color w:val="auto"/>
              </w:rPr>
            </w:pPr>
          </w:p>
        </w:tc>
        <w:tc>
          <w:tcPr>
            <w:tcW w:w="2900" w:type="dxa"/>
            <w:vAlign w:val="bottom"/>
            <w:tcBorders>
              <w:top w:val="single" w:sz="8" w:color="auto"/>
            </w:tcBorders>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rPr>
              <w:t>Options</w:t>
            </w:r>
          </w:p>
        </w:tc>
        <w:tc>
          <w:tcPr>
            <w:tcW w:w="240" w:type="dxa"/>
            <w:vAlign w:val="bottom"/>
            <w:tcBorders>
              <w:top w:val="single" w:sz="8" w:color="E6EFFF"/>
            </w:tcBorders>
            <w:shd w:val="clear" w:color="auto" w:fill="E6EFFF"/>
          </w:tcPr>
          <w:p>
            <w:pPr>
              <w:spacing w:after="0"/>
              <w:rPr>
                <w:sz w:val="18"/>
                <w:szCs w:val="18"/>
                <w:color w:val="auto"/>
              </w:rPr>
            </w:pPr>
          </w:p>
        </w:tc>
        <w:tc>
          <w:tcPr>
            <w:tcW w:w="3160" w:type="dxa"/>
            <w:vAlign w:val="bottom"/>
            <w:tcBorders>
              <w:top w:val="single" w:sz="8" w:color="auto"/>
            </w:tcBorders>
            <w:shd w:val="clear" w:color="auto" w:fill="E6EFFF"/>
          </w:tcPr>
          <w:p>
            <w:pPr>
              <w:jc w:val="center"/>
              <w:ind w:right="50"/>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27, 2024</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80,100</w:t>
            </w:r>
          </w:p>
        </w:tc>
        <w:tc>
          <w:tcPr>
            <w:tcW w:w="240" w:type="dxa"/>
            <w:vAlign w:val="bottom"/>
          </w:tcPr>
          <w:p>
            <w:pPr>
              <w:spacing w:after="0"/>
              <w:rPr>
                <w:sz w:val="18"/>
                <w:szCs w:val="18"/>
                <w:color w:val="auto"/>
              </w:rPr>
            </w:pPr>
          </w:p>
        </w:tc>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3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$14.37</w:t>
            </w:r>
          </w:p>
        </w:tc>
      </w:tr>
      <w:tr>
        <w:trPr>
          <w:trHeight w:val="257"/>
        </w:trPr>
        <w:tc>
          <w:tcPr>
            <w:tcW w:w="1920" w:type="dxa"/>
            <w:vAlign w:val="bottom"/>
            <w:gridSpan w:val="2"/>
            <w:shd w:val="clear" w:color="auto" w:fill="E6EFFF"/>
          </w:tcPr>
          <w:p>
            <w:pPr>
              <w:jc w:val="center"/>
              <w:ind w:right="240"/>
              <w:spacing w:after="0" w:line="256" w:lineRule="exact"/>
              <w:rPr>
                <w:sz w:val="20"/>
                <w:szCs w:val="20"/>
                <w:color w:val="auto"/>
              </w:rPr>
            </w:pPr>
            <w:r>
              <w:rPr>
                <w:rFonts w:ascii="Times New Roman" w:cs="Times New Roman" w:eastAsia="Times New Roman" w:hAnsi="Times New Roman"/>
                <w:sz w:val="18"/>
                <w:szCs w:val="18"/>
                <w:color w:val="auto"/>
                <w:w w:val="95"/>
              </w:rPr>
              <w:t>January 21, 2025</w:t>
            </w:r>
            <w:r>
              <w:rPr>
                <w:rFonts w:ascii="Times New Roman" w:cs="Times New Roman" w:eastAsia="Times New Roman" w:hAnsi="Times New Roman"/>
                <w:sz w:val="29"/>
                <w:szCs w:val="29"/>
                <w:color w:val="auto"/>
                <w:w w:val="95"/>
                <w:vertAlign w:val="superscript"/>
              </w:rPr>
              <w:t>(3)</w:t>
            </w:r>
          </w:p>
        </w:tc>
        <w:tc>
          <w:tcPr>
            <w:tcW w:w="27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17,100</w:t>
            </w:r>
          </w:p>
        </w:tc>
        <w:tc>
          <w:tcPr>
            <w:tcW w:w="240" w:type="dxa"/>
            <w:vAlign w:val="bottom"/>
            <w:shd w:val="clear" w:color="auto" w:fill="E6EFFF"/>
          </w:tcPr>
          <w:p>
            <w:pPr>
              <w:spacing w:after="0"/>
              <w:rPr>
                <w:sz w:val="22"/>
                <w:szCs w:val="22"/>
                <w:color w:val="auto"/>
              </w:rPr>
            </w:pPr>
          </w:p>
        </w:tc>
        <w:tc>
          <w:tcPr>
            <w:tcW w:w="314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 Shares</w:t>
            </w:r>
          </w:p>
        </w:tc>
        <w:tc>
          <w:tcPr>
            <w:tcW w:w="3160" w:type="dxa"/>
            <w:vAlign w:val="bottom"/>
            <w:shd w:val="clear" w:color="auto" w:fill="E6EFFF"/>
          </w:tcPr>
          <w:p>
            <w:pPr>
              <w:jc w:val="center"/>
              <w:ind w:right="50"/>
              <w:spacing w:after="0"/>
              <w:rPr>
                <w:sz w:val="20"/>
                <w:szCs w:val="20"/>
                <w:color w:val="auto"/>
              </w:rPr>
            </w:pPr>
            <w:r>
              <w:rPr>
                <w:rFonts w:ascii="Times New Roman" w:cs="Times New Roman" w:eastAsia="Times New Roman" w:hAnsi="Times New Roman"/>
                <w:sz w:val="18"/>
                <w:szCs w:val="18"/>
                <w:color w:val="auto"/>
              </w:rPr>
              <w:t>$12.71</w:t>
            </w:r>
          </w:p>
        </w:tc>
      </w:tr>
      <w:tr>
        <w:trPr>
          <w:trHeight w:val="257"/>
        </w:trPr>
        <w:tc>
          <w:tcPr>
            <w:tcW w:w="1920" w:type="dxa"/>
            <w:vAlign w:val="bottom"/>
            <w:gridSpan w:val="2"/>
          </w:tcPr>
          <w:p>
            <w:pPr>
              <w:jc w:val="center"/>
              <w:ind w:right="240"/>
              <w:spacing w:after="0" w:line="256" w:lineRule="exact"/>
              <w:rPr>
                <w:sz w:val="20"/>
                <w:szCs w:val="20"/>
                <w:color w:val="auto"/>
              </w:rPr>
            </w:pPr>
            <w:r>
              <w:rPr>
                <w:rFonts w:ascii="Times New Roman" w:cs="Times New Roman" w:eastAsia="Times New Roman" w:hAnsi="Times New Roman"/>
                <w:sz w:val="18"/>
                <w:szCs w:val="18"/>
                <w:color w:val="auto"/>
                <w:w w:val="95"/>
              </w:rPr>
              <w:t>January 22, 2025</w:t>
            </w:r>
            <w:r>
              <w:rPr>
                <w:rFonts w:ascii="Times New Roman" w:cs="Times New Roman" w:eastAsia="Times New Roman" w:hAnsi="Times New Roman"/>
                <w:sz w:val="29"/>
                <w:szCs w:val="29"/>
                <w:color w:val="auto"/>
                <w:w w:val="95"/>
                <w:vertAlign w:val="superscript"/>
              </w:rPr>
              <w:t>(3)</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22"/>
                <w:szCs w:val="22"/>
                <w:color w:val="auto"/>
              </w:rPr>
            </w:pPr>
          </w:p>
        </w:tc>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 Shares</w:t>
            </w:r>
          </w:p>
        </w:tc>
        <w:tc>
          <w:tcPr>
            <w:tcW w:w="3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$13.08</w:t>
            </w:r>
          </w:p>
        </w:tc>
      </w:tr>
      <w:tr>
        <w:trPr>
          <w:trHeight w:val="256"/>
        </w:trPr>
        <w:tc>
          <w:tcPr>
            <w:tcW w:w="1920" w:type="dxa"/>
            <w:vAlign w:val="bottom"/>
            <w:gridSpan w:val="2"/>
            <w:shd w:val="clear" w:color="auto" w:fill="E6EFFF"/>
          </w:tcPr>
          <w:p>
            <w:pPr>
              <w:jc w:val="center"/>
              <w:ind w:right="240"/>
              <w:spacing w:after="0" w:line="256" w:lineRule="exact"/>
              <w:rPr>
                <w:sz w:val="20"/>
                <w:szCs w:val="20"/>
                <w:color w:val="auto"/>
              </w:rPr>
            </w:pPr>
            <w:r>
              <w:rPr>
                <w:rFonts w:ascii="Times New Roman" w:cs="Times New Roman" w:eastAsia="Times New Roman" w:hAnsi="Times New Roman"/>
                <w:sz w:val="18"/>
                <w:szCs w:val="18"/>
                <w:color w:val="auto"/>
                <w:w w:val="95"/>
              </w:rPr>
              <w:t>January 23, 2025</w:t>
            </w:r>
            <w:r>
              <w:rPr>
                <w:rFonts w:ascii="Times New Roman" w:cs="Times New Roman" w:eastAsia="Times New Roman" w:hAnsi="Times New Roman"/>
                <w:sz w:val="29"/>
                <w:szCs w:val="29"/>
                <w:color w:val="auto"/>
                <w:w w:val="95"/>
                <w:vertAlign w:val="superscript"/>
              </w:rPr>
              <w:t>(3)</w:t>
            </w:r>
          </w:p>
        </w:tc>
        <w:tc>
          <w:tcPr>
            <w:tcW w:w="27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E6EFFF"/>
          </w:tcPr>
          <w:p>
            <w:pPr>
              <w:spacing w:after="0"/>
              <w:rPr>
                <w:sz w:val="22"/>
                <w:szCs w:val="22"/>
                <w:color w:val="auto"/>
              </w:rPr>
            </w:pPr>
          </w:p>
        </w:tc>
        <w:tc>
          <w:tcPr>
            <w:tcW w:w="314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 Shares</w:t>
            </w:r>
          </w:p>
        </w:tc>
        <w:tc>
          <w:tcPr>
            <w:tcW w:w="3160" w:type="dxa"/>
            <w:vAlign w:val="bottom"/>
            <w:shd w:val="clear" w:color="auto" w:fill="E6EFFF"/>
          </w:tcPr>
          <w:p>
            <w:pPr>
              <w:jc w:val="center"/>
              <w:ind w:right="50"/>
              <w:spacing w:after="0"/>
              <w:rPr>
                <w:sz w:val="20"/>
                <w:szCs w:val="20"/>
                <w:color w:val="auto"/>
              </w:rPr>
            </w:pPr>
            <w:r>
              <w:rPr>
                <w:rFonts w:ascii="Times New Roman" w:cs="Times New Roman" w:eastAsia="Times New Roman" w:hAnsi="Times New Roman"/>
                <w:sz w:val="18"/>
                <w:szCs w:val="18"/>
                <w:color w:val="auto"/>
              </w:rPr>
              <w:t>$13.33</w:t>
            </w:r>
          </w:p>
        </w:tc>
      </w:tr>
      <w:tr>
        <w:trPr>
          <w:trHeight w:val="257"/>
        </w:trPr>
        <w:tc>
          <w:tcPr>
            <w:tcW w:w="1920" w:type="dxa"/>
            <w:vAlign w:val="bottom"/>
            <w:gridSpan w:val="2"/>
          </w:tcPr>
          <w:p>
            <w:pPr>
              <w:jc w:val="center"/>
              <w:ind w:right="240"/>
              <w:spacing w:after="0" w:line="256" w:lineRule="exact"/>
              <w:rPr>
                <w:sz w:val="20"/>
                <w:szCs w:val="20"/>
                <w:color w:val="auto"/>
              </w:rPr>
            </w:pPr>
            <w:r>
              <w:rPr>
                <w:rFonts w:ascii="Times New Roman" w:cs="Times New Roman" w:eastAsia="Times New Roman" w:hAnsi="Times New Roman"/>
                <w:sz w:val="18"/>
                <w:szCs w:val="18"/>
                <w:color w:val="auto"/>
                <w:w w:val="95"/>
              </w:rPr>
              <w:t>January 24, 2025</w:t>
            </w:r>
            <w:r>
              <w:rPr>
                <w:rFonts w:ascii="Times New Roman" w:cs="Times New Roman" w:eastAsia="Times New Roman" w:hAnsi="Times New Roman"/>
                <w:sz w:val="29"/>
                <w:szCs w:val="29"/>
                <w:color w:val="auto"/>
                <w:w w:val="95"/>
                <w:vertAlign w:val="superscript"/>
              </w:rPr>
              <w:t>(3)</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34,000</w:t>
            </w:r>
          </w:p>
        </w:tc>
        <w:tc>
          <w:tcPr>
            <w:tcW w:w="240" w:type="dxa"/>
            <w:vAlign w:val="bottom"/>
          </w:tcPr>
          <w:p>
            <w:pPr>
              <w:spacing w:after="0"/>
              <w:rPr>
                <w:sz w:val="22"/>
                <w:szCs w:val="22"/>
                <w:color w:val="auto"/>
              </w:rPr>
            </w:pPr>
          </w:p>
        </w:tc>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 Shares</w:t>
            </w:r>
          </w:p>
        </w:tc>
        <w:tc>
          <w:tcPr>
            <w:tcW w:w="3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$14.11</w:t>
            </w:r>
          </w:p>
        </w:tc>
      </w:tr>
      <w:tr>
        <w:trPr>
          <w:trHeight w:val="256"/>
        </w:trPr>
        <w:tc>
          <w:tcPr>
            <w:tcW w:w="1920" w:type="dxa"/>
            <w:vAlign w:val="bottom"/>
            <w:gridSpan w:val="2"/>
            <w:shd w:val="clear" w:color="auto" w:fill="E6EFFF"/>
          </w:tcPr>
          <w:p>
            <w:pPr>
              <w:jc w:val="center"/>
              <w:ind w:right="240"/>
              <w:spacing w:after="0" w:line="256" w:lineRule="exact"/>
              <w:rPr>
                <w:sz w:val="20"/>
                <w:szCs w:val="20"/>
                <w:color w:val="auto"/>
              </w:rPr>
            </w:pPr>
            <w:r>
              <w:rPr>
                <w:rFonts w:ascii="Times New Roman" w:cs="Times New Roman" w:eastAsia="Times New Roman" w:hAnsi="Times New Roman"/>
                <w:sz w:val="18"/>
                <w:szCs w:val="18"/>
                <w:color w:val="auto"/>
                <w:w w:val="95"/>
              </w:rPr>
              <w:t>January 27, 2025</w:t>
            </w:r>
            <w:r>
              <w:rPr>
                <w:rFonts w:ascii="Times New Roman" w:cs="Times New Roman" w:eastAsia="Times New Roman" w:hAnsi="Times New Roman"/>
                <w:sz w:val="29"/>
                <w:szCs w:val="29"/>
                <w:color w:val="auto"/>
                <w:w w:val="95"/>
                <w:vertAlign w:val="superscript"/>
              </w:rPr>
              <w:t>(3)</w:t>
            </w:r>
          </w:p>
        </w:tc>
        <w:tc>
          <w:tcPr>
            <w:tcW w:w="27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15,082</w:t>
            </w:r>
          </w:p>
        </w:tc>
        <w:tc>
          <w:tcPr>
            <w:tcW w:w="240" w:type="dxa"/>
            <w:vAlign w:val="bottom"/>
            <w:shd w:val="clear" w:color="auto" w:fill="E6EFFF"/>
          </w:tcPr>
          <w:p>
            <w:pPr>
              <w:spacing w:after="0"/>
              <w:rPr>
                <w:sz w:val="22"/>
                <w:szCs w:val="22"/>
                <w:color w:val="auto"/>
              </w:rPr>
            </w:pPr>
          </w:p>
        </w:tc>
        <w:tc>
          <w:tcPr>
            <w:tcW w:w="314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 Shares</w:t>
            </w:r>
          </w:p>
        </w:tc>
        <w:tc>
          <w:tcPr>
            <w:tcW w:w="3160" w:type="dxa"/>
            <w:vAlign w:val="bottom"/>
            <w:shd w:val="clear" w:color="auto" w:fill="E6EFFF"/>
          </w:tcPr>
          <w:p>
            <w:pPr>
              <w:jc w:val="center"/>
              <w:ind w:right="50"/>
              <w:spacing w:after="0"/>
              <w:rPr>
                <w:sz w:val="20"/>
                <w:szCs w:val="20"/>
                <w:color w:val="auto"/>
              </w:rPr>
            </w:pPr>
            <w:r>
              <w:rPr>
                <w:rFonts w:ascii="Times New Roman" w:cs="Times New Roman" w:eastAsia="Times New Roman" w:hAnsi="Times New Roman"/>
                <w:sz w:val="18"/>
                <w:szCs w:val="18"/>
                <w:color w:val="auto"/>
              </w:rPr>
              <w:t>$14.16</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333"/>
        </w:trPr>
        <w:tc>
          <w:tcPr>
            <w:tcW w:w="23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5"/>
              </w:rPr>
              <w:t>January 29, 2025</w:t>
            </w:r>
            <w:r>
              <w:rPr>
                <w:rFonts w:ascii="Times New Roman" w:cs="Times New Roman" w:eastAsia="Times New Roman" w:hAnsi="Times New Roman"/>
                <w:sz w:val="29"/>
                <w:szCs w:val="29"/>
                <w:color w:val="auto"/>
                <w:w w:val="95"/>
                <w:vertAlign w:val="superscript"/>
              </w:rPr>
              <w:t>(3)</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31,738</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$13.48</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5"/>
              </w:rPr>
              <w:t>January 30, 2025</w:t>
            </w:r>
            <w:r>
              <w:rPr>
                <w:rFonts w:ascii="Times New Roman" w:cs="Times New Roman" w:eastAsia="Times New Roman" w:hAnsi="Times New Roman"/>
                <w:sz w:val="29"/>
                <w:szCs w:val="29"/>
                <w:color w:val="auto"/>
                <w:w w:val="95"/>
                <w:vertAlign w:val="superscript"/>
              </w:rPr>
              <w:t>(3)</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32,000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$13.69</w:t>
            </w:r>
          </w:p>
        </w:tc>
      </w:tr>
      <w:tr>
        <w:trPr>
          <w:trHeight w:val="257"/>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5"/>
              </w:rPr>
              <w:t>January 31, 2025</w:t>
            </w:r>
            <w:r>
              <w:rPr>
                <w:rFonts w:ascii="Times New Roman" w:cs="Times New Roman" w:eastAsia="Times New Roman" w:hAnsi="Times New Roman"/>
                <w:sz w:val="29"/>
                <w:szCs w:val="29"/>
                <w:color w:val="auto"/>
                <w:w w:val="95"/>
                <w:vertAlign w:val="superscript"/>
              </w:rPr>
              <w:t>(3)</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49,496</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$13.80</w:t>
            </w:r>
          </w:p>
        </w:tc>
      </w:tr>
      <w:tr>
        <w:trPr>
          <w:trHeight w:val="256"/>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5"/>
              </w:rPr>
              <w:t>February 3, 2025</w:t>
            </w:r>
            <w:r>
              <w:rPr>
                <w:rFonts w:ascii="Times New Roman" w:cs="Times New Roman" w:eastAsia="Times New Roman" w:hAnsi="Times New Roman"/>
                <w:sz w:val="29"/>
                <w:szCs w:val="29"/>
                <w:color w:val="auto"/>
                <w:w w:val="95"/>
                <w:vertAlign w:val="superscript"/>
              </w:rPr>
              <w:t>(3)</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25,000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$13.79</w:t>
            </w:r>
          </w:p>
        </w:tc>
      </w:tr>
      <w:tr>
        <w:trPr>
          <w:trHeight w:val="257"/>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5"/>
              </w:rPr>
              <w:t>February 4, 2025</w:t>
            </w:r>
            <w:r>
              <w:rPr>
                <w:rFonts w:ascii="Times New Roman" w:cs="Times New Roman" w:eastAsia="Times New Roman" w:hAnsi="Times New Roman"/>
                <w:sz w:val="29"/>
                <w:szCs w:val="29"/>
                <w:color w:val="auto"/>
                <w:w w:val="95"/>
                <w:vertAlign w:val="superscript"/>
              </w:rPr>
              <w:t>(3)</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25,500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$13.74</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5"/>
              </w:rPr>
              <w:t>February 5, 2025</w:t>
            </w:r>
            <w:r>
              <w:rPr>
                <w:rFonts w:ascii="Times New Roman" w:cs="Times New Roman" w:eastAsia="Times New Roman" w:hAnsi="Times New Roman"/>
                <w:sz w:val="29"/>
                <w:szCs w:val="29"/>
                <w:color w:val="auto"/>
                <w:w w:val="95"/>
                <w:vertAlign w:val="superscript"/>
              </w:rPr>
              <w:t>(3)</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326,800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$13.86</w:t>
            </w:r>
          </w:p>
        </w:tc>
      </w:tr>
      <w:tr>
        <w:trPr>
          <w:trHeight w:val="257"/>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5"/>
              </w:rPr>
              <w:t>February 6, 2025</w:t>
            </w:r>
            <w:r>
              <w:rPr>
                <w:rFonts w:ascii="Times New Roman" w:cs="Times New Roman" w:eastAsia="Times New Roman" w:hAnsi="Times New Roman"/>
                <w:sz w:val="29"/>
                <w:szCs w:val="29"/>
                <w:color w:val="auto"/>
                <w:w w:val="95"/>
                <w:vertAlign w:val="superscript"/>
              </w:rPr>
              <w:t>(3)</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280,800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$13.72</w:t>
            </w:r>
          </w:p>
        </w:tc>
      </w:tr>
      <w:tr>
        <w:trPr>
          <w:trHeight w:val="256"/>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5"/>
              </w:rPr>
              <w:t>February 7, 2025</w:t>
            </w:r>
            <w:r>
              <w:rPr>
                <w:rFonts w:ascii="Times New Roman" w:cs="Times New Roman" w:eastAsia="Times New Roman" w:hAnsi="Times New Roman"/>
                <w:sz w:val="29"/>
                <w:szCs w:val="29"/>
                <w:color w:val="auto"/>
                <w:w w:val="95"/>
                <w:vertAlign w:val="superscript"/>
              </w:rPr>
              <w:t>(3)</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85,000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$13.48</w:t>
            </w:r>
          </w:p>
        </w:tc>
      </w:tr>
      <w:tr>
        <w:trPr>
          <w:trHeight w:val="257"/>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10,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57,000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$12.74</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14,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106,000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$13.20</w:t>
            </w:r>
          </w:p>
        </w:tc>
      </w:tr>
      <w:tr>
        <w:trPr>
          <w:trHeight w:val="257"/>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18,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125,100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$13.66</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19,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66,000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$13.15</w:t>
            </w:r>
          </w:p>
        </w:tc>
      </w:tr>
      <w:tr>
        <w:trPr>
          <w:trHeight w:val="256"/>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20,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33,550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$12.97</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21,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21,994</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$12.98</w:t>
            </w:r>
          </w:p>
        </w:tc>
      </w:tr>
      <w:tr>
        <w:trPr>
          <w:trHeight w:val="257"/>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24,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36,999</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$12.94</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6"/>
              </w:rPr>
              <w:t>February 26,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60,868</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23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March 7, 2025</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35,000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$10.45</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13, 2024</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10,000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$10.11</w:t>
            </w:r>
          </w:p>
        </w:tc>
      </w:tr>
      <w:tr>
        <w:trPr>
          <w:trHeight w:val="256"/>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14,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13,400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$10.39</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17,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12,000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$10.43</w:t>
            </w:r>
          </w:p>
        </w:tc>
      </w:tr>
      <w:tr>
        <w:trPr>
          <w:trHeight w:val="257"/>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19,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13,000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$10.44</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20,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13,000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$10.34</w:t>
            </w:r>
          </w:p>
        </w:tc>
      </w:tr>
      <w:tr>
        <w:trPr>
          <w:trHeight w:val="256"/>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21,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9,000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$10.28</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24,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13,000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$10.14</w:t>
            </w:r>
          </w:p>
        </w:tc>
      </w:tr>
      <w:tr>
        <w:trPr>
          <w:trHeight w:val="257"/>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25,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13,000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$10.36</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26,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14,500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$10.03</w:t>
            </w:r>
          </w:p>
        </w:tc>
      </w:tr>
      <w:tr>
        <w:trPr>
          <w:trHeight w:val="256"/>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27,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7,500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$9.75</w:t>
            </w:r>
          </w:p>
        </w:tc>
      </w:tr>
      <w:tr>
        <w:trPr>
          <w:trHeight w:val="257"/>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28, 2025</w:t>
            </w:r>
            <w:r>
              <w:rPr>
                <w:rFonts w:ascii="Times New Roman" w:cs="Times New Roman" w:eastAsia="Times New Roman" w:hAnsi="Times New Roman"/>
                <w:sz w:val="29"/>
                <w:szCs w:val="29"/>
                <w:color w:val="auto"/>
                <w:w w:val="96"/>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4,600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$9.74</w:t>
            </w:r>
          </w:p>
        </w:tc>
      </w:tr>
      <w:tr>
        <w:trPr>
          <w:trHeight w:val="256"/>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6"/>
              </w:rPr>
              <w:t>March 31, 2025</w:t>
            </w:r>
            <w:r>
              <w:rPr>
                <w:rFonts w:ascii="Times New Roman" w:cs="Times New Roman" w:eastAsia="Times New Roman" w:hAnsi="Times New Roman"/>
                <w:sz w:val="29"/>
                <w:szCs w:val="29"/>
                <w:color w:val="auto"/>
                <w:w w:val="96"/>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1,271</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14, 2025</w:t>
            </w:r>
            <w:r>
              <w:rPr>
                <w:rFonts w:ascii="Times New Roman" w:cs="Times New Roman" w:eastAsia="Times New Roman" w:hAnsi="Times New Roman"/>
                <w:sz w:val="29"/>
                <w:szCs w:val="29"/>
                <w:color w:val="auto"/>
                <w:w w:val="95"/>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25,500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6"/>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15, 2025</w:t>
            </w:r>
            <w:r>
              <w:rPr>
                <w:rFonts w:ascii="Times New Roman" w:cs="Times New Roman" w:eastAsia="Times New Roman" w:hAnsi="Times New Roman"/>
                <w:sz w:val="29"/>
                <w:szCs w:val="29"/>
                <w:color w:val="auto"/>
                <w:w w:val="95"/>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87,500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$10.64</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16, 2025</w:t>
            </w:r>
            <w:r>
              <w:rPr>
                <w:rFonts w:ascii="Times New Roman" w:cs="Times New Roman" w:eastAsia="Times New Roman" w:hAnsi="Times New Roman"/>
                <w:sz w:val="29"/>
                <w:szCs w:val="29"/>
                <w:color w:val="auto"/>
                <w:w w:val="95"/>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16,336</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$10.89</w:t>
            </w:r>
          </w:p>
        </w:tc>
      </w:tr>
      <w:tr>
        <w:trPr>
          <w:trHeight w:val="256"/>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17, 2025</w:t>
            </w:r>
            <w:r>
              <w:rPr>
                <w:rFonts w:ascii="Times New Roman" w:cs="Times New Roman" w:eastAsia="Times New Roman" w:hAnsi="Times New Roman"/>
                <w:sz w:val="29"/>
                <w:szCs w:val="29"/>
                <w:color w:val="auto"/>
                <w:w w:val="95"/>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17,000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$10.29</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21, 2025</w:t>
            </w:r>
            <w:r>
              <w:rPr>
                <w:rFonts w:ascii="Times New Roman" w:cs="Times New Roman" w:eastAsia="Times New Roman" w:hAnsi="Times New Roman"/>
                <w:sz w:val="29"/>
                <w:szCs w:val="29"/>
                <w:color w:val="auto"/>
                <w:w w:val="95"/>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107,700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$10.37</w:t>
            </w:r>
          </w:p>
        </w:tc>
      </w:tr>
      <w:tr>
        <w:trPr>
          <w:trHeight w:val="257"/>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22, 2025</w:t>
            </w:r>
            <w:r>
              <w:rPr>
                <w:rFonts w:ascii="Times New Roman" w:cs="Times New Roman" w:eastAsia="Times New Roman" w:hAnsi="Times New Roman"/>
                <w:sz w:val="29"/>
                <w:szCs w:val="29"/>
                <w:color w:val="auto"/>
                <w:w w:val="95"/>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55,000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$10.41</w:t>
            </w:r>
          </w:p>
        </w:tc>
      </w:tr>
      <w:tr>
        <w:trPr>
          <w:trHeight w:val="256"/>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23, 2025</w:t>
            </w:r>
            <w:r>
              <w:rPr>
                <w:rFonts w:ascii="Times New Roman" w:cs="Times New Roman" w:eastAsia="Times New Roman" w:hAnsi="Times New Roman"/>
                <w:sz w:val="29"/>
                <w:szCs w:val="29"/>
                <w:color w:val="auto"/>
                <w:w w:val="95"/>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9,000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$10.13</w:t>
            </w:r>
          </w:p>
        </w:tc>
      </w:tr>
      <w:tr>
        <w:trPr>
          <w:trHeight w:val="257"/>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24, 2025</w:t>
            </w:r>
            <w:r>
              <w:rPr>
                <w:rFonts w:ascii="Times New Roman" w:cs="Times New Roman" w:eastAsia="Times New Roman" w:hAnsi="Times New Roman"/>
                <w:sz w:val="29"/>
                <w:szCs w:val="29"/>
                <w:color w:val="auto"/>
                <w:w w:val="95"/>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55,849</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$9.83</w:t>
            </w:r>
          </w:p>
        </w:tc>
      </w:tr>
      <w:tr>
        <w:trPr>
          <w:trHeight w:val="256"/>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April 25, 2025</w:t>
            </w:r>
            <w:r>
              <w:rPr>
                <w:rFonts w:ascii="Times New Roman" w:cs="Times New Roman" w:eastAsia="Times New Roman" w:hAnsi="Times New Roman"/>
                <w:sz w:val="29"/>
                <w:szCs w:val="29"/>
                <w:color w:val="auto"/>
                <w:w w:val="95"/>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20,000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7"/>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4"/>
              </w:rPr>
              <w:t>May 1, 2025</w:t>
            </w:r>
            <w:r>
              <w:rPr>
                <w:rFonts w:ascii="Times New Roman" w:cs="Times New Roman" w:eastAsia="Times New Roman" w:hAnsi="Times New Roman"/>
                <w:sz w:val="29"/>
                <w:szCs w:val="29"/>
                <w:color w:val="auto"/>
                <w:w w:val="94"/>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35,700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$9.43</w:t>
            </w:r>
          </w:p>
        </w:tc>
      </w:tr>
      <w:tr>
        <w:trPr>
          <w:trHeight w:val="256"/>
        </w:trPr>
        <w:tc>
          <w:tcPr>
            <w:tcW w:w="2300" w:type="dxa"/>
            <w:vAlign w:val="bottom"/>
            <w:shd w:val="clear" w:color="auto" w:fill="E6EFFF"/>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4"/>
              </w:rPr>
              <w:t>May 2, 2025</w:t>
            </w:r>
            <w:r>
              <w:rPr>
                <w:rFonts w:ascii="Times New Roman" w:cs="Times New Roman" w:eastAsia="Times New Roman" w:hAnsi="Times New Roman"/>
                <w:sz w:val="29"/>
                <w:szCs w:val="29"/>
                <w:color w:val="auto"/>
                <w:w w:val="94"/>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37,000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$9.37</w:t>
            </w:r>
          </w:p>
        </w:tc>
      </w:tr>
      <w:tr>
        <w:trPr>
          <w:trHeight w:val="257"/>
        </w:trPr>
        <w:tc>
          <w:tcPr>
            <w:tcW w:w="2300" w:type="dxa"/>
            <w:vAlign w:val="bottom"/>
          </w:tcPr>
          <w:p>
            <w:pPr>
              <w:jc w:val="center"/>
              <w:ind w:right="530"/>
              <w:spacing w:after="0" w:line="256" w:lineRule="exact"/>
              <w:rPr>
                <w:sz w:val="20"/>
                <w:szCs w:val="20"/>
                <w:color w:val="auto"/>
              </w:rPr>
            </w:pPr>
            <w:r>
              <w:rPr>
                <w:rFonts w:ascii="Times New Roman" w:cs="Times New Roman" w:eastAsia="Times New Roman" w:hAnsi="Times New Roman"/>
                <w:sz w:val="18"/>
                <w:szCs w:val="18"/>
                <w:color w:val="auto"/>
                <w:w w:val="94"/>
              </w:rPr>
              <w:t>May 5, 2025</w:t>
            </w:r>
            <w:r>
              <w:rPr>
                <w:rFonts w:ascii="Times New Roman" w:cs="Times New Roman" w:eastAsia="Times New Roman" w:hAnsi="Times New Roman"/>
                <w:sz w:val="29"/>
                <w:szCs w:val="29"/>
                <w:color w:val="auto"/>
                <w:w w:val="94"/>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33,000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$9.34</w:t>
            </w:r>
          </w:p>
        </w:tc>
      </w:tr>
      <w:tr>
        <w:trPr>
          <w:trHeight w:val="256"/>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May 15, 2025</w:t>
            </w:r>
            <w:r>
              <w:rPr>
                <w:rFonts w:ascii="Times New Roman" w:cs="Times New Roman" w:eastAsia="Times New Roman" w:hAnsi="Times New Roman"/>
                <w:sz w:val="29"/>
                <w:szCs w:val="29"/>
                <w:color w:val="auto"/>
                <w:w w:val="95"/>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36,400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$9.00</w:t>
            </w:r>
          </w:p>
        </w:tc>
      </w:tr>
      <w:tr>
        <w:trPr>
          <w:trHeight w:val="257"/>
        </w:trPr>
        <w:tc>
          <w:tcPr>
            <w:tcW w:w="2300" w:type="dxa"/>
            <w:vAlign w:val="bottom"/>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May 16, 2025</w:t>
            </w:r>
            <w:r>
              <w:rPr>
                <w:rFonts w:ascii="Times New Roman" w:cs="Times New Roman" w:eastAsia="Times New Roman" w:hAnsi="Times New Roman"/>
                <w:sz w:val="29"/>
                <w:szCs w:val="29"/>
                <w:color w:val="auto"/>
                <w:w w:val="95"/>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45,000</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7"/>
        </w:trPr>
        <w:tc>
          <w:tcPr>
            <w:tcW w:w="2300" w:type="dxa"/>
            <w:vAlign w:val="bottom"/>
            <w:shd w:val="clear" w:color="auto" w:fill="E6EFFF"/>
          </w:tcPr>
          <w:p>
            <w:pPr>
              <w:jc w:val="center"/>
              <w:ind w:right="510"/>
              <w:spacing w:after="0" w:line="256" w:lineRule="exact"/>
              <w:rPr>
                <w:sz w:val="20"/>
                <w:szCs w:val="20"/>
                <w:color w:val="auto"/>
              </w:rPr>
            </w:pPr>
            <w:r>
              <w:rPr>
                <w:rFonts w:ascii="Times New Roman" w:cs="Times New Roman" w:eastAsia="Times New Roman" w:hAnsi="Times New Roman"/>
                <w:sz w:val="18"/>
                <w:szCs w:val="18"/>
                <w:color w:val="auto"/>
                <w:w w:val="95"/>
              </w:rPr>
              <w:t>May 19, 2025</w:t>
            </w:r>
            <w:r>
              <w:rPr>
                <w:rFonts w:ascii="Times New Roman" w:cs="Times New Roman" w:eastAsia="Times New Roman" w:hAnsi="Times New Roman"/>
                <w:sz w:val="29"/>
                <w:szCs w:val="29"/>
                <w:color w:val="auto"/>
                <w:w w:val="95"/>
                <w:vertAlign w:val="superscript"/>
              </w:rPr>
              <w:t>(4)</w:t>
            </w:r>
          </w:p>
        </w:tc>
        <w:tc>
          <w:tcPr>
            <w:tcW w:w="2420" w:type="dxa"/>
            <w:vAlign w:val="bottom"/>
            <w:shd w:val="clear" w:color="auto" w:fill="E6EFFF"/>
          </w:tcPr>
          <w:p>
            <w:pPr>
              <w:jc w:val="center"/>
              <w:ind w:right="310"/>
              <w:spacing w:after="0"/>
              <w:rPr>
                <w:sz w:val="20"/>
                <w:szCs w:val="20"/>
                <w:color w:val="auto"/>
              </w:rPr>
            </w:pPr>
            <w:r>
              <w:rPr>
                <w:rFonts w:ascii="Times New Roman" w:cs="Times New Roman" w:eastAsia="Times New Roman" w:hAnsi="Times New Roman"/>
                <w:sz w:val="18"/>
                <w:szCs w:val="18"/>
                <w:color w:val="auto"/>
              </w:rPr>
              <w:t>43,500</w:t>
            </w:r>
          </w:p>
        </w:tc>
        <w:tc>
          <w:tcPr>
            <w:tcW w:w="3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shd w:val="clear" w:color="auto" w:fill="E6EF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$9.31</w:t>
            </w:r>
          </w:p>
        </w:tc>
      </w:tr>
      <w:tr>
        <w:trPr>
          <w:trHeight w:val="394"/>
        </w:trPr>
        <w:tc>
          <w:tcPr>
            <w:tcW w:w="23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May 20, 2025</w:t>
            </w:r>
            <w:r>
              <w:rPr>
                <w:rFonts w:ascii="Times New Roman" w:cs="Times New Roman" w:eastAsia="Times New Roman" w:hAnsi="Times New Roman"/>
                <w:sz w:val="29"/>
                <w:szCs w:val="29"/>
                <w:color w:val="auto"/>
                <w:w w:val="95"/>
                <w:vertAlign w:val="superscript"/>
              </w:rPr>
              <w:t>(4)</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221,311</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$10.22</w:t>
            </w:r>
          </w:p>
        </w:tc>
      </w:tr>
    </w:tbl>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33"/>
        </w:trPr>
        <w:tc>
          <w:tcPr>
            <w:tcW w:w="27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May 21, 2025</w:t>
            </w:r>
            <w:r>
              <w:rPr>
                <w:rFonts w:ascii="Times New Roman" w:cs="Times New Roman" w:eastAsia="Times New Roman" w:hAnsi="Times New Roman"/>
                <w:sz w:val="29"/>
                <w:szCs w:val="29"/>
                <w:color w:val="auto"/>
                <w:w w:val="95"/>
                <w:vertAlign w:val="superscript"/>
              </w:rPr>
              <w:t>(4)</w:t>
            </w:r>
          </w:p>
        </w:tc>
        <w:tc>
          <w:tcPr>
            <w:tcW w:w="266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316,800</w:t>
            </w:r>
          </w:p>
        </w:tc>
        <w:tc>
          <w:tcPr>
            <w:tcW w:w="3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shd w:val="clear" w:color="auto" w:fill="E6EFFF"/>
          </w:tcPr>
          <w:p>
            <w:pPr>
              <w:jc w:val="center"/>
              <w:ind w:right="190"/>
              <w:spacing w:after="0"/>
              <w:rPr>
                <w:sz w:val="20"/>
                <w:szCs w:val="20"/>
                <w:color w:val="auto"/>
              </w:rPr>
            </w:pPr>
            <w:r>
              <w:rPr>
                <w:rFonts w:ascii="Times New Roman" w:cs="Times New Roman" w:eastAsia="Times New Roman" w:hAnsi="Times New Roman"/>
                <w:sz w:val="18"/>
                <w:szCs w:val="18"/>
                <w:color w:val="auto"/>
              </w:rPr>
              <w:t>$10.01</w:t>
            </w:r>
          </w:p>
        </w:tc>
      </w:tr>
      <w:tr>
        <w:trPr>
          <w:trHeight w:val="257"/>
        </w:trPr>
        <w:tc>
          <w:tcPr>
            <w:tcW w:w="276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22, 2025</w:t>
            </w:r>
            <w:r>
              <w:rPr>
                <w:rFonts w:ascii="Times New Roman" w:cs="Times New Roman" w:eastAsia="Times New Roman" w:hAnsi="Times New Roman"/>
                <w:sz w:val="29"/>
                <w:szCs w:val="29"/>
                <w:color w:val="auto"/>
                <w:w w:val="95"/>
                <w:vertAlign w:val="superscript"/>
              </w:rPr>
              <w:t>(4)</w:t>
            </w:r>
          </w:p>
        </w:tc>
        <w:tc>
          <w:tcPr>
            <w:tcW w:w="2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34,000</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$9.88</w:t>
            </w:r>
          </w:p>
        </w:tc>
      </w:tr>
      <w:tr>
        <w:trPr>
          <w:trHeight w:val="257"/>
        </w:trPr>
        <w:tc>
          <w:tcPr>
            <w:tcW w:w="276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29, 2025</w:t>
            </w:r>
            <w:r>
              <w:rPr>
                <w:rFonts w:ascii="Times New Roman" w:cs="Times New Roman" w:eastAsia="Times New Roman" w:hAnsi="Times New Roman"/>
                <w:sz w:val="29"/>
                <w:szCs w:val="29"/>
                <w:color w:val="auto"/>
                <w:w w:val="95"/>
                <w:vertAlign w:val="superscript"/>
              </w:rPr>
              <w:t>(4)</w:t>
            </w:r>
          </w:p>
        </w:tc>
        <w:tc>
          <w:tcPr>
            <w:tcW w:w="266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112,413</w:t>
            </w:r>
          </w:p>
        </w:tc>
        <w:tc>
          <w:tcPr>
            <w:tcW w:w="3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shd w:val="clear" w:color="auto" w:fill="E6EFFF"/>
          </w:tcPr>
          <w:p>
            <w:pPr>
              <w:jc w:val="center"/>
              <w:ind w:right="190"/>
              <w:spacing w:after="0"/>
              <w:rPr>
                <w:sz w:val="20"/>
                <w:szCs w:val="20"/>
                <w:color w:val="auto"/>
              </w:rPr>
            </w:pPr>
            <w:r>
              <w:rPr>
                <w:rFonts w:ascii="Times New Roman" w:cs="Times New Roman" w:eastAsia="Times New Roman" w:hAnsi="Times New Roman"/>
                <w:sz w:val="18"/>
                <w:szCs w:val="18"/>
                <w:color w:val="auto"/>
              </w:rPr>
              <w:t>$11.38</w:t>
            </w:r>
          </w:p>
        </w:tc>
      </w:tr>
      <w:tr>
        <w:trPr>
          <w:trHeight w:val="256"/>
        </w:trPr>
        <w:tc>
          <w:tcPr>
            <w:tcW w:w="276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June 4, 2025</w:t>
            </w:r>
            <w:r>
              <w:rPr>
                <w:rFonts w:ascii="Times New Roman" w:cs="Times New Roman" w:eastAsia="Times New Roman" w:hAnsi="Times New Roman"/>
                <w:sz w:val="29"/>
                <w:szCs w:val="29"/>
                <w:color w:val="auto"/>
                <w:w w:val="96"/>
                <w:vertAlign w:val="superscript"/>
              </w:rPr>
              <w:t>(4)</w:t>
            </w:r>
          </w:p>
        </w:tc>
        <w:tc>
          <w:tcPr>
            <w:tcW w:w="2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13,000</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$11.45</w:t>
            </w:r>
          </w:p>
        </w:tc>
      </w:tr>
      <w:tr>
        <w:trPr>
          <w:trHeight w:val="257"/>
        </w:trPr>
        <w:tc>
          <w:tcPr>
            <w:tcW w:w="276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June 6, 2025</w:t>
            </w:r>
            <w:r>
              <w:rPr>
                <w:rFonts w:ascii="Times New Roman" w:cs="Times New Roman" w:eastAsia="Times New Roman" w:hAnsi="Times New Roman"/>
                <w:sz w:val="29"/>
                <w:szCs w:val="29"/>
                <w:color w:val="auto"/>
                <w:w w:val="96"/>
                <w:vertAlign w:val="superscript"/>
              </w:rPr>
              <w:t>(4)</w:t>
            </w:r>
          </w:p>
        </w:tc>
        <w:tc>
          <w:tcPr>
            <w:tcW w:w="266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rPr>
              <w:t>13,000</w:t>
            </w:r>
          </w:p>
        </w:tc>
        <w:tc>
          <w:tcPr>
            <w:tcW w:w="3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shd w:val="clear" w:color="auto" w:fill="E6EFFF"/>
          </w:tcPr>
          <w:p>
            <w:pPr>
              <w:jc w:val="center"/>
              <w:ind w:right="190"/>
              <w:spacing w:after="0"/>
              <w:rPr>
                <w:sz w:val="20"/>
                <w:szCs w:val="20"/>
                <w:color w:val="auto"/>
              </w:rPr>
            </w:pPr>
            <w:r>
              <w:rPr>
                <w:rFonts w:ascii="Times New Roman" w:cs="Times New Roman" w:eastAsia="Times New Roman" w:hAnsi="Times New Roman"/>
                <w:sz w:val="18"/>
                <w:szCs w:val="18"/>
                <w:color w:val="auto"/>
              </w:rPr>
              <w:t>$12.19</w:t>
            </w:r>
          </w:p>
        </w:tc>
      </w:tr>
      <w:tr>
        <w:trPr>
          <w:trHeight w:val="257"/>
        </w:trPr>
        <w:tc>
          <w:tcPr>
            <w:tcW w:w="276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June 9, 2025</w:t>
            </w:r>
            <w:r>
              <w:rPr>
                <w:rFonts w:ascii="Times New Roman" w:cs="Times New Roman" w:eastAsia="Times New Roman" w:hAnsi="Times New Roman"/>
                <w:sz w:val="29"/>
                <w:szCs w:val="29"/>
                <w:color w:val="auto"/>
                <w:w w:val="96"/>
                <w:vertAlign w:val="superscript"/>
              </w:rPr>
              <w:t>(4)</w:t>
            </w:r>
          </w:p>
        </w:tc>
        <w:tc>
          <w:tcPr>
            <w:tcW w:w="2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13,600</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$12.53</w:t>
            </w:r>
          </w:p>
        </w:tc>
      </w:tr>
      <w:tr>
        <w:trPr>
          <w:trHeight w:val="257"/>
        </w:trPr>
        <w:tc>
          <w:tcPr>
            <w:tcW w:w="276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June 11, 2025</w:t>
            </w:r>
            <w:r>
              <w:rPr>
                <w:rFonts w:ascii="Times New Roman" w:cs="Times New Roman" w:eastAsia="Times New Roman" w:hAnsi="Times New Roman"/>
                <w:sz w:val="29"/>
                <w:szCs w:val="29"/>
                <w:color w:val="auto"/>
                <w:w w:val="95"/>
                <w:vertAlign w:val="superscript"/>
              </w:rPr>
              <w:t>(4)</w:t>
            </w:r>
          </w:p>
        </w:tc>
        <w:tc>
          <w:tcPr>
            <w:tcW w:w="266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rPr>
              <w:t>15,000</w:t>
            </w:r>
          </w:p>
        </w:tc>
        <w:tc>
          <w:tcPr>
            <w:tcW w:w="3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shd w:val="clear" w:color="auto" w:fill="E6EFFF"/>
          </w:tcPr>
          <w:p>
            <w:pPr>
              <w:jc w:val="center"/>
              <w:ind w:right="190"/>
              <w:spacing w:after="0"/>
              <w:rPr>
                <w:sz w:val="20"/>
                <w:szCs w:val="20"/>
                <w:color w:val="auto"/>
              </w:rPr>
            </w:pPr>
            <w:r>
              <w:rPr>
                <w:rFonts w:ascii="Times New Roman" w:cs="Times New Roman" w:eastAsia="Times New Roman" w:hAnsi="Times New Roman"/>
                <w:sz w:val="18"/>
                <w:szCs w:val="18"/>
                <w:color w:val="auto"/>
              </w:rPr>
              <w:t>$12.40</w:t>
            </w:r>
          </w:p>
        </w:tc>
      </w:tr>
      <w:tr>
        <w:trPr>
          <w:trHeight w:val="256"/>
        </w:trPr>
        <w:tc>
          <w:tcPr>
            <w:tcW w:w="276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June 12, 2025</w:t>
            </w:r>
            <w:r>
              <w:rPr>
                <w:rFonts w:ascii="Times New Roman" w:cs="Times New Roman" w:eastAsia="Times New Roman" w:hAnsi="Times New Roman"/>
                <w:sz w:val="29"/>
                <w:szCs w:val="29"/>
                <w:color w:val="auto"/>
                <w:w w:val="95"/>
                <w:vertAlign w:val="superscript"/>
              </w:rPr>
              <w:t>(4)</w:t>
            </w:r>
          </w:p>
        </w:tc>
        <w:tc>
          <w:tcPr>
            <w:tcW w:w="2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10,578</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$12.59</w:t>
            </w:r>
          </w:p>
        </w:tc>
      </w:tr>
      <w:tr>
        <w:trPr>
          <w:trHeight w:val="257"/>
        </w:trPr>
        <w:tc>
          <w:tcPr>
            <w:tcW w:w="276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June 16, 2025</w:t>
            </w:r>
            <w:r>
              <w:rPr>
                <w:rFonts w:ascii="Times New Roman" w:cs="Times New Roman" w:eastAsia="Times New Roman" w:hAnsi="Times New Roman"/>
                <w:sz w:val="29"/>
                <w:szCs w:val="29"/>
                <w:color w:val="auto"/>
                <w:w w:val="95"/>
                <w:vertAlign w:val="superscript"/>
              </w:rPr>
              <w:t>(4)</w:t>
            </w:r>
          </w:p>
        </w:tc>
        <w:tc>
          <w:tcPr>
            <w:tcW w:w="266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rPr>
              <w:t>18,236</w:t>
            </w:r>
          </w:p>
        </w:tc>
        <w:tc>
          <w:tcPr>
            <w:tcW w:w="3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shd w:val="clear" w:color="auto" w:fill="E6EFFF"/>
          </w:tcPr>
          <w:p>
            <w:pPr>
              <w:jc w:val="center"/>
              <w:ind w:right="190"/>
              <w:spacing w:after="0"/>
              <w:rPr>
                <w:sz w:val="20"/>
                <w:szCs w:val="20"/>
                <w:color w:val="auto"/>
              </w:rPr>
            </w:pPr>
            <w:r>
              <w:rPr>
                <w:rFonts w:ascii="Times New Roman" w:cs="Times New Roman" w:eastAsia="Times New Roman" w:hAnsi="Times New Roman"/>
                <w:sz w:val="18"/>
                <w:szCs w:val="18"/>
                <w:color w:val="auto"/>
              </w:rPr>
              <w:t>$11.92</w:t>
            </w:r>
          </w:p>
        </w:tc>
      </w:tr>
      <w:tr>
        <w:trPr>
          <w:trHeight w:val="257"/>
        </w:trPr>
        <w:tc>
          <w:tcPr>
            <w:tcW w:w="276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June 18, 2025</w:t>
            </w:r>
            <w:r>
              <w:rPr>
                <w:rFonts w:ascii="Times New Roman" w:cs="Times New Roman" w:eastAsia="Times New Roman" w:hAnsi="Times New Roman"/>
                <w:sz w:val="29"/>
                <w:szCs w:val="29"/>
                <w:color w:val="auto"/>
                <w:w w:val="95"/>
                <w:vertAlign w:val="superscript"/>
              </w:rPr>
              <w:t>(4)</w:t>
            </w:r>
          </w:p>
        </w:tc>
        <w:tc>
          <w:tcPr>
            <w:tcW w:w="2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30,000</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$11.07</w:t>
            </w:r>
          </w:p>
        </w:tc>
      </w:tr>
      <w:tr>
        <w:trPr>
          <w:trHeight w:val="257"/>
        </w:trPr>
        <w:tc>
          <w:tcPr>
            <w:tcW w:w="276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June 30, 2025</w:t>
            </w:r>
            <w:r>
              <w:rPr>
                <w:rFonts w:ascii="Times New Roman" w:cs="Times New Roman" w:eastAsia="Times New Roman" w:hAnsi="Times New Roman"/>
                <w:sz w:val="29"/>
                <w:szCs w:val="29"/>
                <w:color w:val="auto"/>
                <w:w w:val="95"/>
                <w:vertAlign w:val="superscript"/>
              </w:rPr>
              <w:t>(5)</w:t>
            </w:r>
          </w:p>
        </w:tc>
        <w:tc>
          <w:tcPr>
            <w:tcW w:w="2660" w:type="dxa"/>
            <w:vAlign w:val="bottom"/>
            <w:shd w:val="clear" w:color="auto" w:fill="E6EFFF"/>
          </w:tcPr>
          <w:p>
            <w:pPr>
              <w:ind w:left="820"/>
              <w:spacing w:after="0"/>
              <w:rPr>
                <w:sz w:val="20"/>
                <w:szCs w:val="20"/>
                <w:color w:val="auto"/>
              </w:rPr>
            </w:pPr>
            <w:r>
              <w:rPr>
                <w:rFonts w:ascii="Times New Roman" w:cs="Times New Roman" w:eastAsia="Times New Roman" w:hAnsi="Times New Roman"/>
                <w:sz w:val="18"/>
                <w:szCs w:val="18"/>
                <w:color w:val="auto"/>
              </w:rPr>
              <w:t>US$50,000,000</w:t>
            </w:r>
          </w:p>
        </w:tc>
        <w:tc>
          <w:tcPr>
            <w:tcW w:w="3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Convertible Debentures</w:t>
            </w:r>
          </w:p>
        </w:tc>
        <w:tc>
          <w:tcPr>
            <w:tcW w:w="2660" w:type="dxa"/>
            <w:vAlign w:val="bottom"/>
            <w:shd w:val="clear" w:color="auto" w:fill="E6EFFF"/>
          </w:tcPr>
          <w:p>
            <w:pPr>
              <w:ind w:left="760"/>
              <w:spacing w:after="0"/>
              <w:rPr>
                <w:sz w:val="20"/>
                <w:szCs w:val="20"/>
                <w:color w:val="auto"/>
              </w:rPr>
            </w:pPr>
            <w:r>
              <w:rPr>
                <w:rFonts w:ascii="Times New Roman" w:cs="Times New Roman" w:eastAsia="Times New Roman" w:hAnsi="Times New Roman"/>
                <w:sz w:val="18"/>
                <w:szCs w:val="18"/>
                <w:color w:val="auto"/>
              </w:rPr>
              <w:t>See note (6)</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8" w:lineRule="exact"/>
        <w:rPr>
          <w:sz w:val="20"/>
          <w:szCs w:val="20"/>
          <w:color w:val="auto"/>
        </w:rPr>
      </w:pPr>
    </w:p>
    <w:p>
      <w:pPr>
        <w:ind w:left="680" w:hanging="348"/>
        <w:spacing w:after="0"/>
        <w:tabs>
          <w:tab w:leader="none" w:pos="6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ind w:left="660" w:hanging="328"/>
        <w:spacing w:after="0" w:line="230" w:lineRule="auto"/>
        <w:tabs>
          <w:tab w:leader="none" w:pos="69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2025, being US$1.00 = C$1.3913.</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9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prior at-the-market equity program (the "</w:t>
      </w:r>
      <w:r>
        <w:rPr>
          <w:rFonts w:ascii="Times New Roman" w:cs="Times New Roman" w:eastAsia="Times New Roman" w:hAnsi="Times New Roman"/>
          <w:sz w:val="22"/>
          <w:szCs w:val="22"/>
          <w:b w:val="1"/>
          <w:bCs w:val="1"/>
          <w:color w:val="auto"/>
        </w:rPr>
        <w:t>2023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allowed the Corporation to issue and sell up to US$35,000,000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2023 ATM Program was qualified by the prospectus supplement dated August 23, 2023.</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9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current at-the-market equity program (the "</w:t>
      </w:r>
      <w:r>
        <w:rPr>
          <w:rFonts w:ascii="Times New Roman" w:cs="Times New Roman" w:eastAsia="Times New Roman" w:hAnsi="Times New Roman"/>
          <w:sz w:val="22"/>
          <w:szCs w:val="22"/>
          <w:b w:val="1"/>
          <w:bCs w:val="1"/>
          <w:color w:val="auto"/>
        </w:rPr>
        <w:t>2025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allows the Corporation to issue and sell up to US$100,000,000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2025 ATM Program is qualified by the prospectus supplement dated February 10, 2025.</w:t>
      </w:r>
    </w:p>
    <w:p>
      <w:pPr>
        <w:spacing w:after="0" w:line="2"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Debentures issued in connection with the June 2025 Private Placement.</w:t>
      </w:r>
    </w:p>
    <w:p>
      <w:pPr>
        <w:ind w:left="660" w:right="20" w:hanging="328"/>
        <w:spacing w:after="0" w:line="237" w:lineRule="auto"/>
        <w:tabs>
          <w:tab w:leader="none" w:pos="69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accrued and unpaid interest, if any, on the Convertible Debentures is convertible into Common Shares at a conversion price per Common Share equal to the Conversion Price.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as at the date of this Prospectus Supplement, a summary of the principal Canadian federal income tax considerations under the Tax Act generally applicable to an investor who acquires, as beneficial owner, Registrable Common Shares pursuant to the Offering and who, for the purposes of the Tax Act and at all relevant times, (i) is not, and is not deemed to be, resident in Canada for the purposes of the Tax Act or any applicable income tax treaty or convention; (ii) does not and will not use or hold and is not and will not be deemed to use or hold its Registrable Common Shares in, or in the course of carrying on, a business in Canada; (iii) deals at arm's length with the Corporation; (iv) is not affiliated with the Corporation; and (v) who acquires and holds the Registrable Common Shares as capital property (a "</w:t>
      </w:r>
      <w:r>
        <w:rPr>
          <w:rFonts w:ascii="Times New Roman" w:cs="Times New Roman" w:eastAsia="Times New Roman" w:hAnsi="Times New Roman"/>
          <w:sz w:val="22"/>
          <w:szCs w:val="22"/>
          <w:b w:val="1"/>
          <w:bCs w:val="1"/>
          <w:color w:val="auto"/>
        </w:rPr>
        <w:t>Non-Holder</w:t>
      </w:r>
      <w:r>
        <w:rPr>
          <w:rFonts w:ascii="Times New Roman" w:cs="Times New Roman" w:eastAsia="Times New Roman" w:hAnsi="Times New Roman"/>
          <w:sz w:val="22"/>
          <w:szCs w:val="22"/>
          <w:color w:val="auto"/>
        </w:rPr>
        <w:t>"). Generally, the Registrable Common Shares will be considered to be capital property to a Non-Resident Holder thereof provided that the Non-Resident Holder does not use the Registrable Common Shares in the course of carrying on a business of trading or dealing in securities and such Non-Resident Holder has not acquired them in one or more transactions considered to be an adventure or concern in the nature of trade.</w:t>
      </w:r>
    </w:p>
    <w:p>
      <w:pPr>
        <w:spacing w:after="0" w:line="14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does not apply to a Non-Resident Holder: (i) that is a "financial institution", as defined in the Tax Act, for the purposes of the mark-to-market rules in the Tax Act; (ii) that is a "specified financial institution", as defined in the Tax Act; (iii), an interest in which would be a "tax shelter investment" as defined in the Tax Act; (iv) that has elected to determine its Canadian tax results in a "functional currency" other than the Canadian dollar; (v) that has entered into or will enter into a "derivative forward agreement" or "synthetic disposition arrangement", as those terms are defined in the Tax Act, with respect to the Registrable Common Shares; or (vi) that receives dividends on the Registrable Common Shares under or as part of a "dividend rental arrangement", as defined in the Tax Act. Such Non-Resident Holders should consult their own tax advisors with respect to an investment in Registrable Common Shares. In addition, this summary does not address the deductibility of interest by a Non-Resident Holder who has borrowed money or otherwise incurred debt in connection with the acquisition of the Registrable Common Shares.</w:t>
      </w:r>
    </w:p>
    <w:p>
      <w:pPr>
        <w:spacing w:after="0" w:line="15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Special rules, which are not discussed in this summary, may apply to a Non-Resident Holder that is an insurer carrying on business in Canada and elsewhere or that is an "authorized foreign bank" (as defined in the Tax Act). Such Non-Resident Holders should consult their own tax advisors.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0" w:name="page21"/>
    <w:bookmarkEnd w:id="20"/>
    <w:p>
      <w:pPr>
        <w:jc w:val="both"/>
        <w:spacing w:after="0" w:line="235" w:lineRule="auto"/>
        <w:rPr>
          <w:sz w:val="20"/>
          <w:szCs w:val="20"/>
          <w:color w:val="auto"/>
        </w:rPr>
      </w:pPr>
      <w:r>
        <w:rPr>
          <w:rFonts w:ascii="Times New Roman" w:cs="Times New Roman" w:eastAsia="Times New Roman" w:hAnsi="Times New Roman"/>
          <w:sz w:val="22"/>
          <w:szCs w:val="22"/>
          <w:color w:val="auto"/>
        </w:rPr>
        <w:t>The term "US Holder," for the purposes of this summary, means a Non-Resident Holder who, for purposes of the Canada-United States Tax Convention (1980), as amended (the "Canada-US Tax Treaty"), is at all relevant times a resident of the United States and is a "qualifying person" within the meaning of the Canada-US Tax Treaty eligible for the full benefits of the Canada-US Tax Treaty. In some circumstances, persons deriving amounts through fiscally transparent entities (including limited liability companies) may be entitled to benefits under the Canada-US Tax Treaty. Non-Resident Holders are urged to consult their own tax advisors to determine their entitlement to benefits under the Canada-US Tax Treaty and related compliance requirements based on their particular circumstances.</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1"/>
          <w:szCs w:val="21"/>
          <w:b w:val="1"/>
          <w:bCs w:val="1"/>
          <w:color w:val="auto"/>
        </w:rPr>
        <w:t>CRA</w:t>
      </w:r>
      <w:r>
        <w:rPr>
          <w:rFonts w:ascii="Times New Roman" w:cs="Times New Roman" w:eastAsia="Times New Roman" w:hAnsi="Times New Roman"/>
          <w:sz w:val="21"/>
          <w:szCs w:val="21"/>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21"/>
          <w:szCs w:val="21"/>
          <w:i w:val="1"/>
          <w:iCs w:val="1"/>
          <w:color w:val="auto"/>
        </w:rPr>
        <w:t>Minister of Finance</w:t>
      </w:r>
      <w:r>
        <w:rPr>
          <w:rFonts w:ascii="Times New Roman" w:cs="Times New Roman" w:eastAsia="Times New Roman" w:hAnsi="Times New Roman"/>
          <w:sz w:val="21"/>
          <w:szCs w:val="21"/>
          <w:color w:val="auto"/>
        </w:rPr>
        <w:t xml:space="preserve"> (Canada) prior to the date hereof (the "</w:t>
      </w:r>
      <w:r>
        <w:rPr>
          <w:rFonts w:ascii="Times New Roman" w:cs="Times New Roman" w:eastAsia="Times New Roman" w:hAnsi="Times New Roman"/>
          <w:sz w:val="21"/>
          <w:szCs w:val="21"/>
          <w:b w:val="1"/>
          <w:bCs w:val="1"/>
          <w:color w:val="auto"/>
        </w:rPr>
        <w:t>Tax Proposals</w:t>
      </w:r>
      <w:r>
        <w:rPr>
          <w:rFonts w:ascii="Times New Roman" w:cs="Times New Roman" w:eastAsia="Times New Roman" w:hAnsi="Times New Roman"/>
          <w:sz w:val="21"/>
          <w:szCs w:val="21"/>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 Non-Resident Holder in respect of the transactions described herein. The income or other tax consequences will vary depending on the particular circumstances of the Non-Resident Holder. Accordingly, this summary is of a general nature only and is not intended to be, nor should it be construed to be, legal or tax advice or representations to any particular Non-Resident Holder. Moreover, no advance income tax ruling has been applied for or obtained from the CRA to confirm the tax consequences of any of the transactions described herein. Non-Resident Holders should consult their own legal and tax advisors for advice with respect to the tax consequences of an investment in the Registrable Common Shares based on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certain exceptions that are not discussed herein, for the purposes of the Tax Act, all amounts relating to the acquisition, holding or disposition of Registrable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 Revenue</w:t>
      </w:r>
      <w:r>
        <w:rPr>
          <w:rFonts w:ascii="Times New Roman" w:cs="Times New Roman" w:eastAsia="Times New Roman" w:hAnsi="Times New Roman"/>
          <w:sz w:val="22"/>
          <w:szCs w:val="22"/>
          <w:color w:val="auto"/>
        </w:rPr>
        <w:t xml:space="preserve">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Dividends paid or credited or deemed under the Tax Act to be paid or credited to a Non-Resident Holder by the Corporation are subject to Canadian withholding tax at the rate of 25% on the gross amount of the dividend, unless such rate is reduced by the terms of an applicable income tax treaty. For example, under the Canada-US Tax Treaty, the withholding tax rate on any such dividend beneficially owned by a Non-Resident Holder that is a US Holder or otherwise entitled to the relevant benefits of such treaty is generally reduced to 15%, and to 5% if such Non-Resident Holder is a company that beneficially owns at least 10% of the voting stock of the Corporation. Non-Resident Holders should consult their own tax advisors to determine their entitlement to benefits under any applicable tax treaty or convention based on their particular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Dispositions of Registrable Common Shares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Registrable Common Share, unless the Registrable Common Share constitutes (or is deemed to constitute) "taxable Canadian property" to the Non-Resident Holder thereof for purposes of the Tax Act at the time of disposition, and the Non-Resident Holder is not entitled to relief under the terms of an applicable tax treaty. In addition, capital losses arising on the disposition or deemed disposition of a Registrable Common Share will not be recognized under the Tax Act, unless the Registrable Common Share constitutes "taxable Canadian property" to the Non-Resident Holder thereof for purposes of the Tax Act, and the Non-Resident Holder is not entitled to relief under the terms of an applicable tax treaty.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both"/>
        <w:spacing w:after="0" w:line="245" w:lineRule="auto"/>
        <w:rPr>
          <w:sz w:val="20"/>
          <w:szCs w:val="20"/>
          <w:color w:val="auto"/>
        </w:rPr>
      </w:pPr>
      <w:r>
        <w:rPr>
          <w:rFonts w:ascii="Times New Roman" w:cs="Times New Roman" w:eastAsia="Times New Roman" w:hAnsi="Times New Roman"/>
          <w:sz w:val="21"/>
          <w:szCs w:val="21"/>
          <w:color w:val="auto"/>
        </w:rPr>
        <w:t>Provided the Registrable Common Shares are listed on a "designated stock exchange", as defined in the Tax Act (which currently includes the CBOE Canada and NYSE American), at the time of disposition, the Registrable Common Shares generally will not constitute taxable Canadian property of a Non-Resident Holder at that time, unless at any time during the 60-month period immediately preceding the disposition the following two conditions are satisfied concurrently: (i) one or any combination of (a) the Non-Resident Holder, (b) persons with whom the Non-Resident Holder did not deal at arm's length, or (c) partnerships in which the Non-Resident Holder or a person with whom the Non-Resident Holder did not deal at arm's length held a membership interest directly or indirectly through one or more partnerships owned 25% or more of the issued shares of any class or series of shares of the Corporation; and (ii) more than 50% of the fair market value of the shares of the Corporation was derived directly or indirectly from one or any combination of (a) real or immovable property situated in Canada, (b) "Canadian resource properties" (as defined in the Tax Act), (c) "timber resource properties" (as defined in the Tax Act) or (d) an option, an interest or right in any of the foregoing property, whether or not such property exists. Notwithstanding the foregoing, a Registrable Common Share may otherwise be deemed to be taxable Canadian property to a Non-Resident Holder for purposes of the Tax Act.</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should consult their own tax advisors as to whether their Registrable Common Shares constitute "taxable Canadian property".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Registrable Common Shares acquired pursuant to this Offering. This summary is for general information purposes only and does not purport to be a complete analysis or listing of all potential U.S. federal income tax considerations that may apply to a U.S. Holder arising from and relating to the acquisition, ownership and disposition of Registrable Common Shares. In addition, this summary does not take into account the individual facts and circumstances of any particular U.S. Holder that may affect the U.S. federal income tax considerations relevant to such U.S. Holder, including, without limitation, specific tax consequences to a U.S. Holder under an applicable income tax treaty. Accordingly, this summary is not intended to be, and should not be construed as, legal or U.S. federal income tax advice with respect to any particular U.S. Holder. This summary does not address the U.S. federal alternative minimum tax, U.S. federal net investment income tax, U.S. federal estate and gift tax, U.S. state and local tax, and non-U.S. tax consequences to U.S. Holders of the acquisition, ownership and disposition of Registrable Common Shares. In addition, except as specifically set forth below, this summary does not discuss applicable income tax reporting requirements. Each prospective U.S. Holder should consult its own tax advisors regarding the U.S. federal, U.S. state and local, and non-U.S. tax consequences relating to the acquisition, ownership and disposition of Registrable Common Shares.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 opinion from legal counsel or ruling from the Internal Revenue Service (the "</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has been requested, or will be obtained, regarding the U.S. federal income tax consequences of the acquisition, ownership and disposition of Registrable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consequences described in this summary.</w:t>
      </w:r>
    </w:p>
    <w:p>
      <w:pPr>
        <w:spacing w:after="0" w:line="1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under the Code, published rulings of the IRS, published administrative positions of the IRS, the current provisions of the Canada-US Tax Treaty, and U.S. court decisions that are applicable, and, in each case, as in effect and available, as of the date of this document. Any of the authorities on which this summary is based could be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Holders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For purposes of this summary, the term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means a beneficial owner of Registrable Common Shares acquired pursuant to this Offering that is for U.S. federal income tax purposes: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-94615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United States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Non-U.S. Holders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For purposes of this summary, a "</w:t>
      </w:r>
      <w:r>
        <w:rPr>
          <w:rFonts w:ascii="Times New Roman" w:cs="Times New Roman" w:eastAsia="Times New Roman" w:hAnsi="Times New Roman"/>
          <w:sz w:val="22"/>
          <w:szCs w:val="22"/>
          <w:b w:val="1"/>
          <w:bCs w:val="1"/>
          <w:color w:val="auto"/>
        </w:rPr>
        <w:t>non-U.S. Holder</w:t>
      </w:r>
      <w:r>
        <w:rPr>
          <w:rFonts w:ascii="Times New Roman" w:cs="Times New Roman" w:eastAsia="Times New Roman" w:hAnsi="Times New Roman"/>
          <w:sz w:val="22"/>
          <w:szCs w:val="22"/>
          <w:color w:val="auto"/>
        </w:rPr>
        <w:t>" is a beneficial owner of Registrable Common Shares acquired pursuant to this Offering that is not a U.S. Holder and is not a partnership for U.S. federal income tax purposes. This summary does not address the U.S. federal income tax considerations applicable to non-U.S. Holders. Accordingly, a non-U.S. Holder should consult its own tax advisors regarding the U.S. federal, U.S. state and local and non-U.S. tax consequences (including the potential application and operation of any income tax treaties) relating to the acquisition, ownership and disposition of Registrable Common Shares acquired pursuant to this Offering.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Holders Subject to Special U.S. Federal Income Tax Rules Not Addressed</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banks,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Registrable Common Shares as part of a straddle, hedge, conversion transaction, constructive sale, or other integrated transaction; (f) acquire Registrable Common Shares in connection with the exercise or cancellation of employee stock options or otherwise as compensation for services; (g) hold Registrable Common Shares other than as a capital asset within the meaning of Section 1221 of the Code (generally, property held for investment purposes); (h) are subject to the alternative minimum tax; (i) are subject to special tax accounting rules with respect to Registrable Common Shares; (j) are partnerships or other pass-through entities (and partners or investors in such partnerships and entities); (k) are S corporations (and shareholders thereof); (l) are U.S. expatriates or former long-term residents of the United States; (m) hold Registrable Common Shares in connection with a trade or business, permanent establishment, or fixed base outside the United States; (n) own, have owned or will own (directly, indirectly, or by attribution) 10% or more of the total combined voting power or value of the outstanding shares of the Corporation; or (o) are deemed to sell Registrable Common Shares under the constructive sale provisions of the Code. U.S. Holders that are subject to special provisions under the Code, including, but not limited to, U.S. Holders described immediately above, should consult their own tax advisor regarding the U.S. federal, U.S. state and local, and non-U.S. tax consequences relating to the acquisition, ownership and disposition of Registrable Common Shares.</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an entity or arrangement that is classified as a partnership (or other "pass-through" entity) for U.S. federal income tax purposes holds Registrable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Registrable Common Shares.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the Corporation were to constitute a "passive foreign investment company" within the meaning of Section 1297(a)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as defined below) for any year during a U.S. Holder's holding period, then certain potentially adverse rules would affect the U.S. federal income tax consequences to a U.S. Holder as a result of the acquisition, ownership and disposition of Registrable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subsidiaries as a PFIC for the current tax year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2"/>
          <w:szCs w:val="22"/>
          <w:b w:val="1"/>
          <w:bCs w:val="1"/>
          <w:color w:val="auto"/>
        </w:rPr>
        <w:t>Subsidiary PFIC</w:t>
      </w:r>
      <w:r>
        <w:rPr>
          <w:rFonts w:ascii="Times New Roman" w:cs="Times New Roman" w:eastAsia="Times New Roman" w:hAnsi="Times New Roman"/>
          <w:sz w:val="22"/>
          <w:szCs w:val="22"/>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Registrable Common Shares. Accordingly, U.S. Holders should be aware that they could be subject to tax under the PFIC rules even if no distributions are received and no redemptions or other dispositions of Registrable Common Shares are made.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Registrable Common Shares, the U.S. federal income tax consequences to such U.S. Holder of the acquisition, ownership, and disposition of Registrable Common Shares will depend on whether and when such U.S. Holder makes an election to treat the Corporation and each Subsidiary PFIC, if any, as a "qualified electing fund" or "QEF" under Section 1295 of the Code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or makes a mark-to-market election under Section 1296 of the Code with respect to the Registrable Common Shares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w:t>
      </w:r>
      <w:r>
        <w:rPr>
          <w:rFonts w:ascii="Times New Roman" w:cs="Times New Roman" w:eastAsia="Times New Roman" w:hAnsi="Times New Roman"/>
          <w:sz w:val="22"/>
          <w:szCs w:val="22"/>
          <w:b w:val="1"/>
          <w:bCs w:val="1"/>
          <w:color w:val="auto"/>
        </w:rPr>
        <w:t>Non-Electing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jc w:val="both"/>
        <w:spacing w:after="0" w:line="236" w:lineRule="auto"/>
        <w:rPr>
          <w:sz w:val="20"/>
          <w:szCs w:val="20"/>
          <w:color w:val="auto"/>
        </w:rPr>
      </w:pPr>
      <w:r>
        <w:rPr>
          <w:rFonts w:ascii="Times New Roman" w:cs="Times New Roman" w:eastAsia="Times New Roman" w:hAnsi="Times New Roman"/>
          <w:sz w:val="22"/>
          <w:szCs w:val="22"/>
          <w:color w:val="auto"/>
        </w:rPr>
        <w:t>A Non-Electing U.S. Holder will be subject to the default rules of Section 1291 of the Code (described below) with respect to: (a) any gain recognized on the sale or other taxable disposition of Registrable Common Shares; and (b) any "excess distribution" received on the Registrable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Registrable Common Shares, if shorter).</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Section 1291 of the Code, if the Corporation is a PFIC, any gain recognized on the sale or other taxable disposition of Registrable Common Shares (including an indirect disposition of the stock of any Subsidiary PFIC), and any "excess distribution" received on the Registrable Common Shares or with respect to the stock of a Subsidiary PFIC, must be ratably allocated to each day in a Non-Electing U.S. Holder's holding period for the respective Registrable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Non-Electing U.S. Holder holds Registrable Common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Registrable Common Shares by electing to recognize gain (which will be taxed under the rules of Section 1291 of the Code discussed above), but not loss, as if such Registrable Common Shares were sold on the last day of the last tax year for which the Corporation was a PFIC.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for the first tax year in which the holding period of its Registrable Common Shares begins generally will not be subject to the rules of Section 1291 of the Code discussed above with respect to its Registrable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(y) "earnings and profits" over (z)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Registrable Common Shares to reflect the amount included in income or allowed as a tax-free distribution because of such QEF Election. In addition, a U.S. Holder that makes a QEF Election generally will recognize capital gain or loss on the sale or other taxable disposition of Registrable Common Shares.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spacing w:after="0" w:line="233" w:lineRule="auto"/>
        <w:rPr>
          <w:sz w:val="20"/>
          <w:szCs w:val="20"/>
          <w:color w:val="auto"/>
        </w:rPr>
      </w:pPr>
      <w:r>
        <w:rPr>
          <w:rFonts w:ascii="Times New Roman" w:cs="Times New Roman" w:eastAsia="Times New Roman" w:hAnsi="Times New Roman"/>
          <w:sz w:val="22"/>
          <w:szCs w:val="22"/>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Registrable Common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Registrable Common Shares,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Registrable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Registrable Common Shares. If a U.S. Holder owns PFIC stock indirectly through another PFIC, separate QEF Elections must be made for the PFIC in which the U.S. Holder is a direct shareholder and the Subsidiary PFIC for the QEF rules to apply to both PFICs.</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only if the Registrable Common Shares are marketable stock. The Registrable Common Shares generally will be "marketable stock" if the Registrable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Registrable Common Shares generally will not be subject to the default rules of Section 1291 of the Code discussed above with respect to such Registrable Common Shares. However, if a U.S. Holder does not make a Mark-to-Market Election beginning in the first tax year of such U.S. Holder's holding period for the Registrable Common Shares for which the Corporation is a PFIC and such U.S. Holder has not made a timely QEF Election, the default rules of Section 1291 of the Code discussed above will apply to certain dispositions of, and distributions on, the Registrable Common Shares.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 U.S. Holder that makes a Mark-to-Market Election will include in ordinary income, for each tax year in which the Corporation is a PFIC, an amount equal to the excess, if any, of (a) the fair market value of the Registrable Common Shares, as of the close of such tax year over (b) such U.S. Holder's adjusted tax basis in such Registrable Common Shares. A U.S. Holder that makes a Mark-to-Market Election will be allowed a deduction in an amount equal to the excess, if any, of (a) such U.S. Holder's adjusted tax basis in the Registrable Common Shares, over (b) the fair market value of such Registrable Common Shares (but only to the extent of the net amount of previously included income as a result of the Mark-to-Market Election for prior tax years).</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Registrable Common Shares to reflect the amount included in gross income or allowed as a deduction because of such Mark-to-Market Election. In addition, upon a sale or other taxable disposition of Registrable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Registrable Common Shares cease to be "marketable stock" or the IRS consents to revocation of such election. Each U.S. Holder should consult its own tax advisors regarding the availability of, and procedure for making, a Mark-to-Market Election.</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Registrable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Registrable Common Shares that would otherwise be tax-deferred (e.g., gifts and exchanges pursuant to corporate reorganizations). However, the specific U.S. federal income tax consequences to a U.S. Holder may vary based on the manner in which Registrable Common Shares are transferred.</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Registrable Common Shares as security for a loan will, except as may be provided in Treasury Regulations, be treated as having made a taxable disposition of such Registrable Common Shares.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21"/>
          <w:szCs w:val="21"/>
          <w:color w:val="auto"/>
        </w:rPr>
        <w:t>In addition, a U.S. Holder who acquires Registrable Common Shares from a decedent will not receive a "step up" in tax basis of such Registrable Common Shares to fair market value unless such decedent had a timely and effective QEF Election in place.</w:t>
      </w:r>
    </w:p>
    <w:p>
      <w:pPr>
        <w:spacing w:after="0" w:line="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PFIC rules are complex, and each U.S. Holder should consult its own tax advisors regarding the PFIC rules and how the PFIC rules may affect the U.S. federal income tax consequences of the acquisition, ownership, and disposition of Registrable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Registrable 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"Passive Foreign Investment Company Rules".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Registrable Common Shares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U.S. Holder that receives a distribution, including a constructive distribution, with respect to a Registrable Common Share will be required to include the amount of such distribution in gross income as a dividend (without reduction for any Canadian income tax withheld from such distribution) to the extent of the current and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the U.S. Holder's adjusted tax basis in the Registrable Common Shares and thereafter as gain from the sale or exchange of such Registrable Common Shares. (See </w:t>
      </w:r>
      <w:r>
        <w:rPr>
          <w:rFonts w:ascii="Times New Roman" w:cs="Times New Roman" w:eastAsia="Times New Roman" w:hAnsi="Times New Roman"/>
          <w:sz w:val="22"/>
          <w:szCs w:val="22"/>
          <w:i w:val="1"/>
          <w:iCs w:val="1"/>
          <w:color w:val="auto"/>
        </w:rPr>
        <w:t>"Sale or Other Taxable Disposition of Registrable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Shares" </w:t>
      </w:r>
      <w:r>
        <w:rPr>
          <w:rFonts w:ascii="Times New Roman" w:cs="Times New Roman" w:eastAsia="Times New Roman" w:hAnsi="Times New Roman"/>
          <w:sz w:val="22"/>
          <w:szCs w:val="22"/>
          <w:color w:val="auto"/>
        </w:rPr>
        <w:t>below). However, the Corporation does not intend to maintain the calculations of its earnings and profits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U.S. federal income tax principles, and each U.S. Holder should therefore assume that any distribution by the Corporation with respect to the Registrable Common Shares will constitute ordinary dividend income. Dividends received on Registrable Common Shares by corporate U.S. Holders generally will not be eligible for the "dividends received deduction". Subject to applicable limitations and provided the Corporation is eligible for the benefits of the Canada-US Tax Treaty or the Registrable Common Shares are readily tradable on a U.S.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 regarding the application of such rules.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Registrable Common Shares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will recognize gain or loss on the sale or other taxable disposition of such Registrable Common Shares in an amount equal to the difference, if any, between (a) the U.S. dollar value of cash received plus the fair market value of any property received and (b) such U.S. Holder's adjusted tax basis in such Registrable Common Shares sold or otherwise disposed of. A U.S. Holder's tax basis in Registrable Common Shares generally will be such U.S. Holder's U.S. dollar cost for such Registrable Common Shares. Any such gain or loss generally will be capital gain or loss, which will be long-term capital gain or loss if, at the time of the sale or other disposition, the Registrable Common Shares have been held for more than one year.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Additional Tax Considerations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amount of any distribution paid to a U.S. Holder in foreign currency, or on the sale, exchange or other taxable disposition of Registrable Common Shares, generally will be equal to the U.S. dollar value of such foreign currency based on the exchange rate applicable on the date of receipt or, if applicable, the date of settlement if the Registrable Common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Registrable Common Shares will be treated as foreign-source income, and generally will be treated as "passive category income" or "general category income" for U.S. foreign tax credit purposes. Any gain or loss recognized on a sale or other disposition of Registrable Common Shares generally will be U.S.-source gain or loss. Certain U.S. Holders that are eligible for the benefits of the Canada-US Tax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 Tax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Regulations</w:t>
      </w:r>
      <w:r>
        <w:rPr>
          <w:rFonts w:ascii="Times New Roman" w:cs="Times New Roman" w:eastAsia="Times New Roman" w:hAnsi="Times New Roman"/>
          <w:sz w:val="22"/>
          <w:szCs w:val="22"/>
          <w:color w:val="auto"/>
        </w:rPr>
        <w:t>") impose additional requirements for Canadian withholding taxes to be eligible for a foreign tax credit, and there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 be no assurance that those requirements will be satisfied. The Treasury Department has released guidance temporarily pausing the application of certain of the Foreign Tax Credit Regulations.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Registrable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 regarding the foreign tax credit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Backup Withholding and Information Reporting</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Registrable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5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Payments made within the U.S. or by a U.S. payor or U.S. middleman, of dividends on, and proceeds arising from the sale or other taxable disposition of, Registrable Common Shares will generally be subject to information reporting and backup withholding tax, currently at a rate of 24%,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 regarding the information reporting and backup withholding rules.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REGISTRABLE COMMON SHARES. U.S. HOLDERS SHOULD CONSULT THEIR OWN TAX ADVISORS AS TO THE TAX CONSIDERATIONS APPLICABLE TO THEM IN LIGHT OF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and the Corporation's most recent annual information form, annual management discussion &amp; analysis and interim management discussion &amp; analysis) and all of the other information in the Prospectus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 Related to the Offering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Common Shares is Highly Speculative</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2"/>
          <w:szCs w:val="22"/>
          <w:i w:val="1"/>
          <w:iCs w:val="1"/>
          <w:color w:val="auto"/>
        </w:rPr>
        <w:t>"Risk Factors - Risks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Offering - Negative Operating Cash Flow"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 Risks Related to the Offering - Potential Dilution"</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Potential Dilution</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Need for Additional Financing"</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Pursuant to this Prospectus Supplement, the Selling Shareholder may sell up to 20,000,000 Registerable Common Shares issuable upon conversion of up to US$50,000,000 aggregate principal amount outstanding of the Convertible Debentures, which are convertible on the terms of the Securities Purchase Agreement and the Convertible Debentures, at the Conversion Price. If all of the Common Shares covered by this Prospectus Supplement were issued and outstanding, they would represent a substantial percentage of the Corporation's public float and of the outstanding Common Shares. As of July 14, 2025, the Registerable Common Shares covered by this Prospectus Supplement would represent approximately 87% of the total number of outstanding Common Shares (assuming all of the Registerable Common Shares covered by this Prospectus Supplement were issued and outstanding). Accordingly, the resale of the Registerable Common Shares covered by this Prospectus Supplement,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this Prospectus Supplement. The number of Registrable Common Shares that may actually be acquired by the Selling Shareholder pursuant to the Convertible Debentures is not currently known given the variable Conversion Price. In the event that the number of Common Shares issuable upon conversion of the Convertible Debentures is greater than the Registerable Common Shares covered by this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i w:val="1"/>
          <w:iCs w:val="1"/>
          <w:color w:val="auto"/>
        </w:rPr>
        <w:t>Trading Market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22"/>
          <w:szCs w:val="22"/>
          <w:i w:val="1"/>
          <w:iCs w:val="1"/>
          <w:color w:val="auto"/>
        </w:rPr>
        <w:t>"Risk Factors - Volatile Market Price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the Common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Significant sales of Common Shares (including the Registrable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22"/>
          <w:szCs w:val="22"/>
          <w:i w:val="1"/>
          <w:iCs w:val="1"/>
          <w:color w:val="auto"/>
        </w:rPr>
        <w:t>"Risk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Factors - Risks Related to an Offering - Need for Additional Financing"</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jc w:val="both"/>
        <w:spacing w:after="0" w:line="262" w:lineRule="auto"/>
        <w:rPr>
          <w:sz w:val="20"/>
          <w:szCs w:val="20"/>
          <w:color w:val="auto"/>
        </w:rPr>
      </w:pPr>
      <w:r>
        <w:rPr>
          <w:rFonts w:ascii="Times New Roman" w:cs="Times New Roman" w:eastAsia="Times New Roman" w:hAnsi="Times New Roman"/>
          <w:sz w:val="22"/>
          <w:szCs w:val="22"/>
          <w:b w:val="1"/>
          <w:bCs w:val="1"/>
          <w:i w:val="1"/>
          <w:iCs w:val="1"/>
          <w:color w:val="auto"/>
        </w:rPr>
        <w:t>The Corporation expects to be a "passive foreign investment company", which may have adverse U.S. federal income tax consequences for U.S. Holders</w:t>
      </w:r>
    </w:p>
    <w:p>
      <w:pPr>
        <w:spacing w:after="0" w:line="1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Based on current business plans and financial expectations, the Corporation expects to be a PFIC for its current tax year , and may be a PFIC in future tax years. If the Corporation is a PFIC for any year during a U.S. Holder's (as defined above) holding period of Registrable Common Shares, then such U.S. Holder generally will be required to treat any gain realized upon a disposition of the Registrable Common Shares or any so-called "excess distribution" received on its Registrable Common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or a Mark-to-Market Election. Subject to certain limitations, such elections may be made with respect to the Registrable Common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Registrable Common Shares over the U.S. Holder's basis therein. This paragraph is qualified in its entirety by the discussion above under the heading "</w:t>
      </w:r>
      <w:r>
        <w:rPr>
          <w:rFonts w:ascii="Times New Roman" w:cs="Times New Roman" w:eastAsia="Times New Roman" w:hAnsi="Times New Roman"/>
          <w:sz w:val="22"/>
          <w:szCs w:val="22"/>
          <w:i w:val="1"/>
          <w:iCs w:val="1"/>
          <w:color w:val="auto"/>
        </w:rPr>
        <w:t>Certain United States Federal Income Tax Considerations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Passive Foreign Investment Company Rules</w:t>
      </w:r>
      <w:r>
        <w:rPr>
          <w:rFonts w:ascii="Times New Roman" w:cs="Times New Roman" w:eastAsia="Times New Roman" w:hAnsi="Times New Roman"/>
          <w:sz w:val="22"/>
          <w:szCs w:val="22"/>
          <w:color w:val="auto"/>
        </w:rPr>
        <w:t>." Each potential investor who is a U.S. Holder should consult its own tax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tax consequences of the PFIC rules and the acquisition, ownership, and disposition of the Registrable Common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16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color w:val="auto"/>
        </w:rPr>
        <w:t xml:space="preserve">The matters referred to under </w:t>
      </w:r>
      <w:r>
        <w:rPr>
          <w:rFonts w:ascii="Times New Roman" w:cs="Times New Roman" w:eastAsia="Times New Roman" w:hAnsi="Times New Roman"/>
          <w:sz w:val="22"/>
          <w:szCs w:val="22"/>
          <w:i w:val="1"/>
          <w:iCs w:val="1"/>
          <w:color w:val="auto"/>
        </w:rPr>
        <w:t>"Certain Canadian Income Tax Considerations"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"Certain United States Federal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Considerations"</w:t>
      </w:r>
      <w:r>
        <w:rPr>
          <w:rFonts w:ascii="Times New Roman" w:cs="Times New Roman" w:eastAsia="Times New Roman" w:hAnsi="Times New Roman"/>
          <w:sz w:val="22"/>
          <w:szCs w:val="22"/>
          <w:color w:val="auto"/>
        </w:rPr>
        <w:t>, as well as certain other legal matters relating to the issue and sale of the Registrable Common Shares,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passed upon on behalf of the Corporation by Aird &amp; Berlis LLP, with respect to Canadian legal matters, and by Dorsey &amp; Whitney LLP, with respect to United States legal matters.</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registrar and transfer agent of the Registrable Common Shares is Odyssey Trust Company at its principal office in Calgary, Alberta.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a corporation existing under the OBCA. Other than Douglas Drysdale, Eric So and Paul Glavine,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Registrable Common Shares who reside in the United States to effect service within the United States upon those directors, officers and experts who are not residents of the United States. It may also be difficult for holders of the Registrable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any such state securities or "Blue Sky" laws of any state within the United States.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Registrable Common Shares under this Prospectus Supplement and the accompanying Base Shelf Prospectus.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Amendment No. 3 dated January 6, 2025 to the Short Form Base Shelf Prospectus dated August 17, 2023, as amended by Amendment No. 1 dated December 22, 2023 and by Amendment No. 2 dated April 8, 2024</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by Amendment No. 2 dated April 8, 2024,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by Amendment No. 2 dated April 8, 2024,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by Amendment No. 2 dated April 8, 2024,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obtained on request without charge from the Secretary of Cybin Inc. at 100 King Street West, Suite 5600, Toronto, Ontario M5X 1C9, telephone 1-866-292-4601, and are also available electronically at www.sedarplus.ca.</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130810</wp:posOffset>
            </wp:positionV>
            <wp:extent cx="1405890" cy="840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$650,000,000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short form base shelf prospectus dated August 17, 2023, as amended by Amendment No. 1 dated December 22, 2023 and by Amendment No. 2 dated April 8, 2024 (collectively,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3 to increase the aggregate amount of Securities that may be offered from time to time under the Prospectus from $400,000,000 to $650,000,000. Capitalized terms used but not otherwise defined in this Amendment No. 3 have the meanings ascribed thereto in the Prospectus.</w:t>
      </w:r>
    </w:p>
    <w:p>
      <w:pPr>
        <w:spacing w:after="0" w:line="15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_______________________________________________</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5" w:name="page36"/>
    <w:bookmarkEnd w:id="35"/>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3.</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_______________________________________________</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"$400,000,000" contained on the face page of the Prospectus and substituting "$650,000,000" therefor. The first paragraph of the text on the face page of the Prospectus, as so amended, is deleted and replaced with the following:</w:t>
      </w:r>
    </w:p>
    <w:p>
      <w:pPr>
        <w:spacing w:after="0" w:line="12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$650,000,000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"$400,000,000" contained in the first sentence of the first paragraph under the heading "Plan of Distribution" on page 28, so that such sentence, as so amended, reads as follows:</w:t>
      </w:r>
    </w:p>
    <w:p>
      <w:pPr>
        <w:spacing w:after="0" w:line="131"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$650,000,000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color w:val="auto"/>
        </w:rPr>
        <w:t>The Prospectus is further amended by deleting the third paragraph on page iv of the Prospectus, and replacing with the following:</w:t>
      </w:r>
    </w:p>
    <w:p>
      <w:pPr>
        <w:spacing w:after="0" w:line="17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"Douglas Drysdale, an officer of the Corporation, 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 Risks Related to an Offering - Enforcement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Civil Liabilities".</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4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14" w:lineRule="exact"/>
        <w:rPr>
          <w:sz w:val="20"/>
          <w:szCs w:val="20"/>
          <w:color w:val="auto"/>
        </w:rPr>
      </w:pPr>
    </w:p>
    <w:p>
      <w:pPr>
        <w:ind w:left="1300" w:right="20" w:hanging="320"/>
        <w:spacing w:after="0" w:line="262" w:lineRule="auto"/>
        <w:tabs>
          <w:tab w:leader="none" w:pos="1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25, 2024 for the year ended March 31, 2024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2024 and 2023, together with the auditor's report thereon;</w:t>
      </w:r>
    </w:p>
    <w:p>
      <w:pPr>
        <w:spacing w:after="0" w:line="117"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2024;</w:t>
      </w:r>
    </w:p>
    <w:p>
      <w:pPr>
        <w:spacing w:after="0" w:line="165"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2024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31"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2024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24, 2024 relating to an annual and special meeting of shareholders of the Corporation held on August 27, 2024;</w:t>
      </w:r>
    </w:p>
    <w:p>
      <w:pPr>
        <w:spacing w:after="0" w:line="117"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19, 2024 relating to the filing of articles of amendment to consolidate the Corporation's issued and outstanding Common Shares on the basis one new Common Share for every 38 existing Common Shares; and</w:t>
      </w:r>
    </w:p>
    <w:p>
      <w:pPr>
        <w:spacing w:after="0" w:line="142" w:lineRule="exact"/>
        <w:rPr>
          <w:rFonts w:ascii="Times New Roman" w:cs="Times New Roman" w:eastAsia="Times New Roman" w:hAnsi="Times New Roman"/>
          <w:sz w:val="22"/>
          <w:szCs w:val="22"/>
          <w:color w:val="auto"/>
        </w:rPr>
      </w:pPr>
    </w:p>
    <w:p>
      <w:pPr>
        <w:jc w:val="both"/>
        <w:ind w:left="1300" w:hanging="320"/>
        <w:spacing w:after="0" w:line="241" w:lineRule="auto"/>
        <w:tabs>
          <w:tab w:leader="none" w:pos="1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all of the issued and outstanding common shares of Small Pharma pursuant to a court-approved plan of arrangement."</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1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August 7, 2024, the date of the Interim Financial Statements and Interim MD&amp;A.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August 13, 2024, the Corporation announced that it held a Type B Initial Breakthrough Therapy Meeting with the U.S.</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Food and Drug Administration in Washington, D.C.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jc w:val="both"/>
        <w:spacing w:after="0" w:line="238" w:lineRule="auto"/>
        <w:rPr>
          <w:sz w:val="20"/>
          <w:szCs w:val="20"/>
          <w:color w:val="auto"/>
        </w:rPr>
      </w:pPr>
      <w:r>
        <w:rPr>
          <w:rFonts w:ascii="Times New Roman" w:cs="Times New Roman" w:eastAsia="Times New Roman" w:hAnsi="Times New Roman"/>
          <w:sz w:val="22"/>
          <w:szCs w:val="22"/>
          <w:color w:val="auto"/>
        </w:rPr>
        <w:t>On September 19, 2024, the Corporation announced that it expects to report 12-month Phase 2 efficacy data of its proprietary deuterated psilocin program, CYB003, in early Q4 2024. The Corporation further announced its plans to report topline safety and efficacy results at year-end 2024 or early Q1 2025 for its proprietary deuterated DMT program, CYB004. The Corporation also announced the appointment of Dr. Atul R. Mahableshwarkar, and Dr. Tom Macek to lead the Corporation's CYB003 and CYB004 programs, respectively.</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October 1, 2024, the Corporation announced the appointment of senior clinical team leaders, Dr. Mirza Rahman as Senior Vice President, Patient Safety &amp; Pharmacovigilance and Dr. Marcelo Gutierrez, Vice President, Clinical Pharmacology, as well as the expansion of its clinical operations team.</w:t>
      </w:r>
    </w:p>
    <w:p>
      <w:pPr>
        <w:spacing w:after="0" w:line="15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 xml:space="preserve">On November 13, 2024, the Corporation announced the initiation of PARADIGM </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its Phase 3 pivotal program evaluating the efficacy and safety of CYB003 for the adjunctive treatment of MDD. This Phase 3 program comprises three pivotal efficacy studies, which are described below.</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1 ("</w:t>
      </w:r>
      <w:r>
        <w:rPr>
          <w:rFonts w:ascii="Times New Roman" w:cs="Times New Roman" w:eastAsia="Times New Roman" w:hAnsi="Times New Roman"/>
          <w:sz w:val="22"/>
          <w:szCs w:val="22"/>
          <w:b w:val="1"/>
          <w:bCs w:val="1"/>
          <w:color w:val="auto"/>
        </w:rPr>
        <w:t>APPROACH</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Participants (n=220) will be randomized 1:1 to receive either 16 mg of CYB003 (n=110) or inactive placebo (n=110). Each study arm will evaluate a two-dose regimen, with doses administered three weeks apart. The study will enroll patients suffering from moderate to severe MDD (Montgomery-Asberg Depression Rating Scale ("</w:t>
      </w:r>
      <w:r>
        <w:rPr>
          <w:rFonts w:ascii="Times New Roman" w:cs="Times New Roman" w:eastAsia="Times New Roman" w:hAnsi="Times New Roman"/>
          <w:sz w:val="22"/>
          <w:szCs w:val="22"/>
          <w:b w:val="1"/>
          <w:bCs w:val="1"/>
          <w:color w:val="auto"/>
        </w:rPr>
        <w:t>MADRS</w:t>
      </w:r>
      <w:r>
        <w:rPr>
          <w:rFonts w:ascii="Times New Roman" w:cs="Times New Roman" w:eastAsia="Times New Roman" w:hAnsi="Times New Roman"/>
          <w:sz w:val="22"/>
          <w:szCs w:val="22"/>
          <w:color w:val="auto"/>
        </w:rPr>
        <w:t>") ≥24) who are on a stable dose of antidepressant medication but are responding inadequately.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-574675</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The primary endpoint will be change in depressive symptoms as measured by change in MADRS from baseline at six weeks after the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-280035</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APPROACH will enroll participants at 36 clinical sites across the U.S. and Europe. The first pivotal study APPROACH has been initiated, with topline results expected in 2026.</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2 ("</w:t>
      </w:r>
      <w:r>
        <w:rPr>
          <w:rFonts w:ascii="Times New Roman" w:cs="Times New Roman" w:eastAsia="Times New Roman" w:hAnsi="Times New Roman"/>
          <w:sz w:val="22"/>
          <w:szCs w:val="22"/>
          <w:b w:val="1"/>
          <w:bCs w:val="1"/>
          <w:color w:val="auto"/>
        </w:rPr>
        <w:t>EMBRACE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-574675</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The primary endpoint will be change in depressive symptoms as measured by change in MADRS from baseline at six weeks after the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-280035</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EMBRACE is expected to enroll at 48 clinical sites, with minimal site overlap with the APPROACH study. The second pivotal study EMBRACE is expected to begin in the first half of 2025.</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3 ("</w:t>
      </w:r>
      <w:r>
        <w:rPr>
          <w:rFonts w:ascii="Times New Roman" w:cs="Times New Roman" w:eastAsia="Times New Roman" w:hAnsi="Times New Roman"/>
          <w:sz w:val="22"/>
          <w:szCs w:val="22"/>
          <w:b w:val="1"/>
          <w:bCs w:val="1"/>
          <w:color w:val="auto"/>
        </w:rPr>
        <w:t>EXTEND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21"/>
          <w:szCs w:val="21"/>
          <w:color w:val="auto"/>
        </w:rPr>
        <w:t>Participants from APPROACH and EMBRACE will roll over into EXTEND (up to n=550)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-736600</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November 18, 2024, the Corporation announced 12-month efficacy data from its Phase 2 study of CYB003, which is described below:</w:t>
      </w:r>
    </w:p>
    <w:p>
      <w:pPr>
        <w:spacing w:after="0" w:line="131"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21"/>
          <w:szCs w:val="21"/>
          <w:u w:val="single" w:color="auto"/>
          <w:color w:val="auto"/>
        </w:rPr>
        <w:t>Summary of 12-Month Efficacy Data for CYB003 16 mg</w:t>
      </w:r>
    </w:p>
    <w:p>
      <w:pPr>
        <w:spacing w:after="0" w:line="177"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120650</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38" w:name="page39"/>
    <w:bookmarkEnd w:id="38"/>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Eight participants completed the 12-month follow-up of which seven received two doses (active-active) of 16 mg and one received a single dose of 16 mg (placebo - active). The mean change from baseline in MADRS was approximately 23 points after two doses of 16 mg (n=7). The mean change from baseline MADRS was 32 points across the 12 mg and 16 mg dosing arms. 100% of participants receiving two doses of 16 mg were responders and 71% of participants receiving two doses of 16 mg were in remission. The two participants in the 16 mg dosing arm that were responders (≥50% reduction in MADRS score) but not remitters had MADRS scores of 11; remission is defined as MADRS total score ≤10.</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Summary of 12-Month Efficacy Data for CYB003 12 mg</w:t>
      </w:r>
    </w:p>
    <w:p>
      <w:pPr>
        <w:spacing w:after="0" w:line="179"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Thirteen participants completed the 12-month follow-up of which ten received two doses (active-active) of 12 mg and three received a single dose of 12 mg (placebo - active). The mean change from baseline in MADRS was approximately 18 points after two doses of 12 mg (n=10). 60% of participants receiving two doses of 12 mg were responders and 50% of participants receiving two doses of 12 mg were in remission.</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Up to two thirds of MDD patients do not achieve remission with first-line antidepressants, which have defined the current</w:t>
      </w:r>
    </w:p>
    <w:p>
      <w:pPr>
        <w:spacing w:after="0" w:line="31" w:lineRule="exact"/>
        <w:rPr>
          <w:sz w:val="20"/>
          <w:szCs w:val="20"/>
          <w:color w:val="auto"/>
        </w:rPr>
      </w:pPr>
    </w:p>
    <w:p>
      <w:pPr>
        <w:jc w:val="both"/>
        <w:ind w:left="660"/>
        <w:spacing w:after="0" w:line="197" w:lineRule="auto"/>
        <w:rPr>
          <w:sz w:val="20"/>
          <w:szCs w:val="20"/>
          <w:color w:val="auto"/>
        </w:rPr>
      </w:pPr>
      <w:r>
        <w:rPr>
          <w:rFonts w:ascii="Times New Roman" w:cs="Times New Roman" w:eastAsia="Times New Roman" w:hAnsi="Times New Roman"/>
          <w:sz w:val="22"/>
          <w:szCs w:val="22"/>
          <w:color w:val="auto"/>
        </w:rPr>
        <w:t>treatment standard.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CYB003 may provide the opportunity to pivot away from the chronic, daily treatments that often only offer symptomatic relief, and move towards more patient-friendly infrequent, long-lasting therapeutics for MDD</w:t>
      </w:r>
    </w:p>
    <w:p>
      <w:pPr>
        <w:spacing w:after="0" w:line="2"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1"/>
          <w:szCs w:val="21"/>
          <w:color w:val="auto"/>
        </w:rPr>
        <w:t>patients who do not achieve remission with existing treatments.</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Current intermittent treatments like esketamine, ECT and TMS require on average up to 36 outpatient visits per treatment cycle, burdening both patients and treatment centers. In comparison, CYB003's two doses per treatment cycle have the potential to free up capacity for new patients and</w:t>
      </w:r>
    </w:p>
    <w:p>
      <w:pPr>
        <w:ind w:left="660"/>
        <w:spacing w:after="0"/>
        <w:rPr>
          <w:sz w:val="20"/>
          <w:szCs w:val="20"/>
          <w:color w:val="auto"/>
        </w:rPr>
      </w:pPr>
      <w:r>
        <w:rPr>
          <w:rFonts w:ascii="Times New Roman" w:cs="Times New Roman" w:eastAsia="Times New Roman" w:hAnsi="Times New Roman"/>
          <w:sz w:val="22"/>
          <w:szCs w:val="22"/>
          <w:color w:val="auto"/>
        </w:rPr>
        <w:t>improve accessibility to treatment.</w:t>
      </w:r>
      <w:r>
        <w:rPr>
          <w:rFonts w:ascii="Times New Roman" w:cs="Times New Roman" w:eastAsia="Times New Roman" w:hAnsi="Times New Roman"/>
          <w:sz w:val="35"/>
          <w:szCs w:val="35"/>
          <w:color w:val="auto"/>
          <w:vertAlign w:val="superscript"/>
        </w:rPr>
        <w:t>3</w:t>
      </w:r>
    </w:p>
    <w:p>
      <w:pPr>
        <w:spacing w:after="0" w:line="52" w:lineRule="exact"/>
        <w:rPr>
          <w:sz w:val="20"/>
          <w:szCs w:val="20"/>
          <w:color w:val="auto"/>
        </w:rPr>
      </w:pPr>
    </w:p>
    <w:p>
      <w:pPr>
        <w:jc w:val="both"/>
        <w:ind w:left="660" w:right="20"/>
        <w:spacing w:after="0" w:line="247" w:lineRule="auto"/>
        <w:rPr>
          <w:sz w:val="20"/>
          <w:szCs w:val="20"/>
          <w:color w:val="auto"/>
        </w:rPr>
      </w:pPr>
      <w:r>
        <w:rPr>
          <w:rFonts w:ascii="Times New Roman" w:cs="Times New Roman" w:eastAsia="Times New Roman" w:hAnsi="Times New Roman"/>
          <w:sz w:val="22"/>
          <w:szCs w:val="22"/>
          <w:color w:val="auto"/>
        </w:rPr>
        <w:t>CYB003 has demonstrated an excellent safety profile, with no new adverse events reported in the 12-month follow up, including no reports of suicidality."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16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8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1"/>
          <w:szCs w:val="21"/>
          <w:i w:val="1"/>
          <w:iCs w:val="1"/>
          <w:color w:val="auto"/>
        </w:rPr>
        <w:t>"Risk Factors - Risks Related to an Offering - Discretion over the Use of Proceeds"</w:t>
      </w:r>
      <w:r>
        <w:rPr>
          <w:rFonts w:ascii="Times New Roman" w:cs="Times New Roman" w:eastAsia="Times New Roman" w:hAnsi="Times New Roman"/>
          <w:sz w:val="21"/>
          <w:szCs w:val="21"/>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w:t>
      </w:r>
    </w:p>
    <w:p>
      <w:pPr>
        <w:spacing w:after="0" w:line="44" w:lineRule="exact"/>
        <w:rPr>
          <w:sz w:val="20"/>
          <w:szCs w:val="20"/>
          <w:color w:val="auto"/>
        </w:rPr>
      </w:pPr>
    </w:p>
    <w:p>
      <w:pPr>
        <w:jc w:val="both"/>
        <w:ind w:firstLine="8"/>
        <w:spacing w:after="0" w:line="220" w:lineRule="auto"/>
        <w:tabs>
          <w:tab w:leader="none" w:pos="160"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line="200"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12" w:right="339" w:bottom="1440" w:gutter="0" w:footer="0" w:header="0"/>
        </w:sectPr>
      </w:pP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39" w:name="page40"/>
    <w:bookmarkEnd w:id="39"/>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As at January 6, 2025, the Corporation has approximately $136,247,000 in cash. As at January 6, 2025, the Corporation anticipates that it will require approximately $113,500,000 to continue operations over the next 12 months, including funding for the achievement of the next significant milestone under the Corporation's Deuterated Psilocin Program (CYB003) and the Deuterated Dimethyltryptamine Program (CYB004).</w:t>
      </w:r>
    </w:p>
    <w:p>
      <w:pPr>
        <w:spacing w:after="0" w:line="153"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560" w:type="dxa"/>
            <w:vAlign w:val="bottom"/>
            <w:gridSpan w:val="2"/>
          </w:tcPr>
          <w:p>
            <w:pPr>
              <w:jc w:val="center"/>
              <w:ind w:right="2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gridSpan w:val="2"/>
            <w:vMerge w:val="continue"/>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960" w:type="dxa"/>
            <w:vAlign w:val="bottom"/>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50"/>
        </w:trPr>
        <w:tc>
          <w:tcPr>
            <w:tcW w:w="7460" w:type="dxa"/>
            <w:vAlign w:val="bottom"/>
            <w:tcBorders>
              <w:top w:val="single" w:sz="8" w:color="auto"/>
            </w:tcBorders>
            <w:shd w:val="clear" w:color="auto" w:fill="E6EFFF"/>
          </w:tcPr>
          <w:p>
            <w:pPr>
              <w:spacing w:after="0" w:line="250"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8"/>
                <w:szCs w:val="28"/>
                <w:color w:val="auto"/>
                <w:vertAlign w:val="superscript"/>
              </w:rPr>
              <w:t>(5)</w:t>
            </w:r>
          </w:p>
        </w:tc>
        <w:tc>
          <w:tcPr>
            <w:tcW w:w="260" w:type="dxa"/>
            <w:vAlign w:val="bottom"/>
            <w:tcBorders>
              <w:top w:val="single" w:sz="8" w:color="E6EFFF"/>
            </w:tcBorders>
            <w:shd w:val="clear" w:color="auto" w:fill="E6EFFF"/>
          </w:tcPr>
          <w:p>
            <w:pPr>
              <w:spacing w:after="0"/>
              <w:rPr>
                <w:sz w:val="21"/>
                <w:szCs w:val="21"/>
                <w:color w:val="auto"/>
              </w:rPr>
            </w:pPr>
          </w:p>
        </w:tc>
        <w:tc>
          <w:tcPr>
            <w:tcW w:w="1340" w:type="dxa"/>
            <w:vAlign w:val="bottom"/>
            <w:tcBorders>
              <w:top w:val="single" w:sz="8" w:color="auto"/>
            </w:tcBorders>
            <w:shd w:val="clear" w:color="auto" w:fill="E6EFFF"/>
          </w:tcPr>
          <w:p>
            <w:pPr>
              <w:spacing w:after="0"/>
              <w:rPr>
                <w:sz w:val="21"/>
                <w:szCs w:val="21"/>
                <w:color w:val="auto"/>
              </w:rPr>
            </w:pPr>
          </w:p>
        </w:tc>
        <w:tc>
          <w:tcPr>
            <w:tcW w:w="220" w:type="dxa"/>
            <w:vAlign w:val="bottom"/>
            <w:tcBorders>
              <w:top w:val="single" w:sz="8" w:color="E6EFFF"/>
            </w:tcBorders>
            <w:shd w:val="clear" w:color="auto" w:fill="E6EFFF"/>
          </w:tcPr>
          <w:p>
            <w:pPr>
              <w:spacing w:after="0"/>
              <w:rPr>
                <w:sz w:val="21"/>
                <w:szCs w:val="21"/>
                <w:color w:val="auto"/>
              </w:rPr>
            </w:pPr>
          </w:p>
        </w:tc>
        <w:tc>
          <w:tcPr>
            <w:tcW w:w="1960" w:type="dxa"/>
            <w:vAlign w:val="bottom"/>
            <w:tcBorders>
              <w:top w:val="single" w:sz="8" w:color="auto"/>
            </w:tcBorders>
            <w:shd w:val="clear" w:color="auto" w:fill="E6E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Progression of Phase 3 APPROACH studies in MDD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19,720,000</w:t>
            </w:r>
          </w:p>
        </w:tc>
        <w:tc>
          <w:tcPr>
            <w:tcW w:w="2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Q4 2025</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9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Provide topline safety and efficacy data from Phase 2 GAD study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4,333,000</w:t>
            </w:r>
          </w:p>
        </w:tc>
        <w:tc>
          <w:tcPr>
            <w:tcW w:w="2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Q2 2025</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9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Complete preclinical development of phenethylamine drug candidate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35,000</w:t>
            </w:r>
          </w:p>
        </w:tc>
        <w:tc>
          <w:tcPr>
            <w:tcW w:w="220" w:type="dxa"/>
            <w:vAlign w:val="bottom"/>
          </w:tcPr>
          <w:p>
            <w:pPr>
              <w:spacing w:after="0"/>
              <w:rPr>
                <w:sz w:val="22"/>
                <w:szCs w:val="22"/>
                <w:color w:val="auto"/>
              </w:rPr>
            </w:pPr>
          </w:p>
        </w:tc>
        <w:tc>
          <w:tcPr>
            <w:tcW w:w="1960" w:type="dxa"/>
            <w:vAlign w:val="bottom"/>
          </w:tcPr>
          <w:p>
            <w:pPr>
              <w:jc w:val="center"/>
              <w:ind w:right="30"/>
              <w:spacing w:after="0" w:line="256" w:lineRule="exact"/>
              <w:rPr>
                <w:sz w:val="20"/>
                <w:szCs w:val="20"/>
                <w:color w:val="auto"/>
              </w:rPr>
            </w:pPr>
            <w:r>
              <w:rPr>
                <w:rFonts w:ascii="Times New Roman" w:cs="Times New Roman" w:eastAsia="Times New Roman" w:hAnsi="Times New Roman"/>
                <w:sz w:val="18"/>
                <w:szCs w:val="18"/>
                <w:color w:val="auto"/>
                <w:w w:val="94"/>
              </w:rPr>
              <w:t>Q1 2026</w:t>
            </w:r>
            <w:r>
              <w:rPr>
                <w:rFonts w:ascii="Times New Roman" w:cs="Times New Roman" w:eastAsia="Times New Roman" w:hAnsi="Times New Roman"/>
                <w:sz w:val="29"/>
                <w:szCs w:val="29"/>
                <w:color w:val="auto"/>
                <w:w w:val="94"/>
                <w:vertAlign w:val="superscript"/>
              </w:rPr>
              <w:t>(7)</w:t>
            </w:r>
          </w:p>
        </w:tc>
        <w:tc>
          <w:tcPr>
            <w:tcW w:w="0" w:type="dxa"/>
            <w:vAlign w:val="bottom"/>
          </w:tcPr>
          <w:p>
            <w:pPr>
              <w:spacing w:after="0"/>
              <w:rPr>
                <w:sz w:val="1"/>
                <w:szCs w:val="1"/>
                <w:color w:val="auto"/>
              </w:rPr>
            </w:pPr>
          </w:p>
        </w:tc>
      </w:tr>
      <w:tr>
        <w:trPr>
          <w:trHeight w:val="257"/>
        </w:trPr>
        <w:tc>
          <w:tcPr>
            <w:tcW w:w="7720" w:type="dxa"/>
            <w:vAlign w:val="bottom"/>
            <w:gridSpan w:val="2"/>
            <w:shd w:val="clear" w:color="auto" w:fill="E6EFFF"/>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112,159,000</w:t>
            </w:r>
          </w:p>
        </w:tc>
        <w:tc>
          <w:tcPr>
            <w:tcW w:w="220" w:type="dxa"/>
            <w:vAlign w:val="bottom"/>
            <w:shd w:val="clear" w:color="auto" w:fill="E6EFFF"/>
          </w:tcPr>
          <w:p>
            <w:pPr>
              <w:spacing w:after="0"/>
              <w:rPr>
                <w:sz w:val="22"/>
                <w:szCs w:val="22"/>
                <w:color w:val="auto"/>
              </w:rPr>
            </w:pPr>
          </w:p>
        </w:tc>
        <w:tc>
          <w:tcPr>
            <w:tcW w:w="1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772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136,247,000</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jc w:val="both"/>
        <w:ind w:left="440" w:hanging="432"/>
        <w:spacing w:after="0" w:line="238" w:lineRule="auto"/>
        <w:tabs>
          <w:tab w:leader="none" w:pos="47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480" w:hanging="472"/>
        <w:spacing w:after="0" w:line="230" w:lineRule="auto"/>
        <w:tabs>
          <w:tab w:leader="none" w:pos="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1.37:1.</w:t>
      </w:r>
    </w:p>
    <w:p>
      <w:pPr>
        <w:ind w:left="480" w:hanging="472"/>
        <w:spacing w:after="0" w:line="230" w:lineRule="auto"/>
        <w:tabs>
          <w:tab w:leader="none" w:pos="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440" w:hanging="432"/>
        <w:spacing w:after="0" w:line="230" w:lineRule="auto"/>
        <w:tabs>
          <w:tab w:leader="none" w:pos="47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2" w:lineRule="auto"/>
        <w:tabs>
          <w:tab w:leader="none" w:pos="47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37 clinical sites, with minimal site overlap with the planned EMBRACE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Company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08" w:right="339"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0" w:name="page41"/>
    <w:bookmarkEnd w:id="40"/>
    <w:p>
      <w:pPr>
        <w:jc w:val="both"/>
        <w:ind w:left="440" w:hanging="432"/>
        <w:spacing w:after="0" w:line="236" w:lineRule="auto"/>
        <w:tabs>
          <w:tab w:leader="none" w:pos="47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34" w:lineRule="auto"/>
        <w:tabs>
          <w:tab w:leader="none" w:pos="47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Q4 2024. Due to the Corporation prioritizing the progression of its Deuterated Psilocybin Analog Program and Deuterated Dimethyltryptamine Program, it now expects to complete preclinical development of a phenethylamine drug candidate in Q1 2026.</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January 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$136,247,000.</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C$411,000,000 in gross proceeds through private placement and prospectus offerings. The Corporation has experienced operating losses and cash outflows from operations since incorporation and will require ongoing financing to continue its research and development activates.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Negative Operating Cash Flow and Going Concern".</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both"/>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all references to "Deuterated Psilocybin Analog Program" and replacing it with "Deuterated Psilocin Program".</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January 6, 2025,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Amendment No. 2 dated April 8, 2024 to the Short Form Base Shelf Prospectus dated August 17, 2023, as amended by Amendment No. 1 dated December 22, 2023</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130810</wp:posOffset>
            </wp:positionV>
            <wp:extent cx="1405890" cy="840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6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short form base shelf prospectus dated August 17, 2023, as amended by Amendment No. 1 dated December 22, 2023 (collectively,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of Cybin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is hereby amended by this Amendment No. 2 to provide that the securities that may be offered and issued thereunder will include distributions by various selling securityholders. Capitalized terms used but not otherwise defined in this Amendment No. 2 have the meanings ascribed thereto in the Prospectus.</w:t>
      </w:r>
    </w:p>
    <w:p>
      <w:pPr>
        <w:spacing w:after="0" w:line="1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3" w:name="page44"/>
    <w:bookmarkEnd w:id="43"/>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2.</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paragraph of the text on the face page of the Prospectus, as so amended, is deleted and replaced with the following:</w:t>
      </w:r>
    </w:p>
    <w:p>
      <w:pPr>
        <w:spacing w:after="0" w:line="162"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second, third and fourth paragraphs on page ii of the Prospectus, and replacing with the following:</w:t>
      </w:r>
    </w:p>
    <w:p>
      <w:pPr>
        <w:spacing w:after="0" w:line="131"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ectPr>
          <w:pgSz w:w="11900" w:h="16838" w:orient="portrait"/>
          <w:cols w:equalWidth="0" w:num="1">
            <w:col w:w="11240"/>
          </w:cols>
          <w:pgMar w:left="320" w:top="108" w:right="339" w:bottom="958"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958" w:gutter="0" w:footer="0" w:header="0"/>
          <w:type w:val="continuous"/>
        </w:sectPr>
      </w:pPr>
    </w:p>
    <w:bookmarkStart w:id="44" w:name="page45"/>
    <w:bookmarkEnd w:id="44"/>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43"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Distributions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4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14" w:lineRule="exact"/>
        <w:rPr>
          <w:sz w:val="20"/>
          <w:szCs w:val="20"/>
          <w:color w:val="auto"/>
        </w:rPr>
      </w:pPr>
    </w:p>
    <w:p>
      <w:pPr>
        <w:ind w:left="1300" w:right="20" w:hanging="428"/>
        <w:spacing w:after="0" w:line="262" w:lineRule="auto"/>
        <w:tabs>
          <w:tab w:leader="none" w:pos="132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1300" w:hanging="428"/>
        <w:spacing w:after="0" w:line="258" w:lineRule="auto"/>
        <w:tabs>
          <w:tab w:leader="none" w:pos="132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ind w:left="468" w:hanging="468"/>
        <w:spacing w:after="0"/>
        <w:tabs>
          <w:tab w:leader="none" w:pos="46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166"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nine months ended December 31,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31" w:lineRule="exact"/>
        <w:rPr>
          <w:rFonts w:ascii="Times New Roman" w:cs="Times New Roman" w:eastAsia="Times New Roman" w:hAnsi="Times New Roman"/>
          <w:sz w:val="22"/>
          <w:szCs w:val="22"/>
          <w:color w:val="auto"/>
        </w:rPr>
      </w:pPr>
    </w:p>
    <w:p>
      <w:pPr>
        <w:ind w:left="428" w:right="20" w:hanging="428"/>
        <w:spacing w:after="0" w:line="258" w:lineRule="auto"/>
        <w:tabs>
          <w:tab w:leader="none" w:pos="4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17" w:lineRule="exact"/>
        <w:rPr>
          <w:rFonts w:ascii="Times New Roman" w:cs="Times New Roman" w:eastAsia="Times New Roman" w:hAnsi="Times New Roman"/>
          <w:sz w:val="22"/>
          <w:szCs w:val="22"/>
          <w:color w:val="auto"/>
        </w:rPr>
      </w:pPr>
    </w:p>
    <w:p>
      <w:pPr>
        <w:jc w:val="both"/>
        <w:ind w:left="428" w:hanging="428"/>
        <w:spacing w:after="0" w:line="238" w:lineRule="auto"/>
        <w:tabs>
          <w:tab w:leader="none" w:pos="4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32" w:lineRule="exact"/>
        <w:rPr>
          <w:rFonts w:ascii="Times New Roman" w:cs="Times New Roman" w:eastAsia="Times New Roman" w:hAnsi="Times New Roman"/>
          <w:sz w:val="22"/>
          <w:szCs w:val="22"/>
          <w:color w:val="auto"/>
        </w:rPr>
      </w:pPr>
    </w:p>
    <w:p>
      <w:pPr>
        <w:jc w:val="both"/>
        <w:ind w:left="428" w:hanging="428"/>
        <w:spacing w:after="0" w:line="239" w:lineRule="auto"/>
        <w:tabs>
          <w:tab w:leader="none" w:pos="4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39"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jc w:val="both"/>
        <w:ind w:left="428" w:hanging="428"/>
        <w:spacing w:after="0" w:line="241" w:lineRule="auto"/>
        <w:tabs>
          <w:tab w:leader="none" w:pos="47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pacing w:after="0" w:line="177" w:lineRule="exact"/>
        <w:rPr>
          <w:rFonts w:ascii="Times New Roman" w:cs="Times New Roman" w:eastAsia="Times New Roman" w:hAnsi="Times New Roman"/>
          <w:sz w:val="21"/>
          <w:szCs w:val="21"/>
          <w:color w:val="auto"/>
        </w:rPr>
      </w:pPr>
    </w:p>
    <w:p>
      <w:pPr>
        <w:jc w:val="both"/>
        <w:ind w:left="428" w:right="20" w:hanging="428"/>
        <w:spacing w:after="0" w:line="244" w:lineRule="auto"/>
        <w:tabs>
          <w:tab w:leader="none" w:pos="47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w:t>
      </w:r>
    </w:p>
    <w:p>
      <w:pPr>
        <w:spacing w:after="0" w:line="146"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March 21, 2024 relating to the private placement offering of 348,837,210 Common Shares of the Corporation at a price of US$0.43 per Common Share for gross proceeds of US150,000,000, before deducting fees and expenses related to the offering (the "</w:t>
      </w: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and</w:t>
      </w:r>
    </w:p>
    <w:p>
      <w:pPr>
        <w:spacing w:after="0" w:line="132"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166"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128905</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368"/>
          </w:cols>
          <w:pgMar w:left="1192" w:top="112" w:right="339" w:bottom="1440" w:gutter="0" w:footer="0" w:header="0"/>
        </w:sectPr>
      </w:pPr>
    </w:p>
    <w:bookmarkStart w:id="46" w:name="page47"/>
    <w:bookmarkEnd w:id="46"/>
    <w:p>
      <w:pPr>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1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February 13, 2024, the date of the Interim Financial Statements and Interim MD&amp;A.</w:t>
      </w:r>
    </w:p>
    <w:p>
      <w:pPr>
        <w:spacing w:after="0" w:line="14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13, 2024, the Corporation announced that the FDA has granted Breakthrough Therapy Designation to CYB003, the Corporation's proprietary deuterated psilocybin analog in development for the adjunctive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14, 2024, the Corporation announced a positive End-of-Phase 2 meeting with the FDA for CYB003.</w:t>
      </w:r>
    </w:p>
    <w:p>
      <w:pPr>
        <w:spacing w:after="0" w:line="16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15, 2024, the Corporation announced the initiation of a Phase 2 proof-of-concept study of CYB004, its proprietary DMT molecule in development for the treatment of Generalized Anxiety Disorder. In January 2024, the FDA cleared Cybin's Investigational New Drug application for CYB004.</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19, 2024, the Corporation announced the closing of the Private Placement."</w:t>
      </w:r>
    </w:p>
    <w:p>
      <w:pPr>
        <w:spacing w:after="0" w:line="1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first paragraph under the section titled "Use of Proceeds" and replacing it with the following:</w:t>
      </w:r>
    </w:p>
    <w:p>
      <w:pPr>
        <w:spacing w:after="0" w:line="11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section title and accompanying text directly under the section titled "Use of Proceeds":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17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The Prospectus may also from time to time, relate to the Offering of Securities by way of a secondary offering (each, a "</w:t>
      </w:r>
      <w:r>
        <w:rPr>
          <w:rFonts w:ascii="Times New Roman" w:cs="Times New Roman" w:eastAsia="Times New Roman" w:hAnsi="Times New Roman"/>
          <w:sz w:val="21"/>
          <w:szCs w:val="21"/>
          <w:b w:val="1"/>
          <w:bCs w:val="1"/>
          <w:color w:val="auto"/>
        </w:rPr>
        <w:t>Secondary Offering</w:t>
      </w:r>
      <w:r>
        <w:rPr>
          <w:rFonts w:ascii="Times New Roman" w:cs="Times New Roman" w:eastAsia="Times New Roman" w:hAnsi="Times New Roman"/>
          <w:sz w:val="21"/>
          <w:szCs w:val="21"/>
          <w:color w:val="auto"/>
        </w:rPr>
        <w:t>")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w:t>
      </w:r>
    </w:p>
    <w:p>
      <w:pPr>
        <w:spacing w:after="0" w:line="3" w:lineRule="exact"/>
        <w:rPr>
          <w:sz w:val="20"/>
          <w:szCs w:val="20"/>
          <w:color w:val="auto"/>
        </w:rPr>
      </w:pPr>
    </w:p>
    <w:p>
      <w:pPr>
        <w:jc w:val="both"/>
        <w:ind w:left="660" w:hanging="4"/>
        <w:spacing w:after="0" w:line="231" w:lineRule="auto"/>
        <w:tabs>
          <w:tab w:leader="none" w:pos="105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"Plan of Distribution" and replacing it with the following: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$400,000,000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3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4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Shareholders may sell Securities to or through underwriters or dealers purchasing as principals and may also sell Securities to one or more purchasers directly, through statutory exemptions, or through agents designated from time to time.</w:t>
      </w:r>
    </w:p>
    <w:p>
      <w:pPr>
        <w:spacing w:after="0" w:line="154"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4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41"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54"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4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22,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has filed with the SEC an appointment of agent for service of process on Form F-X relating to the registration statement of which this Prospectus forms a part.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dated December 22, 2023 to the Short Form Base Shelf Prospectus dated August 17, 2023</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obtained on request without charge from the Secretary of Cybin Inc. at 100 King Street West, Suite 5600, Toronto, Ontario M5X 1C9, telephone 1-866-292-4601, and are also available electronically at www.sedarplus.ca.</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122555</wp:posOffset>
            </wp:positionV>
            <wp:extent cx="1517015" cy="986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0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short form base shelf prospectus dated August 17, 2023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1 to increase the aggregate amount of Securities that may be offered from time to time under the Prospectus from $160,000,000 to $400,000,000. Capitalized terms used but not otherwise defined in this Amendment No. 1 have the meanings ascribed thereto in the Prospectus.</w:t>
      </w:r>
    </w:p>
    <w:p>
      <w:pPr>
        <w:spacing w:after="0" w:line="1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1" w:name="page52"/>
    <w:bookmarkEnd w:id="51"/>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1.</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"$160,000,000" contained on the face page of the Prospectus and substituting "$400,000,000" therefor. The first paragraph of the text on the face page of the Prospectus, as so amended, is deleted and replaced with the following:</w:t>
      </w:r>
    </w:p>
    <w:p>
      <w:pPr>
        <w:spacing w:after="0" w:line="129"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"$160,000,000" contained in the first sentence of the first paragraph under the heading "Plan of Distribution" on page 28, so that such sentence, as so amended, reads as follows:</w:t>
      </w:r>
    </w:p>
    <w:p>
      <w:pPr>
        <w:spacing w:after="0" w:line="131" w:lineRule="exact"/>
        <w:rPr>
          <w:sz w:val="20"/>
          <w:szCs w:val="20"/>
          <w:color w:val="auto"/>
        </w:rPr>
      </w:pPr>
    </w:p>
    <w:p>
      <w:pPr>
        <w:jc w:val="both"/>
        <w:ind w:left="660" w:right="20"/>
        <w:spacing w:after="0" w:line="244"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commencing on August 17, 2023, that this Prospectus, including any amendments and supplements hereto, remains valid, offer for sale and sell up to an aggregate of $400,000,000 in Securities hereunder."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The Prospectus is further amended by deleting the third paragraph on page iv of the Prospectus, and replacing with the following:</w:t>
      </w:r>
    </w:p>
    <w:p>
      <w:pPr>
        <w:spacing w:after="0" w:line="17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“Douglas Drysdale, an officer of the Corporation, and George Tziras, a director and officer of the Corporation, each reside outside of Canada. They have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1"/>
          <w:szCs w:val="21"/>
          <w:i w:val="1"/>
          <w:iCs w:val="1"/>
          <w:color w:val="auto"/>
        </w:rPr>
        <w:t>“Risk Factors – Risks Related to an Offering – Enforcement of Civil Liabilities”.</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42"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14" w:lineRule="exact"/>
        <w:rPr>
          <w:sz w:val="20"/>
          <w:szCs w:val="20"/>
          <w:color w:val="auto"/>
        </w:rPr>
      </w:pPr>
    </w:p>
    <w:p>
      <w:pPr>
        <w:ind w:left="1300" w:hanging="320"/>
        <w:spacing w:after="0" w:line="262"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17"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165"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31"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17"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32"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39"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4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jc w:val="both"/>
        <w:ind w:left="1300" w:hanging="320"/>
        <w:spacing w:after="0" w:line="241" w:lineRule="auto"/>
        <w:tabs>
          <w:tab w:leader="none" w:pos="134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ind w:left="5580" w:right="20" w:hanging="4600"/>
        <w:spacing w:after="0" w:line="424" w:lineRule="auto"/>
        <w:tabs>
          <w:tab w:leader="none" w:pos="135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October 25, 2023 with respect to the closing of the Arrangement with Small Pharma;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jc w:val="both"/>
        <w:ind w:left="1300" w:right="20" w:hanging="320"/>
        <w:spacing w:after="0" w:line="244" w:lineRule="auto"/>
        <w:tabs>
          <w:tab w:leader="none" w:pos="134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 and</w:t>
      </w:r>
    </w:p>
    <w:p>
      <w:pPr>
        <w:spacing w:after="0" w:line="133"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1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1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November 14, 2023, the date of the Interim Financial Statements and Interim MD&amp;A.</w:t>
      </w:r>
    </w:p>
    <w:p>
      <w:pPr>
        <w:spacing w:after="0" w:line="13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On November 30, 2023, the Corporation announced positive Phase 2 topline safety and efficacy data for CYB0003, its proprietary deuterated psilocybin analog, being developed for the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On December 6, 2023, the Corporation announced that the United States Patent and Trademark Office had granted U.S. patent 11,834,410 in support of its CYB003 program. The patent, which is expected to provide exclusivity until at least 2041, includes composition of matter claims to pharmaceutical compositions within the Corporation’s proprietary deuterated psilocybin analog program, CYB003, as well as claims directed toward the therapeutic treatment of MDD, treatment-resistant depression, and alcohol use disorder.”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16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1"/>
          <w:szCs w:val="21"/>
          <w:i w:val="1"/>
          <w:iCs w:val="1"/>
          <w:color w:val="auto"/>
        </w:rPr>
        <w:t>“Risk Factors – Risks Related to an Offering – Discretion over the Use of Proceeds”</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As at December 21, 2023, the Corporation had cash resources, being cash and an HST receivable, of approximately $39,290,000. As at December 21, 2023, the Corporation anticipates that it will require approximately $39,290,000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3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tbl>
      <w:tblPr>
        <w:tblLayout w:type="fixed"/>
        <w:tblInd w:w="32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12 Month Use</w:t>
            </w:r>
          </w:p>
        </w:tc>
        <w:tc>
          <w:tcPr>
            <w:tcW w:w="19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88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Timeline for</w:t>
            </w:r>
          </w:p>
        </w:tc>
        <w:tc>
          <w:tcPr>
            <w:tcW w:w="0" w:type="dxa"/>
            <w:vAlign w:val="bottom"/>
          </w:tcPr>
          <w:p>
            <w:pPr>
              <w:spacing w:after="0"/>
              <w:rPr>
                <w:sz w:val="1"/>
                <w:szCs w:val="1"/>
                <w:color w:val="auto"/>
              </w:rPr>
            </w:pPr>
          </w:p>
        </w:tc>
      </w:tr>
      <w:tr>
        <w:trPr>
          <w:trHeight w:val="270"/>
        </w:trPr>
        <w:tc>
          <w:tcPr>
            <w:tcW w:w="5740" w:type="dxa"/>
            <w:vAlign w:val="bottom"/>
            <w:vMerge w:val="continue"/>
          </w:tcPr>
          <w:p>
            <w:pPr>
              <w:spacing w:after="0"/>
              <w:rPr>
                <w:sz w:val="23"/>
                <w:szCs w:val="23"/>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3"/>
                <w:szCs w:val="23"/>
                <w:color w:val="auto"/>
              </w:rPr>
            </w:pPr>
          </w:p>
        </w:tc>
        <w:tc>
          <w:tcPr>
            <w:tcW w:w="1900" w:type="dxa"/>
            <w:vAlign w:val="bottom"/>
            <w:gridSpan w:val="3"/>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09"/>
        </w:trPr>
        <w:tc>
          <w:tcPr>
            <w:tcW w:w="574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1700" w:type="dxa"/>
            <w:vAlign w:val="bottom"/>
            <w:tcBorders>
              <w:top w:val="single" w:sz="8" w:color="auto"/>
            </w:tcBorders>
            <w:shd w:val="clear" w:color="auto" w:fill="E6EFFF"/>
          </w:tcPr>
          <w:p>
            <w:pPr>
              <w:spacing w:after="0"/>
              <w:rPr>
                <w:sz w:val="18"/>
                <w:szCs w:val="18"/>
                <w:color w:val="auto"/>
              </w:rPr>
            </w:pPr>
          </w:p>
        </w:tc>
        <w:tc>
          <w:tcPr>
            <w:tcW w:w="180" w:type="dxa"/>
            <w:vAlign w:val="bottom"/>
            <w:tcBorders>
              <w:top w:val="single" w:sz="8" w:color="E6EFFF"/>
            </w:tcBorders>
            <w:shd w:val="clear" w:color="auto" w:fill="E6EFFF"/>
          </w:tcPr>
          <w:p>
            <w:pPr>
              <w:spacing w:after="0"/>
              <w:rPr>
                <w:sz w:val="18"/>
                <w:szCs w:val="18"/>
                <w:color w:val="auto"/>
              </w:rPr>
            </w:pPr>
          </w:p>
        </w:tc>
        <w:tc>
          <w:tcPr>
            <w:tcW w:w="1320" w:type="dxa"/>
            <w:vAlign w:val="bottom"/>
            <w:tcBorders>
              <w:top w:val="single" w:sz="8" w:color="auto"/>
            </w:tcBorders>
            <w:shd w:val="clear" w:color="auto" w:fill="E6EFFF"/>
          </w:tcPr>
          <w:p>
            <w:pPr>
              <w:spacing w:after="0"/>
              <w:rPr>
                <w:sz w:val="18"/>
                <w:szCs w:val="18"/>
                <w:color w:val="auto"/>
              </w:rPr>
            </w:pPr>
          </w:p>
        </w:tc>
        <w:tc>
          <w:tcPr>
            <w:tcW w:w="380" w:type="dxa"/>
            <w:vAlign w:val="bottom"/>
            <w:tcBorders>
              <w:top w:val="single" w:sz="8" w:color="auto"/>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Complete Phase 1/2a topline safety and efficacy data readout for CYB003</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MDD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893,000</w:t>
            </w:r>
          </w:p>
        </w:tc>
        <w:tc>
          <w:tcPr>
            <w:tcW w:w="1900" w:type="dxa"/>
            <w:vAlign w:val="bottom"/>
            <w:gridSpan w:val="3"/>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57"/>
        </w:trPr>
        <w:tc>
          <w:tcPr>
            <w:tcW w:w="5740" w:type="dxa"/>
            <w:vAlign w:val="bottom"/>
          </w:tcPr>
          <w:p>
            <w:pPr>
              <w:ind w:left="260"/>
              <w:spacing w:after="0" w:line="256" w:lineRule="exact"/>
              <w:rPr>
                <w:sz w:val="20"/>
                <w:szCs w:val="20"/>
                <w:color w:val="auto"/>
              </w:rPr>
            </w:pPr>
            <w:r>
              <w:rPr>
                <w:rFonts w:ascii="Times New Roman" w:cs="Times New Roman" w:eastAsia="Times New Roman" w:hAnsi="Times New Roman"/>
                <w:sz w:val="18"/>
                <w:szCs w:val="18"/>
                <w:color w:val="auto"/>
              </w:rPr>
              <w:t>Phase 2 data assessing durability of effect of CYB003 at 12 weeks</w:t>
            </w:r>
            <w:r>
              <w:rPr>
                <w:rFonts w:ascii="Times New Roman" w:cs="Times New Roman" w:eastAsia="Times New Roman" w:hAnsi="Times New Roman"/>
                <w:sz w:val="29"/>
                <w:szCs w:val="29"/>
                <w:color w:val="auto"/>
                <w:vertAlign w:val="superscript"/>
              </w:rPr>
              <w:t>(5)</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3 study of CYB003 in MDD</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8,940,000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215,000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(6)</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2 proof-of-concept study</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1,239,000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Initiate a subcutaneous formulation study</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170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preclinical development of phenethylamine drug candidate</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(7)</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(8)</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27,082,000</w:t>
            </w:r>
          </w:p>
        </w:tc>
        <w:tc>
          <w:tcPr>
            <w:tcW w:w="13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39,290,000</w:t>
            </w:r>
          </w:p>
        </w:tc>
        <w:tc>
          <w:tcPr>
            <w:tcW w:w="1320" w:type="dxa"/>
            <w:vAlign w:val="bottom"/>
            <w:shd w:val="clear" w:color="auto" w:fill="E6EFFF"/>
          </w:tcPr>
          <w:p>
            <w:pPr>
              <w:spacing w:after="0"/>
              <w:rPr>
                <w:sz w:val="18"/>
                <w:szCs w:val="18"/>
                <w:color w:val="auto"/>
              </w:rPr>
            </w:pPr>
          </w:p>
        </w:tc>
        <w:tc>
          <w:tcPr>
            <w:tcW w:w="3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 w:lineRule="exact"/>
        <w:rPr>
          <w:sz w:val="20"/>
          <w:szCs w:val="20"/>
          <w:color w:val="auto"/>
        </w:rPr>
      </w:pPr>
    </w:p>
    <w:p>
      <w:pPr>
        <w:jc w:val="both"/>
        <w:ind w:left="540" w:hanging="332"/>
        <w:spacing w:after="0" w:line="230" w:lineRule="auto"/>
        <w:tabs>
          <w:tab w:leader="none" w:pos="5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ind w:left="560" w:hanging="352"/>
        <w:spacing w:after="0" w:line="230" w:lineRule="auto"/>
        <w:tabs>
          <w:tab w:leader="none" w:pos="5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1.37:1.</w:t>
      </w:r>
    </w:p>
    <w:p>
      <w:pPr>
        <w:ind w:left="540" w:right="20" w:hanging="332"/>
        <w:spacing w:after="0" w:line="230" w:lineRule="auto"/>
        <w:tabs>
          <w:tab w:leader="none" w:pos="5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2023 ATM Program and August 2023 Prospectus Supplement.</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milestone, being the receipt of Phase 2 data assessing durability of the effect of CYB003 at 12 weeks, is derived from the results of the Corporation’s Phase 1/2a study and, therefore, the Corporation has not allocated additional funds for this milestone.</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Q3/Q4 2023. The Corporation now expects to receive the topline data readout in Q1 2024, due to certain timing issues.</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Q4 2023. Due to the Corporation prioritizing the progression of its Deuterated Psilocybin Analog Program and Deuterated Dimethyltryptamine Program, it now expects to complete preclinical development of a phenethylamine drug candidate in Q1 2024.</w:t>
      </w:r>
    </w:p>
    <w:p>
      <w:pPr>
        <w:spacing w:after="0" w:line="2" w:lineRule="exact"/>
        <w:rPr>
          <w:rFonts w:ascii="Times New Roman" w:cs="Times New Roman" w:eastAsia="Times New Roman" w:hAnsi="Times New Roman"/>
          <w:sz w:val="22"/>
          <w:szCs w:val="22"/>
          <w:color w:val="auto"/>
        </w:rPr>
      </w:pPr>
    </w:p>
    <w:p>
      <w:pPr>
        <w:jc w:val="both"/>
        <w:ind w:left="540" w:hanging="332"/>
        <w:spacing w:after="0" w:line="234" w:lineRule="auto"/>
        <w:tabs>
          <w:tab w:leader="none" w:pos="5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46" w:lineRule="exact"/>
        <w:rPr>
          <w:sz w:val="20"/>
          <w:szCs w:val="20"/>
          <w:color w:val="auto"/>
        </w:rPr>
      </w:pPr>
    </w:p>
    <w:p>
      <w:pPr>
        <w:jc w:val="both"/>
        <w:ind w:left="320"/>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35"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As at December 21,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December 21, 2023 in the amount of approximately $39,290,000.</w:t>
      </w:r>
    </w:p>
    <w:p>
      <w:pPr>
        <w:sectPr>
          <w:pgSz w:w="11900" w:h="16838" w:orient="portrait"/>
          <w:cols w:equalWidth="0" w:num="1">
            <w:col w:w="10900"/>
          </w:cols>
          <w:pgMar w:left="660" w:top="360" w:right="339" w:bottom="1440" w:gutter="0" w:footer="0" w:header="0"/>
        </w:sectPr>
      </w:pPr>
    </w:p>
    <w:p>
      <w:pPr>
        <w:spacing w:after="0" w:line="14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151130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660" w:top="360" w:right="339" w:bottom="1440" w:gutter="0" w:footer="0" w:header="0"/>
          <w:type w:val="continuous"/>
        </w:sectPr>
      </w:pPr>
    </w:p>
    <w:bookmarkStart w:id="55" w:name="page56"/>
    <w:bookmarkEnd w:id="55"/>
    <w:p>
      <w:pPr>
        <w:jc w:val="both"/>
        <w:ind w:left="66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or incorporated by reference in, this Prospectus.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1"/>
          <w:szCs w:val="21"/>
          <w:i w:val="1"/>
          <w:iCs w:val="1"/>
          <w:color w:val="auto"/>
        </w:rPr>
        <w:t>“Risk Factors – Risks Related to an Offering - Negative Operating Cash Flow and Going Concern”.</w:t>
      </w:r>
      <w:r>
        <w:rPr>
          <w:rFonts w:ascii="Times New Roman" w:cs="Times New Roman" w:eastAsia="Times New Roman" w:hAnsi="Times New Roman"/>
          <w:sz w:val="21"/>
          <w:szCs w:val="21"/>
          <w:color w:val="auto"/>
        </w:rPr>
        <w: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as the second paragraph under the section titled “Auditors, Transfer Agent and Registrar”:</w:t>
      </w:r>
    </w:p>
    <w:p>
      <w:pPr>
        <w:spacing w:after="0" w:line="131"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MNP LLP, Chartered Professional Accountants, are the former auditors of Small Pharma and have confirmed that they are independent of Small Pharma within the meaning of the relevant rules and related interpretations prescribed by the relevant professional bodies in Canada and any applicable legislation or regulation. Neither MNP LLP nor any designated professional thereof, had any registered or beneficial interest in any securities or other property of Small Pharma at the time they prepared the relevant financial statements incorporated by reference in this Prospectus or at any time thereafter.”</w:t>
      </w:r>
    </w:p>
    <w:p>
      <w:pPr>
        <w:spacing w:after="0" w:line="1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August 17,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5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jc w:val="both"/>
        <w:spacing w:after="0" w:line="238" w:lineRule="auto"/>
        <w:rPr>
          <w:sz w:val="20"/>
          <w:szCs w:val="20"/>
          <w:color w:val="auto"/>
        </w:rPr>
      </w:pPr>
      <w:r>
        <w:rPr>
          <w:rFonts w:ascii="Times New Roman" w:cs="Times New Roman" w:eastAsia="Times New Roman" w:hAnsi="Times New Roman"/>
          <w:sz w:val="22"/>
          <w:szCs w:val="22"/>
          <w:i w:val="1"/>
          <w:iCs w:val="1"/>
          <w:color w:val="FF0000"/>
        </w:rPr>
        <w:t>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46"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18"/>
          <w:szCs w:val="18"/>
          <w:u w:val="single" w:color="auto"/>
          <w:color w:val="auto"/>
        </w:rPr>
        <w:t>New Issue</w:t>
      </w:r>
      <w:r>
        <w:rPr>
          <w:sz w:val="20"/>
          <w:szCs w:val="20"/>
          <w:color w:val="auto"/>
        </w:rPr>
        <w:tab/>
      </w:r>
      <w:r>
        <w:rPr>
          <w:rFonts w:ascii="Times New Roman" w:cs="Times New Roman" w:eastAsia="Times New Roman" w:hAnsi="Times New Roman"/>
          <w:sz w:val="18"/>
          <w:szCs w:val="18"/>
          <w:color w:val="auto"/>
        </w:rPr>
        <w:t>August 17, 2023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125095</wp:posOffset>
            </wp:positionV>
            <wp:extent cx="1405890" cy="8401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$160,000,000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$160,000,000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8" w:name="page59"/>
    <w:bookmarkEnd w:id="58"/>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The Securities may be sold through underwriters or dealers, directly by the Corporation pursuant to applicable statutory exemptions, or through designated agents from time to time.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3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 at prices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NEO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August 16, 2023, the last trading day prior to the filing of this Prospectus, the closing prices of the Common Shares listed on the NEO and the NYSE American were $0.44 and US$0.323, respectively.</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 Risks Related to an Offering - Enforcement of Civil Liabilities"</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42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042920"/>
                    </a:xfrm>
                    <a:prstGeom prst="rect">
                      <a:avLst/>
                    </a:prstGeom>
                    <a:noFill/>
                  </pic:spPr>
                </pic:pic>
              </a:graphicData>
            </a:graphic>
          </wp:anchor>
        </w:drawing>
      </w:r>
    </w:p>
    <w:p>
      <w:pPr>
        <w:spacing w:after="0" w:line="224"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3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psilocybin is currently a Schedule III drug. Under the CSA, psilocybin is currently a Schedule I drug.</w:t>
      </w:r>
    </w:p>
    <w:p>
      <w:pPr>
        <w:spacing w:after="0" w:line="130"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52" w:lineRule="exact"/>
        <w:rPr>
          <w:sz w:val="20"/>
          <w:szCs w:val="20"/>
          <w:color w:val="auto"/>
        </w:rPr>
      </w:pPr>
    </w:p>
    <w:p>
      <w:pPr>
        <w:jc w:val="both"/>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1949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519493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128905</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387" w:right="43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gridSpan w:val="4"/>
          </w:tcPr>
          <w:p>
            <w:pPr>
              <w:ind w:left="246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GENERAL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244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40" w:type="dxa"/>
            <w:vAlign w:val="bottom"/>
            <w:shd w:val="clear" w:color="auto" w:fill="000000"/>
          </w:tcPr>
          <w:p>
            <w:pPr>
              <w:spacing w:after="0"/>
              <w:rPr>
                <w:sz w:val="6"/>
                <w:szCs w:val="6"/>
                <w:color w:val="auto"/>
              </w:rPr>
            </w:pPr>
          </w:p>
        </w:tc>
        <w:tc>
          <w:tcPr>
            <w:tcW w:w="27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0000FF"/>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18" w:lineRule="exact"/>
        <w:rPr>
          <w:sz w:val="20"/>
          <w:szCs w:val="20"/>
          <w:color w:val="auto"/>
        </w:rPr>
      </w:pPr>
    </w:p>
    <w:p>
      <w:pPr>
        <w:jc w:val="center"/>
        <w:ind w:right="40"/>
        <w:spacing w:after="0" w:line="403" w:lineRule="auto"/>
        <w:rPr>
          <w:sz w:val="20"/>
          <w:szCs w:val="20"/>
          <w:color w:val="auto"/>
        </w:rPr>
      </w:pPr>
      <w:r>
        <w:rPr>
          <w:rFonts w:ascii="Times New Roman" w:cs="Times New Roman" w:eastAsia="Times New Roman" w:hAnsi="Times New Roman"/>
          <w:sz w:val="22"/>
          <w:szCs w:val="22"/>
          <w:color w:val="auto"/>
        </w:rPr>
        <w:t xml:space="preserve">In this Prospectus, unless stated otherwise or the context requires otherwise, all dollar amounts are expressed in Canadian dollars. </w:t>
      </w:r>
      <w:r>
        <w:rPr>
          <w:rFonts w:ascii="Times New Roman" w:cs="Times New Roman" w:eastAsia="Times New Roman" w:hAnsi="Times New Roman"/>
          <w:sz w:val="22"/>
          <w:szCs w:val="22"/>
          <w:b w:val="1"/>
          <w:bCs w:val="1"/>
          <w:color w:val="auto"/>
        </w:rPr>
        <w:t>CAUTIONARY NOTE REGARDING FORWARD-LOOKING INFORMATION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jc w:val="both"/>
        <w:spacing w:after="0" w:line="231" w:lineRule="auto"/>
        <w:rPr>
          <w:sz w:val="20"/>
          <w:szCs w:val="20"/>
          <w:color w:val="auto"/>
        </w:rPr>
      </w:pPr>
      <w:r>
        <w:rPr>
          <w:rFonts w:ascii="Times New Roman" w:cs="Times New Roman" w:eastAsia="Times New Roman" w:hAnsi="Times New Roman"/>
          <w:sz w:val="22"/>
          <w:szCs w:val="22"/>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3" w:lineRule="exact"/>
        <w:rPr>
          <w:sz w:val="20"/>
          <w:szCs w:val="20"/>
          <w:color w:val="auto"/>
        </w:rPr>
      </w:pPr>
    </w:p>
    <w:p>
      <w:pPr>
        <w:ind w:left="660" w:hanging="328"/>
        <w:spacing w:after="0" w:line="241" w:lineRule="auto"/>
        <w:tabs>
          <w:tab w:leader="none" w:pos="67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60" w:hanging="328"/>
        <w:spacing w:after="0" w:line="230" w:lineRule="auto"/>
        <w:tabs>
          <w:tab w:leader="none" w:pos="67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7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7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hanging="328"/>
        <w:spacing w:after="0" w:line="230" w:lineRule="auto"/>
        <w:tabs>
          <w:tab w:leader="none" w:pos="67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sectPr>
          <w:pgSz w:w="11900" w:h="16838" w:orient="portrait"/>
          <w:cols w:equalWidth="0" w:num="1">
            <w:col w:w="11240"/>
          </w:cols>
          <w:pgMar w:left="320" w:top="112"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5" w:name="page66"/>
    <w:bookmarkEnd w:id="65"/>
    <w:p>
      <w:pPr>
        <w:ind w:left="660" w:right="20" w:hanging="328"/>
        <w:spacing w:after="0" w:line="259" w:lineRule="auto"/>
        <w:tabs>
          <w:tab w:leader="none" w:pos="67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4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14" w:lineRule="exact"/>
        <w:rPr>
          <w:sz w:val="20"/>
          <w:szCs w:val="20"/>
          <w:color w:val="auto"/>
        </w:rPr>
      </w:pPr>
    </w:p>
    <w:p>
      <w:pPr>
        <w:ind w:left="660" w:hanging="396"/>
        <w:spacing w:after="0" w:line="262" w:lineRule="auto"/>
        <w:tabs>
          <w:tab w:leader="none" w:pos="6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together with the auditor’s report thereon;</w:t>
      </w:r>
    </w:p>
    <w:p>
      <w:pPr>
        <w:spacing w:after="0" w:line="131" w:lineRule="exact"/>
        <w:rPr>
          <w:rFonts w:ascii="Times New Roman" w:cs="Times New Roman" w:eastAsia="Times New Roman" w:hAnsi="Times New Roman"/>
          <w:sz w:val="22"/>
          <w:szCs w:val="22"/>
          <w:color w:val="auto"/>
        </w:rPr>
      </w:pPr>
    </w:p>
    <w:p>
      <w:pPr>
        <w:ind w:left="680" w:hanging="416"/>
        <w:spacing w:after="0"/>
        <w:tabs>
          <w:tab w:leader="none" w:pos="6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165"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660" w:right="20" w:hanging="396"/>
        <w:spacing w:after="0" w:line="262" w:lineRule="auto"/>
        <w:tabs>
          <w:tab w:leader="none" w:pos="6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2023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13, 2022 relating to an annual meeting of shareholders of the Corporation held on August 15, 2022;</w:t>
      </w:r>
    </w:p>
    <w:p>
      <w:pPr>
        <w:spacing w:after="0" w:line="117" w:lineRule="exact"/>
        <w:rPr>
          <w:rFonts w:ascii="Times New Roman" w:cs="Times New Roman" w:eastAsia="Times New Roman" w:hAnsi="Times New Roman"/>
          <w:sz w:val="22"/>
          <w:szCs w:val="22"/>
          <w:color w:val="auto"/>
        </w:rPr>
      </w:pPr>
    </w:p>
    <w:p>
      <w:pPr>
        <w:jc w:val="both"/>
        <w:ind w:left="660" w:hanging="396"/>
        <w:spacing w:after="0" w:line="238" w:lineRule="auto"/>
        <w:tabs>
          <w:tab w:leader="none" w:pos="6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(the “</w:t>
      </w:r>
      <w:r>
        <w:rPr>
          <w:rFonts w:ascii="Times New Roman" w:cs="Times New Roman" w:eastAsia="Times New Roman" w:hAnsi="Times New Roman"/>
          <w:sz w:val="22"/>
          <w:szCs w:val="22"/>
          <w:b w:val="1"/>
          <w:bCs w:val="1"/>
          <w:color w:val="auto"/>
        </w:rPr>
        <w:t>May 2023 Prospectus Supplement</w:t>
      </w:r>
      <w:r>
        <w:rPr>
          <w:rFonts w:ascii="Times New Roman" w:cs="Times New Roman" w:eastAsia="Times New Roman" w:hAnsi="Times New Roman"/>
          <w:sz w:val="22"/>
          <w:szCs w:val="22"/>
          <w:color w:val="auto"/>
        </w:rPr>
        <w:t>”),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 and</w:t>
      </w:r>
    </w:p>
    <w:p>
      <w:pPr>
        <w:spacing w:after="0" w:line="136" w:lineRule="exact"/>
        <w:rPr>
          <w:rFonts w:ascii="Times New Roman" w:cs="Times New Roman" w:eastAsia="Times New Roman" w:hAnsi="Times New Roman"/>
          <w:sz w:val="22"/>
          <w:szCs w:val="22"/>
          <w:color w:val="auto"/>
        </w:rPr>
      </w:pPr>
    </w:p>
    <w:p>
      <w:pPr>
        <w:jc w:val="both"/>
        <w:ind w:left="660" w:hanging="396"/>
        <w:spacing w:after="0" w:line="244" w:lineRule="auto"/>
        <w:tabs>
          <w:tab w:leader="none" w:pos="6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at a price of US$0.34 per Unit for gross proceeds of US$8,250,000 pursuant to a prospectus supplement dated August 1, 2023 to the 2021 Base Shelf Prospectus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of which this Prospectus forms a part. In addition, any other report on Form 6-K and the exhibits thereto filed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ectPr>
          <w:pgSz w:w="11900" w:h="16838" w:orient="portrait"/>
          <w:cols w:equalWidth="0" w:num="1">
            <w:col w:w="11240"/>
          </w:cols>
          <w:pgMar w:left="320" w:top="108" w:right="339"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7" w:name="page68"/>
    <w:bookmarkEnd w:id="67"/>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0000FF"/>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0000FF"/>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novel formulation approaches and treatment regimens.</w:t>
      </w:r>
      <w:r>
        <w:rPr>
          <w:rFonts w:ascii="Times New Roman" w:cs="Times New Roman" w:eastAsia="Times New Roman" w:hAnsi="Times New Roman"/>
          <w:sz w:val="35"/>
          <w:szCs w:val="35"/>
          <w:color w:val="auto"/>
          <w:vertAlign w:val="superscript"/>
        </w:rPr>
        <w:t>1</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both"/>
        <w:spacing w:after="0" w:line="251"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21"/>
          <w:szCs w:val="21"/>
          <w:b w:val="1"/>
          <w:bCs w:val="1"/>
          <w:color w:val="auto"/>
        </w:rPr>
        <w:t>DMT</w:t>
      </w:r>
      <w:r>
        <w:rPr>
          <w:rFonts w:ascii="Times New Roman" w:cs="Times New Roman" w:eastAsia="Times New Roman" w:hAnsi="Times New Roman"/>
          <w:sz w:val="21"/>
          <w:szCs w:val="21"/>
          <w:color w:val="auto"/>
        </w:rPr>
        <w:t>"), CYB005, phenethylamine derivatives, and an expansive list of preclinical molecules to facilitate future drug development opportunities.</w:t>
      </w:r>
    </w:p>
    <w:p>
      <w:pPr>
        <w:spacing w:after="0" w:line="128" w:lineRule="exact"/>
        <w:rPr>
          <w:sz w:val="20"/>
          <w:szCs w:val="20"/>
          <w:color w:val="auto"/>
        </w:rPr>
      </w:pPr>
    </w:p>
    <w:p>
      <w:pPr>
        <w:jc w:val="both"/>
        <w:ind w:firstLine="54"/>
        <w:spacing w:after="0" w:line="258" w:lineRule="auto"/>
        <w:rPr>
          <w:sz w:val="20"/>
          <w:szCs w:val="20"/>
          <w:color w:val="auto"/>
        </w:rPr>
      </w:pPr>
      <w:r>
        <w:rPr>
          <w:rFonts w:ascii="Times New Roman" w:cs="Times New Roman" w:eastAsia="Times New Roman" w:hAnsi="Times New Roman"/>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 ("</w:t>
      </w:r>
      <w:r>
        <w:rPr>
          <w:rFonts w:ascii="Times New Roman" w:cs="Times New Roman" w:eastAsia="Times New Roman" w:hAnsi="Times New Roman"/>
          <w:sz w:val="22"/>
          <w:szCs w:val="22"/>
          <w:b w:val="1"/>
          <w:bCs w:val="1"/>
          <w:color w:val="auto"/>
        </w:rPr>
        <w:t>SC</w:t>
      </w:r>
      <w:r>
        <w:rPr>
          <w:rFonts w:ascii="Times New Roman" w:cs="Times New Roman" w:eastAsia="Times New Roman" w:hAnsi="Times New Roman"/>
          <w:sz w:val="22"/>
          <w:szCs w:val="22"/>
          <w:color w:val="auto"/>
        </w:rPr>
        <w:t>") administration.</w:t>
      </w:r>
      <w:r>
        <w:rPr>
          <w:rFonts w:ascii="Times New Roman" w:cs="Times New Roman" w:eastAsia="Times New Roman" w:hAnsi="Times New Roman"/>
          <w:sz w:val="35"/>
          <w:szCs w:val="35"/>
          <w:color w:val="auto"/>
          <w:vertAlign w:val="superscript"/>
        </w:rPr>
        <w:t>2</w:t>
      </w:r>
    </w:p>
    <w:p>
      <w:pPr>
        <w:spacing w:after="0" w:line="5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The Corporation is also developing compounds that may have the potential to address neuroinflammation</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central nervous system disorders, and psychiatric disorders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 please see the Corporation’s Annual Information Form and Interim MD&amp;A incorporated by reference into this Prospectus.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7" w:lineRule="exact"/>
        <w:rPr>
          <w:sz w:val="20"/>
          <w:szCs w:val="20"/>
          <w:color w:val="auto"/>
        </w:rPr>
      </w:pPr>
    </w:p>
    <w:p>
      <w:pPr>
        <w:jc w:val="both"/>
        <w:ind w:firstLine="8"/>
        <w:spacing w:after="0" w:line="217" w:lineRule="auto"/>
        <w:tabs>
          <w:tab w:leader="none" w:pos="135"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0" w:lineRule="auto"/>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18"/>
          <w:szCs w:val="18"/>
          <w:color w:val="auto"/>
        </w:rPr>
        <w:t xml:space="preserve"> See footnote 1.</w:t>
      </w:r>
    </w:p>
    <w:p>
      <w:pPr>
        <w:ind w:left="160" w:hanging="152"/>
        <w:spacing w:after="0" w:line="183" w:lineRule="auto"/>
        <w:tabs>
          <w:tab w:leader="none" w:pos="160" w:val="left"/>
        </w:tabs>
        <w:numPr>
          <w:ilvl w:val="0"/>
          <w:numId w:val="2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See footnote 1.</w:t>
      </w:r>
    </w:p>
    <w:p>
      <w:pPr>
        <w:spacing w:after="0" w:line="40" w:lineRule="exact"/>
        <w:rPr>
          <w:rFonts w:ascii="Times New Roman" w:cs="Times New Roman" w:eastAsia="Times New Roman" w:hAnsi="Times New Roman"/>
          <w:sz w:val="35"/>
          <w:szCs w:val="35"/>
          <w:color w:val="auto"/>
          <w:vertAlign w:val="superscript"/>
        </w:rPr>
      </w:pPr>
    </w:p>
    <w:p>
      <w:pPr>
        <w:spacing w:after="0" w:line="182"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See footnote 1</w:t>
      </w:r>
      <w:r>
        <w:rPr>
          <w:rFonts w:ascii="Times New Roman" w:cs="Times New Roman" w:eastAsia="Times New Roman" w:hAnsi="Times New Roman"/>
          <w:sz w:val="22"/>
          <w:szCs w:val="22"/>
          <w:b w:val="1"/>
          <w:bCs w:val="1"/>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100965</wp:posOffset>
            </wp:positionV>
            <wp:extent cx="2991485" cy="31546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91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166" w:lineRule="exact"/>
        <w:rPr>
          <w:sz w:val="20"/>
          <w:szCs w:val="20"/>
          <w:color w:val="auto"/>
        </w:rPr>
      </w:pPr>
    </w:p>
    <w:p>
      <w:pPr>
        <w:jc w:val="both"/>
        <w:ind w:left="1420" w:right="1080" w:hanging="278"/>
        <w:spacing w:after="0" w:line="241" w:lineRule="auto"/>
        <w:tabs>
          <w:tab w:leader="none" w:pos="145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Adelia Therapeutics Inc.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hold certain non-voting securities of Cybin U.S. issued in connection with the acquisition of Adelia on December 14, 2020 (the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For additional information in respect of the Adelia Transaction, please see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Information Form incorporated by reference in this Prospectus Supplement.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jc w:val="both"/>
        <w:spacing w:after="0" w:line="233" w:lineRule="auto"/>
        <w:rPr>
          <w:sz w:val="20"/>
          <w:szCs w:val="20"/>
          <w:color w:val="auto"/>
        </w:rPr>
      </w:pPr>
      <w:r>
        <w:rPr>
          <w:rFonts w:ascii="Times New Roman" w:cs="Times New Roman" w:eastAsia="Times New Roman" w:hAnsi="Times New Roman"/>
          <w:sz w:val="22"/>
          <w:szCs w:val="22"/>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June 29, 2023, the Corporation announced the appointment of Aaron Bartlone as Chief Operating Officer, effective July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 Mr. Bartlone has served as Chief Operating Officer of Cybin’s U.S. subsidiary, Cybin US Holdings, Inc., since March</w:t>
      </w:r>
    </w:p>
    <w:p>
      <w:pPr>
        <w:spacing w:after="0" w:line="230" w:lineRule="auto"/>
        <w:rPr>
          <w:sz w:val="20"/>
          <w:szCs w:val="20"/>
          <w:color w:val="auto"/>
        </w:rPr>
      </w:pPr>
      <w:r>
        <w:rPr>
          <w:rFonts w:ascii="Times New Roman" w:cs="Times New Roman" w:eastAsia="Times New Roman" w:hAnsi="Times New Roman"/>
          <w:sz w:val="22"/>
          <w:szCs w:val="22"/>
          <w:color w:val="auto"/>
        </w:rPr>
        <w:t>2021. Mr. Bartlone is a United States resident and currently holds 701,070 Common Shares and options exercisable 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1,315,000 Common Shares.</w:t>
      </w:r>
    </w:p>
    <w:p>
      <w:pPr>
        <w:spacing w:after="0" w:line="1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5, 2023, the Corporation’s at-the-market equity program to issue and sell up to US$35,000,000 of Common Shares (the “</w:t>
      </w:r>
      <w:r>
        <w:rPr>
          <w:rFonts w:ascii="Times New Roman" w:cs="Times New Roman" w:eastAsia="Times New Roman" w:hAnsi="Times New Roman"/>
          <w:sz w:val="22"/>
          <w:szCs w:val="22"/>
          <w:b w:val="1"/>
          <w:bCs w:val="1"/>
          <w:color w:val="auto"/>
        </w:rPr>
        <w:t>ATM Program</w:t>
      </w:r>
      <w:r>
        <w:rPr>
          <w:rFonts w:ascii="Times New Roman" w:cs="Times New Roman" w:eastAsia="Times New Roman" w:hAnsi="Times New Roman"/>
          <w:sz w:val="22"/>
          <w:szCs w:val="22"/>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 and treatment-resistant depression.</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On August 17, 2023, the Corporation announced that it has initiated preparations for good manufacturing practices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production of a capsule formulation of CYB003, its proprietary deuterated psilocybin analog in development for the potential treatment of MDD.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 This exemption allows the holder to possess and use the controlled substance without being subject to the restrictions set out in the CDSA.</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Times New Roman" w:cs="Times New Roman" w:eastAsia="Times New Roman" w:hAnsi="Times New Roman"/>
          <w:sz w:val="21"/>
          <w:szCs w:val="21"/>
          <w:b w:val="1"/>
          <w:bCs w:val="1"/>
          <w:color w:val="auto"/>
        </w:rPr>
        <w:t>IND</w:t>
      </w:r>
      <w:r>
        <w:rPr>
          <w:rFonts w:ascii="Times New Roman" w:cs="Times New Roman" w:eastAsia="Times New Roman" w:hAnsi="Times New Roman"/>
          <w:sz w:val="21"/>
          <w:szCs w:val="21"/>
          <w:color w:val="auto"/>
        </w:rPr>
        <w:t>”) related to its Deuterated Psilocybin Analog Program upon</w:t>
      </w:r>
    </w:p>
    <w:p>
      <w:pPr>
        <w:spacing w:after="0" w:line="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completion of its pre-clinical studies and CMC development.</w:t>
      </w: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Anticipated timelines related to regulatory filings are based on reasonable assumptions informed by current knowledge and information available to the Corporation.</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216" w:lineRule="auto"/>
        <w:tabs>
          <w:tab w:leader="none" w:pos="148"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controlled drugs legislation in the United Kingdom is the Misuse of Drugs Act 1971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previously disclosed that it intended to file a clinical trial application with the United Kingdom Medicines and Healthcare products Regulatory Agency (the "</w:t>
      </w:r>
      <w:r>
        <w:rPr>
          <w:rFonts w:ascii="Times New Roman" w:cs="Times New Roman" w:eastAsia="Times New Roman" w:hAnsi="Times New Roman"/>
          <w:sz w:val="22"/>
          <w:szCs w:val="22"/>
          <w:b w:val="1"/>
          <w:bCs w:val="1"/>
          <w:color w:val="auto"/>
        </w:rPr>
        <w:t>MHRA</w:t>
      </w:r>
      <w:r>
        <w:rPr>
          <w:rFonts w:ascii="Times New Roman" w:cs="Times New Roman" w:eastAsia="Times New Roman" w:hAnsi="Times New Roman"/>
          <w:sz w:val="22"/>
          <w:szCs w:val="22"/>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5" w:lineRule="exact"/>
        <w:rPr>
          <w:sz w:val="20"/>
          <w:szCs w:val="20"/>
          <w:color w:val="auto"/>
        </w:rPr>
      </w:pPr>
    </w:p>
    <w:p>
      <w:pPr>
        <w:jc w:val="both"/>
        <w:ind w:firstLine="8"/>
        <w:spacing w:after="0" w:line="193" w:lineRule="auto"/>
        <w:tabs>
          <w:tab w:leader="none" w:pos="166" w:val="left"/>
        </w:tabs>
        <w:numPr>
          <w:ilvl w:val="0"/>
          <w:numId w:val="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 </w:t>
      </w:r>
      <w:r>
        <w:rPr>
          <w:rFonts w:ascii="Times New Roman" w:cs="Times New Roman" w:eastAsia="Times New Roman" w:hAnsi="Times New Roman"/>
          <w:sz w:val="22"/>
          <w:szCs w:val="22"/>
          <w:i w:val="1"/>
          <w:iCs w:val="1"/>
          <w:color w:val="auto"/>
        </w:rPr>
        <w:t>Pharmaceutical Products</w:t>
      </w:r>
      <w:r>
        <w:rPr>
          <w:rFonts w:ascii="Times New Roman" w:cs="Times New Roman" w:eastAsia="Times New Roman" w:hAnsi="Times New Roman"/>
          <w:sz w:val="22"/>
          <w:szCs w:val="22"/>
          <w:color w:val="auto"/>
        </w:rPr>
        <w:t>", depending on how the API is developed, certain authorizations and licences from the MHRA may be required to authorize some of the activities carried on at the UK-based facilities in relation to the API.</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All premises that are licensed in connection with the possession, supply, manufacture and/or production of controlled drugs are required to adhere to detailed security standards.</w:t>
      </w:r>
      <w:r>
        <w:rPr>
          <w:rFonts w:ascii="Times New Roman" w:cs="Times New Roman" w:eastAsia="Times New Roman" w:hAnsi="Times New Roman"/>
          <w:sz w:val="35"/>
          <w:szCs w:val="35"/>
          <w:color w:val="auto"/>
          <w:vertAlign w:val="superscript"/>
        </w:rPr>
        <w:t>8</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w:t>
      </w:r>
    </w:p>
    <w:p>
      <w:pPr>
        <w:spacing w:after="0" w:line="1" w:lineRule="exact"/>
        <w:rPr>
          <w:sz w:val="20"/>
          <w:szCs w:val="20"/>
          <w:color w:val="auto"/>
        </w:rPr>
      </w:pPr>
    </w:p>
    <w:p>
      <w:pPr>
        <w:ind w:right="4540"/>
        <w:spacing w:after="0" w:line="281" w:lineRule="auto"/>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Pharmaceutical Products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2"/>
          <w:szCs w:val="22"/>
          <w:b w:val="1"/>
          <w:bCs w:val="1"/>
          <w:color w:val="auto"/>
        </w:rPr>
        <w:t>GDP</w:t>
      </w:r>
      <w:r>
        <w:rPr>
          <w:rFonts w:ascii="Times New Roman" w:cs="Times New Roman" w:eastAsia="Times New Roman" w:hAnsi="Times New Roman"/>
          <w:sz w:val="22"/>
          <w:szCs w:val="22"/>
          <w:color w:val="auto"/>
        </w:rPr>
        <w:t>")) and to hold a related licence from the MHRA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 the API is subsequently processed will determine the licences that the UK-based facility must hold. In particular:</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if the API is just one 'ingredient' of the investigational medicinal product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4"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Authorisations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-574675</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ind w:left="200" w:hanging="192"/>
        <w:spacing w:after="0" w:line="201" w:lineRule="auto"/>
        <w:tabs>
          <w:tab w:leader="none" w:pos="200"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Security guidance for all existing or prospective Home Office Controlled Drug Licensees and/or</w:t>
      </w:r>
    </w:p>
    <w:p>
      <w:pPr>
        <w:spacing w:after="0" w:line="1" w:lineRule="exact"/>
        <w:rPr>
          <w:rFonts w:ascii="Times New Roman" w:cs="Times New Roman" w:eastAsia="Times New Roman" w:hAnsi="Times New Roman"/>
          <w:sz w:val="36"/>
          <w:szCs w:val="36"/>
          <w:color w:val="auto"/>
          <w:vertAlign w:val="superscript"/>
        </w:rPr>
      </w:pPr>
    </w:p>
    <w:p>
      <w:pPr>
        <w:spacing w:after="0" w:line="23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Precursor Chemical Licensees or Registrants; 2022; https://assets.publishing.service.gov.uk/government/uploads/system/uploads/attachment_data/file/1125889/ Security_Guidance_for_all_Businesses_and_Other_Organisations_v1.5_Nov_2022.pdf.</w:t>
      </w:r>
    </w:p>
    <w:p>
      <w:pPr>
        <w:spacing w:after="0"/>
        <w:tabs>
          <w:tab w:leader="none" w:pos="600" w:val="left"/>
          <w:tab w:leader="none" w:pos="1660" w:val="left"/>
          <w:tab w:leader="none" w:pos="2740" w:val="left"/>
          <w:tab w:leader="none" w:pos="4100" w:val="left"/>
          <w:tab w:leader="none" w:pos="5560" w:val="left"/>
          <w:tab w:leader="none" w:pos="6340" w:val="left"/>
          <w:tab w:leader="none" w:pos="7640" w:val="left"/>
          <w:tab w:leader="none" w:pos="9040" w:val="left"/>
          <w:tab w:leader="none" w:pos="10520" w:val="left"/>
        </w:tabs>
        <w:rPr>
          <w:sz w:val="20"/>
          <w:szCs w:val="20"/>
          <w:color w:val="auto"/>
        </w:rPr>
      </w:pPr>
      <w:r>
        <w:rPr>
          <w:rFonts w:ascii="Times New Roman" w:cs="Times New Roman" w:eastAsia="Times New Roman" w:hAnsi="Times New Roman"/>
          <w:sz w:val="31"/>
          <w:szCs w:val="31"/>
          <w:color w:val="auto"/>
          <w:vertAlign w:val="superscript"/>
        </w:rPr>
        <w:t>9</w:t>
      </w:r>
      <w:r>
        <w:rPr>
          <w:sz w:val="20"/>
          <w:szCs w:val="20"/>
          <w:color w:val="auto"/>
        </w:rPr>
        <w:tab/>
      </w:r>
      <w:r>
        <w:rPr>
          <w:rFonts w:ascii="Times New Roman" w:cs="Times New Roman" w:eastAsia="Times New Roman" w:hAnsi="Times New Roman"/>
          <w:sz w:val="19"/>
          <w:szCs w:val="19"/>
          <w:color w:val="auto"/>
        </w:rPr>
        <w:t>Home</w:t>
      </w:r>
      <w:r>
        <w:rPr>
          <w:sz w:val="20"/>
          <w:szCs w:val="20"/>
          <w:color w:val="auto"/>
        </w:rPr>
        <w:tab/>
      </w:r>
      <w:r>
        <w:rPr>
          <w:rFonts w:ascii="Times New Roman" w:cs="Times New Roman" w:eastAsia="Times New Roman" w:hAnsi="Times New Roman"/>
          <w:sz w:val="22"/>
          <w:szCs w:val="22"/>
          <w:color w:val="auto"/>
        </w:rPr>
        <w:t>Office</w:t>
      </w:r>
      <w:r>
        <w:rPr>
          <w:sz w:val="20"/>
          <w:szCs w:val="20"/>
          <w:color w:val="auto"/>
        </w:rPr>
        <w:tab/>
      </w:r>
      <w:r>
        <w:rPr>
          <w:rFonts w:ascii="Times New Roman" w:cs="Times New Roman" w:eastAsia="Times New Roman" w:hAnsi="Times New Roman"/>
          <w:sz w:val="22"/>
          <w:szCs w:val="22"/>
          <w:color w:val="auto"/>
        </w:rPr>
        <w:t>guidance;</w:t>
      </w:r>
      <w:r>
        <w:rPr>
          <w:sz w:val="20"/>
          <w:szCs w:val="20"/>
          <w:color w:val="auto"/>
        </w:rPr>
        <w:tab/>
      </w:r>
      <w:r>
        <w:rPr>
          <w:rFonts w:ascii="Times New Roman" w:cs="Times New Roman" w:eastAsia="Times New Roman" w:hAnsi="Times New Roman"/>
          <w:sz w:val="22"/>
          <w:szCs w:val="22"/>
          <w:color w:val="auto"/>
        </w:rPr>
        <w:t>Guidelines</w:t>
      </w:r>
      <w:r>
        <w:rPr>
          <w:sz w:val="20"/>
          <w:szCs w:val="20"/>
          <w:color w:val="auto"/>
        </w:rPr>
        <w:tab/>
      </w:r>
      <w:r>
        <w:rPr>
          <w:rFonts w:ascii="Times New Roman" w:cs="Times New Roman" w:eastAsia="Times New Roman" w:hAnsi="Times New Roman"/>
          <w:sz w:val="22"/>
          <w:szCs w:val="22"/>
          <w:color w:val="auto"/>
        </w:rPr>
        <w:t>for</w:t>
      </w:r>
      <w:r>
        <w:rPr>
          <w:sz w:val="20"/>
          <w:szCs w:val="20"/>
          <w:color w:val="auto"/>
        </w:rPr>
        <w:tab/>
      </w:r>
      <w:r>
        <w:rPr>
          <w:rFonts w:ascii="Times New Roman" w:cs="Times New Roman" w:eastAsia="Times New Roman" w:hAnsi="Times New Roman"/>
          <w:sz w:val="22"/>
          <w:szCs w:val="22"/>
          <w:color w:val="auto"/>
        </w:rPr>
        <w:t>Standard</w:t>
      </w:r>
      <w:r>
        <w:rPr>
          <w:sz w:val="20"/>
          <w:szCs w:val="20"/>
          <w:color w:val="auto"/>
        </w:rPr>
        <w:tab/>
      </w:r>
      <w:r>
        <w:rPr>
          <w:rFonts w:ascii="Times New Roman" w:cs="Times New Roman" w:eastAsia="Times New Roman" w:hAnsi="Times New Roman"/>
          <w:sz w:val="22"/>
          <w:szCs w:val="22"/>
          <w:color w:val="auto"/>
        </w:rPr>
        <w:t>Operating</w:t>
      </w:r>
      <w:r>
        <w:rPr>
          <w:sz w:val="20"/>
          <w:szCs w:val="20"/>
          <w:color w:val="auto"/>
        </w:rPr>
        <w:tab/>
      </w:r>
      <w:r>
        <w:rPr>
          <w:rFonts w:ascii="Times New Roman" w:cs="Times New Roman" w:eastAsia="Times New Roman" w:hAnsi="Times New Roman"/>
          <w:sz w:val="22"/>
          <w:szCs w:val="22"/>
          <w:color w:val="auto"/>
        </w:rPr>
        <w:t>Procedures</w:t>
      </w:r>
      <w:r>
        <w:rPr>
          <w:sz w:val="20"/>
          <w:szCs w:val="20"/>
          <w:color w:val="auto"/>
        </w:rPr>
        <w:tab/>
      </w:r>
      <w:r>
        <w:rPr>
          <w:rFonts w:ascii="Times New Roman" w:cs="Times New Roman" w:eastAsia="Times New Roman" w:hAnsi="Times New Roman"/>
          <w:sz w:val="21"/>
          <w:szCs w:val="21"/>
          <w:color w:val="auto"/>
        </w:rPr>
        <w:t>(SOPs);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https://assets.publishing.service.gov.uk/government/uploads/</w:t>
      </w:r>
    </w:p>
    <w:p>
      <w:pPr>
        <w:spacing w:after="0"/>
        <w:rPr>
          <w:sz w:val="20"/>
          <w:szCs w:val="20"/>
          <w:color w:val="auto"/>
        </w:rPr>
      </w:pPr>
      <w:r>
        <w:rPr>
          <w:rFonts w:ascii="Times New Roman" w:cs="Times New Roman" w:eastAsia="Times New Roman" w:hAnsi="Times New Roman"/>
          <w:sz w:val="22"/>
          <w:szCs w:val="22"/>
          <w:color w:val="auto"/>
        </w:rPr>
        <w:t>system/uploads/attachment_data/file/480572/StandardOpProcedure.pdf.</w:t>
      </w:r>
    </w:p>
    <w:p>
      <w:pPr>
        <w:sectPr>
          <w:pgSz w:w="11900" w:h="16838" w:orient="portrait"/>
          <w:cols w:equalWidth="0" w:num="1">
            <w:col w:w="11240"/>
          </w:cols>
          <w:pgMar w:left="320" w:top="112"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6" w:name="page77"/>
    <w:bookmarkEnd w:id="76"/>
    <w:p>
      <w:pPr>
        <w:jc w:val="both"/>
        <w:spacing w:after="0"/>
        <w:rPr>
          <w:sz w:val="20"/>
          <w:szCs w:val="20"/>
          <w:color w:val="auto"/>
        </w:rPr>
      </w:pPr>
      <w:r>
        <w:rPr>
          <w:rFonts w:ascii="Times New Roman" w:cs="Times New Roman" w:eastAsia="Times New Roman" w:hAnsi="Times New Roman"/>
          <w:sz w:val="22"/>
          <w:szCs w:val="22"/>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w:t>
      </w:r>
      <w:r>
        <w:rPr>
          <w:rFonts w:ascii="Times New Roman" w:cs="Times New Roman" w:eastAsia="Times New Roman" w:hAnsi="Times New Roman"/>
          <w:sz w:val="22"/>
          <w:szCs w:val="22"/>
          <w:i w:val="1"/>
          <w:iCs w:val="1"/>
          <w:color w:val="auto"/>
        </w:rPr>
        <w:t>P. azurescens, P. semilanceata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 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psilocybin are well known and well characterized. In conjunction with psychotherapy, psilocybin has been utilized broadly in phase II clinical trials.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Cybin has commenced research and development on the delivery of synthetic psilocybin and other psychedelics through mechanisms such as sublingual film delivery, IV, and by way of inhalation.</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jc w:val="both"/>
        <w:ind w:left="660"/>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-92710</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8" w:name="page79"/>
    <w:bookmarkEnd w:id="78"/>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pgSz w:w="11900" w:h="16838" w:orient="portrait"/>
          <w:cols w:equalWidth="0" w:num="1">
            <w:col w:w="11240"/>
          </w:cols>
          <w:pgMar w:left="320" w:top="111"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9" w:name="page80"/>
    <w:bookmarkEnd w:id="79"/>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United States, pharmaceutical manufacturers are subject to complex laws and regulations pertaining to healthcare "fraud and abuse," including, but not limited to, the Anti-Kickback Statute, the federal False Claims Act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spacing w:after="0"/>
        <w:rPr>
          <w:sz w:val="20"/>
          <w:szCs w:val="20"/>
          <w:color w:val="auto"/>
        </w:rPr>
      </w:pPr>
      <w:r>
        <w:rPr>
          <w:rFonts w:ascii="Times New Roman" w:cs="Times New Roman" w:eastAsia="Times New Roman" w:hAnsi="Times New Roman"/>
          <w:sz w:val="22"/>
          <w:szCs w:val="22"/>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Netherlands</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both"/>
        <w:spacing w:after="0" w:line="236" w:lineRule="auto"/>
        <w:rPr>
          <w:sz w:val="20"/>
          <w:szCs w:val="20"/>
          <w:color w:val="auto"/>
        </w:rPr>
      </w:pPr>
      <w:r>
        <w:rPr>
          <w:rFonts w:ascii="Times New Roman" w:cs="Times New Roman" w:eastAsia="Times New Roman" w:hAnsi="Times New Roman"/>
          <w:sz w:val="22"/>
          <w:szCs w:val="22"/>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pgSz w:w="11900" w:h="16838" w:orient="portrait"/>
          <w:cols w:equalWidth="0" w:num="1">
            <w:col w:w="11240"/>
          </w:cols>
          <w:pgMar w:left="320" w:top="111" w:right="339" w:bottom="613"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613" w:gutter="0" w:footer="0" w:header="0"/>
          <w:type w:val="continuous"/>
        </w:sectPr>
      </w:pPr>
    </w:p>
    <w:bookmarkStart w:id="82" w:name="page83"/>
    <w:bookmarkEnd w:id="82"/>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jc w:val="both"/>
        <w:spacing w:after="0"/>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share and loan capitalization of the Corporation since the date of the Interim Financial Statements.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240" w:type="dxa"/>
            <w:vAlign w:val="bottom"/>
            <w:gridSpan w:val="2"/>
          </w:tcPr>
          <w:p>
            <w:pPr>
              <w:jc w:val="center"/>
              <w:ind w:right="24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Timeline for</w:t>
            </w: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Program</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w w:val="91"/>
              </w:rPr>
              <w:t>(1)</w:t>
            </w:r>
          </w:p>
        </w:tc>
        <w:tc>
          <w:tcPr>
            <w:tcW w:w="546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14"/>
                <w:szCs w:val="14"/>
                <w:color w:val="auto"/>
              </w:rPr>
            </w:pPr>
          </w:p>
        </w:tc>
        <w:tc>
          <w:tcPr>
            <w:tcW w:w="1540" w:type="dxa"/>
            <w:vAlign w:val="bottom"/>
            <w:vMerge w:val="restart"/>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Completio</w:t>
            </w:r>
            <w:r>
              <w:rPr>
                <w:rFonts w:ascii="Times New Roman" w:cs="Times New Roman" w:eastAsia="Times New Roman" w:hAnsi="Times New Roman"/>
                <w:sz w:val="26"/>
                <w:szCs w:val="26"/>
                <w:b w:val="1"/>
                <w:bCs w:val="1"/>
                <w:color w:val="auto"/>
                <w:vertAlign w:val="superscript"/>
              </w:rPr>
              <w:t>(4)</w:t>
            </w:r>
          </w:p>
        </w:tc>
        <w:tc>
          <w:tcPr>
            <w:tcW w:w="0" w:type="dxa"/>
            <w:vAlign w:val="bottom"/>
          </w:tcPr>
          <w:p>
            <w:pPr>
              <w:spacing w:after="0"/>
              <w:rPr>
                <w:sz w:val="1"/>
                <w:szCs w:val="1"/>
                <w:color w:val="auto"/>
              </w:rPr>
            </w:pPr>
          </w:p>
        </w:tc>
      </w:tr>
      <w:tr>
        <w:trPr>
          <w:trHeight w:val="53"/>
        </w:trPr>
        <w:tc>
          <w:tcPr>
            <w:tcW w:w="6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4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80" w:type="dxa"/>
            <w:vAlign w:val="bottom"/>
            <w:tcBorders>
              <w:bottom w:val="single" w:sz="8" w:color="E6EFFF"/>
            </w:tcBorders>
          </w:tcPr>
          <w:p>
            <w:pPr>
              <w:spacing w:after="0" w:line="20" w:lineRule="exact"/>
              <w:rPr>
                <w:sz w:val="1"/>
                <w:szCs w:val="1"/>
                <w:color w:val="auto"/>
              </w:rPr>
            </w:pPr>
          </w:p>
        </w:tc>
        <w:tc>
          <w:tcPr>
            <w:tcW w:w="180" w:type="dxa"/>
            <w:vAlign w:val="bottom"/>
            <w:tcBorders>
              <w:bottom w:val="single" w:sz="8" w:color="E6EFFF"/>
            </w:tcBorders>
          </w:tcPr>
          <w:p>
            <w:pPr>
              <w:spacing w:after="0" w:line="20" w:lineRule="exact"/>
              <w:rPr>
                <w:sz w:val="1"/>
                <w:szCs w:val="1"/>
                <w:color w:val="auto"/>
              </w:rPr>
            </w:pPr>
          </w:p>
        </w:tc>
        <w:tc>
          <w:tcPr>
            <w:tcW w:w="5460" w:type="dxa"/>
            <w:vAlign w:val="bottom"/>
            <w:tcBorders>
              <w:bottom w:val="single" w:sz="8" w:color="E6EF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2000" w:type="dxa"/>
            <w:vAlign w:val="bottom"/>
            <w:shd w:val="clear" w:color="auto" w:fill="E6EFFF"/>
          </w:tcPr>
          <w:p>
            <w:pPr>
              <w:spacing w:after="0"/>
              <w:rPr>
                <w:sz w:val="24"/>
                <w:szCs w:val="24"/>
                <w:color w:val="auto"/>
              </w:rPr>
            </w:pPr>
          </w:p>
        </w:tc>
        <w:tc>
          <w:tcPr>
            <w:tcW w:w="240" w:type="dxa"/>
            <w:vAlign w:val="bottom"/>
            <w:shd w:val="clear" w:color="auto" w:fill="E6EFFF"/>
          </w:tcPr>
          <w:p>
            <w:pPr>
              <w:spacing w:after="0"/>
              <w:rPr>
                <w:sz w:val="24"/>
                <w:szCs w:val="24"/>
                <w:color w:val="auto"/>
              </w:rPr>
            </w:pPr>
          </w:p>
        </w:tc>
        <w:tc>
          <w:tcPr>
            <w:tcW w:w="1540" w:type="dxa"/>
            <w:vAlign w:val="bottom"/>
            <w:shd w:val="clear" w:color="auto" w:fill="E6EF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5460" w:type="dxa"/>
            <w:vAlign w:val="bottom"/>
            <w:shd w:val="clear" w:color="auto" w:fill="E6EFFF"/>
          </w:tcPr>
          <w:p>
            <w:pPr>
              <w:spacing w:after="0"/>
              <w:rPr>
                <w:sz w:val="16"/>
                <w:szCs w:val="16"/>
                <w:color w:val="auto"/>
              </w:rPr>
            </w:pPr>
          </w:p>
        </w:tc>
        <w:tc>
          <w:tcPr>
            <w:tcW w:w="200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154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topline data readout from the Phase 1/2a study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3,880,627</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2,500,200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Q4 2023</w:t>
            </w:r>
          </w:p>
        </w:tc>
        <w:tc>
          <w:tcPr>
            <w:tcW w:w="0" w:type="dxa"/>
            <w:vAlign w:val="bottom"/>
          </w:tcPr>
          <w:p>
            <w:pPr>
              <w:spacing w:after="0"/>
              <w:rPr>
                <w:sz w:val="1"/>
                <w:szCs w:val="1"/>
                <w:color w:val="auto"/>
              </w:rPr>
            </w:pPr>
          </w:p>
        </w:tc>
      </w:tr>
      <w:tr>
        <w:trPr>
          <w:trHeight w:val="405"/>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1,269,000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1,372,950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Q1 2024</w:t>
            </w:r>
          </w:p>
        </w:tc>
        <w:tc>
          <w:tcPr>
            <w:tcW w:w="0" w:type="dxa"/>
            <w:vAlign w:val="bottom"/>
          </w:tcPr>
          <w:p>
            <w:pPr>
              <w:spacing w:after="0"/>
              <w:rPr>
                <w:sz w:val="1"/>
                <w:szCs w:val="1"/>
                <w:color w:val="auto"/>
              </w:rPr>
            </w:pPr>
          </w:p>
        </w:tc>
      </w:tr>
      <w:tr>
        <w:trPr>
          <w:trHeight w:val="405"/>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E6EFFF"/>
          </w:tcPr>
          <w:p>
            <w:pPr>
              <w:spacing w:after="0"/>
              <w:rPr>
                <w:sz w:val="24"/>
                <w:szCs w:val="24"/>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5"/>
        </w:trPr>
        <w:tc>
          <w:tcPr>
            <w:tcW w:w="68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5460" w:type="dxa"/>
            <w:vAlign w:val="bottom"/>
            <w:shd w:val="clear" w:color="auto" w:fill="E6EFFF"/>
          </w:tcPr>
          <w:p>
            <w:pPr>
              <w:spacing w:after="0"/>
              <w:rPr>
                <w:sz w:val="15"/>
                <w:szCs w:val="15"/>
                <w:color w:val="auto"/>
              </w:rPr>
            </w:pPr>
          </w:p>
        </w:tc>
        <w:tc>
          <w:tcPr>
            <w:tcW w:w="2000" w:type="dxa"/>
            <w:vAlign w:val="bottom"/>
            <w:shd w:val="clear" w:color="auto" w:fill="E6EFFF"/>
          </w:tcPr>
          <w:p>
            <w:pPr>
              <w:spacing w:after="0"/>
              <w:rPr>
                <w:sz w:val="15"/>
                <w:szCs w:val="15"/>
                <w:color w:val="auto"/>
              </w:rPr>
            </w:pPr>
          </w:p>
        </w:tc>
        <w:tc>
          <w:tcPr>
            <w:tcW w:w="240" w:type="dxa"/>
            <w:vAlign w:val="bottom"/>
            <w:shd w:val="clear" w:color="auto" w:fill="E6EFFF"/>
          </w:tcPr>
          <w:p>
            <w:pPr>
              <w:spacing w:after="0"/>
              <w:rPr>
                <w:sz w:val="15"/>
                <w:szCs w:val="15"/>
                <w:color w:val="auto"/>
              </w:rPr>
            </w:pPr>
          </w:p>
        </w:tc>
        <w:tc>
          <w:tcPr>
            <w:tcW w:w="154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6320" w:type="dxa"/>
            <w:vAlign w:val="bottom"/>
            <w:tcBorders>
              <w:bottom w:val="single" w:sz="8" w:color="E6EFFF"/>
            </w:tcBorders>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(5)</w:t>
            </w:r>
          </w:p>
        </w:tc>
        <w:tc>
          <w:tcPr>
            <w:tcW w:w="2000" w:type="dxa"/>
            <w:vAlign w:val="bottom"/>
            <w:tcBorders>
              <w:bottom w:val="single" w:sz="8" w:color="E6EFFF"/>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12,059,223</w:t>
            </w:r>
          </w:p>
        </w:tc>
        <w:tc>
          <w:tcPr>
            <w:tcW w:w="240" w:type="dxa"/>
            <w:vAlign w:val="bottom"/>
            <w:tcBorders>
              <w:bottom w:val="single" w:sz="8" w:color="E6EFFF"/>
            </w:tcBorders>
            <w:shd w:val="clear" w:color="auto" w:fill="E6EFFF"/>
          </w:tcPr>
          <w:p>
            <w:pPr>
              <w:spacing w:after="0"/>
              <w:rPr>
                <w:sz w:val="24"/>
                <w:szCs w:val="24"/>
                <w:color w:val="auto"/>
              </w:rPr>
            </w:pPr>
          </w:p>
        </w:tc>
        <w:tc>
          <w:tcPr>
            <w:tcW w:w="1540" w:type="dxa"/>
            <w:vAlign w:val="bottom"/>
            <w:tcBorders>
              <w:bottom w:val="single" w:sz="8" w:color="E6EFFF"/>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21,082,000</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70" w:lineRule="exact"/>
        <w:rPr>
          <w:sz w:val="20"/>
          <w:szCs w:val="20"/>
          <w:color w:val="auto"/>
        </w:rPr>
      </w:pPr>
    </w:p>
    <w:p>
      <w:pPr>
        <w:jc w:val="both"/>
        <w:ind w:left="780" w:hanging="276"/>
        <w:spacing w:after="0" w:line="238" w:lineRule="auto"/>
        <w:tabs>
          <w:tab w:leader="none" w:pos="82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820" w:hanging="316"/>
        <w:spacing w:after="0" w:line="230" w:lineRule="auto"/>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1.35:1.</w:t>
      </w:r>
    </w:p>
    <w:p>
      <w:pPr>
        <w:ind w:left="780" w:hanging="276"/>
        <w:spacing w:after="0" w:line="230" w:lineRule="auto"/>
        <w:tabs>
          <w:tab w:leader="none" w:pos="82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ATM Program and May 2023 Prospectus.</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0" w:lineRule="auto"/>
        <w:tabs>
          <w:tab w:leader="none" w:pos="82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4" w:lineRule="auto"/>
        <w:tabs>
          <w:tab w:leader="none" w:pos="82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approximate remaining spend as of June 30, 2023 of $76,000 by September 30, 2023.</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195" w:lineRule="auto"/>
        <w:tabs>
          <w:tab w:leader="none" w:pos="252" w:val="left"/>
        </w:tabs>
        <w:numPr>
          <w:ilvl w:val="0"/>
          <w:numId w:val="31"/>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Reflects actual spend during the financial year ended March 31, 2023, the three months ended June 30, 2023, and expected spend during the period from July 1, 2023 until the achievement of preclinical development of a phenethylamine drug candidate</w:t>
      </w:r>
    </w:p>
    <w:p>
      <w:pPr>
        <w:sectPr>
          <w:pgSz w:w="11900" w:h="16838" w:orient="portrait"/>
          <w:cols w:equalWidth="0" w:num="1">
            <w:col w:w="11240"/>
          </w:cols>
          <w:pgMar w:left="320" w:top="111" w:right="339" w:bottom="0" w:gutter="0" w:footer="0" w:header="0"/>
        </w:sectPr>
      </w:pPr>
    </w:p>
    <w:bookmarkStart w:id="86" w:name="page87"/>
    <w:bookmarkEnd w:id="86"/>
    <w:p>
      <w:pPr>
        <w:jc w:val="both"/>
        <w:spacing w:after="0" w:line="235" w:lineRule="auto"/>
        <w:rPr>
          <w:sz w:val="20"/>
          <w:szCs w:val="20"/>
          <w:color w:val="auto"/>
        </w:rPr>
      </w:pPr>
      <w:r>
        <w:rPr>
          <w:rFonts w:ascii="Times New Roman" w:cs="Times New Roman" w:eastAsia="Times New Roman" w:hAnsi="Times New Roman"/>
          <w:sz w:val="22"/>
          <w:szCs w:val="22"/>
          <w:color w:val="auto"/>
        </w:rPr>
        <w:t>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jc w:val="both"/>
        <w:ind w:right="2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 Negative Operating Cash Flow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Going Concern".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360" w:hanging="4"/>
        <w:spacing w:after="0" w:line="420" w:lineRule="auto"/>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-496570</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-222250</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ind w:left="660"/>
        <w:spacing w:after="0" w:line="259"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-281305</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-282575</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issue Debt Securities and incur additional indebtedness other than through the issue of Debt Securities pursuant to this Prospectus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pgSz w:w="11900" w:h="16838" w:orient="portrait"/>
          <w:cols w:equalWidth="0" w:num="1">
            <w:col w:w="11240"/>
          </w:cols>
          <w:pgMar w:left="320" w:top="111" w:right="339" w:bottom="667"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667" w:gutter="0" w:footer="0" w:header="0"/>
          <w:type w:val="continuous"/>
        </w:sectPr>
      </w:pPr>
    </w:p>
    <w:bookmarkStart w:id="91" w:name="page92"/>
    <w:bookmarkEnd w:id="91"/>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-94615</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660" w:right="200"/>
        <w:spacing w:after="0" w:line="408" w:lineRule="auto"/>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-753745</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-488315</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-222250</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including in the form of underwriters', dealers' or agents' fees, commissions or concessions.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Ongoing Impact of the Novel Coronavirus "COVID-19"</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outbreak of COVID-19 and its eventual declaration as a pandemic by the World Health Organization ("</w:t>
      </w:r>
      <w:r>
        <w:rPr>
          <w:rFonts w:ascii="Times New Roman" w:cs="Times New Roman" w:eastAsia="Times New Roman" w:hAnsi="Times New Roman"/>
          <w:sz w:val="22"/>
          <w:szCs w:val="22"/>
          <w:b w:val="1"/>
          <w:bCs w:val="1"/>
          <w:color w:val="auto"/>
        </w:rPr>
        <w:t>WHO</w:t>
      </w:r>
      <w:r>
        <w:rPr>
          <w:rFonts w:ascii="Times New Roman" w:cs="Times New Roman" w:eastAsia="Times New Roman" w:hAnsi="Times New Roman"/>
          <w:sz w:val="22"/>
          <w:szCs w:val="22"/>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pgSz w:w="11900" w:h="16838" w:orient="portrait"/>
          <w:cols w:equalWidth="0" w:num="1">
            <w:col w:w="11240"/>
          </w:cols>
          <w:pgMar w:left="320" w:top="108"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4" w:name="page95"/>
    <w:bookmarkEnd w:id="94"/>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 and Going Concern</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Times New Roman" w:cs="Times New Roman" w:eastAsia="Times New Roman" w:hAnsi="Times New Roman"/>
          <w:sz w:val="22"/>
          <w:szCs w:val="22"/>
          <w:i w:val="1"/>
          <w:iCs w:val="1"/>
          <w:color w:val="auto"/>
        </w:rPr>
        <w:t>"Risk Factors - Risks Related to the Offering - Potential Need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 Additional Financing"</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4180" w:firstLine="8"/>
        <w:spacing w:after="0" w:line="392" w:lineRule="auto"/>
        <w:tabs>
          <w:tab w:leader="none" w:pos="126" w:val="left"/>
        </w:tabs>
        <w:numPr>
          <w:ilvl w:val="0"/>
          <w:numId w:val="3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Negative Operating Cash Flow and Going Concern"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6" w:name="page97"/>
    <w:bookmarkEnd w:id="9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Neo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7" w:name="page98"/>
    <w:bookmarkEnd w:id="97"/>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36" w:lineRule="exact"/>
        <w:rPr>
          <w:sz w:val="20"/>
          <w:szCs w:val="20"/>
          <w:color w:val="auto"/>
        </w:rPr>
      </w:pPr>
    </w:p>
    <w:p>
      <w:pPr>
        <w:jc w:val="center"/>
        <w:ind w:right="500"/>
        <w:spacing w:after="0" w:line="437"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3275" cy="46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2"/>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6"/>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3"/>
    </w:lvl>
  </w:abstractNum>
  <w:abstractNum w:abstractNumId="16">
    <w:nsid w:val="8EDBDAB"/>
    <w:multiLevelType w:val="hybridMultilevel"/>
    <w:lvl w:ilvl="0">
      <w:lvlJc w:val="left"/>
      <w:lvlText w:val="(%1)"/>
      <w:numFmt w:val="lowerRoman"/>
      <w:start w:val="4"/>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3"/>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bullet"/>
      <w:start w:val="1"/>
    </w:lvl>
  </w:abstractNum>
  <w:abstractNum w:abstractNumId="24">
    <w:nsid w:val="836C40E"/>
    <w:multiLevelType w:val="hybridMultilevel"/>
    <w:lvl w:ilvl="0">
      <w:lvlJc w:val="left"/>
      <w:lvlText w:val="3"/>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6"/>
      <w:numFmt w:val="bullet"/>
      <w:start w:val="1"/>
    </w:lvl>
  </w:abstractNum>
  <w:abstractNum w:abstractNumId="27">
    <w:nsid w:val="8138641"/>
    <w:multiLevelType w:val="hybridMultilevel"/>
    <w:lvl w:ilvl="0">
      <w:lvlJc w:val="left"/>
      <w:lvlText w:val="7"/>
      <w:numFmt w:val="bullet"/>
      <w:start w:val="1"/>
    </w:lvl>
  </w:abstractNum>
  <w:abstractNum w:abstractNumId="28">
    <w:nsid w:val="1E7FF521"/>
    <w:multiLevelType w:val="hybridMultilevel"/>
    <w:lvl w:ilvl="0">
      <w:lvlJc w:val="left"/>
      <w:lvlText w:val="8"/>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0"/>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2025-07-14T16:23:13Z</dcterms:created>
  <dcterms:modified xsi:type="dcterms:W3CDTF">2025-07-14T16:23:13Z</dcterms:modified>
</cp:coreProperties>
</file>