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File No. 333-292294</w:t>
      </w:r>
    </w:p>
    <w:p>
      <w:pPr>
        <w:spacing w:after="0" w:line="149"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This prospectus supplement (the "Prospectus Supplement"), together with the short form base shelf prospectus dated September 17, 2025, as amended by Amendment No. 1 dated December 19, 2025, to which it relates, as may be further amended or supplemented (the "Base Shelf Prospectus"), and each document deemed to be incorporated by reference into this Prospectus Supplement and the Base Shelf Prospectus, as amended or supplemented (collectively, the "Prospectus"), constitutes a public offering of these securities only in those jurisdictions where they may be lawfully offered for sale and only by persons permitted to sell such securities. No securities regulatory authority has expressed an opinion about these securities and it is an offence to claim otherwise.</w:t>
      </w:r>
    </w:p>
    <w:p>
      <w:pPr>
        <w:spacing w:after="0" w:line="135"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Information has been incorporated by reference in the Prospectus from documents filed with securities commissions or similar authorities in Canada. Copies of the documents incorporated herein by reference may be obtained on request without charge from the Secretary of Cybin Inc. at 100 King Street West, Suite 5600, Toronto, Ontario M5X 1C9, telephone 1-866-292-4601, and are also available electronically at www.sedarplus.ca and www.sec.gov/edgar.</w:t>
      </w:r>
    </w:p>
    <w:p>
      <w:pPr>
        <w:spacing w:after="0" w:line="1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Base Shelf Prospectus dated September 17, 2025, as amended on December 19, 2025)</w:t>
      </w:r>
    </w:p>
    <w:p>
      <w:pPr>
        <w:spacing w:after="0"/>
        <w:tabs>
          <w:tab w:leader="none" w:pos="9800" w:val="left"/>
        </w:tabs>
        <w:rPr>
          <w:sz w:val="20"/>
          <w:szCs w:val="20"/>
          <w:color w:val="auto"/>
        </w:rPr>
      </w:pPr>
      <w:r>
        <w:rPr>
          <w:rFonts w:ascii="Times New Roman" w:cs="Times New Roman" w:eastAsia="Times New Roman" w:hAnsi="Times New Roman"/>
          <w:sz w:val="18"/>
          <w:szCs w:val="18"/>
          <w:i w:val="1"/>
          <w:iCs w:val="1"/>
          <w:u w:val="single" w:color="auto"/>
          <w:color w:val="auto"/>
        </w:rPr>
        <w:t>New Issue</w:t>
      </w:r>
      <w:r>
        <w:rPr>
          <w:sz w:val="20"/>
          <w:szCs w:val="20"/>
          <w:color w:val="auto"/>
        </w:rPr>
        <w:tab/>
      </w:r>
      <w:r>
        <w:rPr>
          <w:rFonts w:ascii="Times New Roman" w:cs="Times New Roman" w:eastAsia="Times New Roman" w:hAnsi="Times New Roman"/>
          <w:sz w:val="18"/>
          <w:szCs w:val="18"/>
          <w:color w:val="auto"/>
        </w:rPr>
        <w:t>December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124460</wp:posOffset>
            </wp:positionV>
            <wp:extent cx="1774190"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US$100,000,000</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66"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Cybin Inc.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is hereby qualifying the distribution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of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having an aggregate sale price of up to US$100,000,000 (or the equivalent in Canadian dollars determined using the daily exchange rate posted by the Bank of Canada on the date the Common Shares are sold),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"Description of the Common Shares".</w:t>
      </w:r>
    </w:p>
    <w:p>
      <w:pPr>
        <w:spacing w:after="0" w:line="131" w:lineRule="exact"/>
        <w:rPr>
          <w:sz w:val="24"/>
          <w:szCs w:val="24"/>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Common Shares are listed in Canada on Cboe Canada Inc. ("</w:t>
      </w:r>
      <w:r>
        <w:rPr>
          <w:rFonts w:ascii="Times New Roman" w:cs="Times New Roman" w:eastAsia="Times New Roman" w:hAnsi="Times New Roman"/>
          <w:sz w:val="21"/>
          <w:szCs w:val="21"/>
          <w:b w:val="1"/>
          <w:bCs w:val="1"/>
          <w:color w:val="auto"/>
        </w:rPr>
        <w:t>Cboe Canada</w:t>
      </w:r>
      <w:r>
        <w:rPr>
          <w:rFonts w:ascii="Times New Roman" w:cs="Times New Roman" w:eastAsia="Times New Roman" w:hAnsi="Times New Roman"/>
          <w:sz w:val="21"/>
          <w:szCs w:val="21"/>
          <w:color w:val="auto"/>
        </w:rPr>
        <w:t xml:space="preserve">") and in the United States on </w:t>
      </w:r>
      <w:r>
        <w:rPr>
          <w:rFonts w:ascii="Times New Roman" w:cs="Times New Roman" w:eastAsia="Times New Roman" w:hAnsi="Times New Roman"/>
          <w:sz w:val="21"/>
          <w:szCs w:val="21"/>
          <w:b w:val="1"/>
          <w:bCs w:val="1"/>
          <w:color w:val="auto"/>
        </w:rPr>
        <w:t>NYSE American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LLC (the "NYSE American")</w:t>
      </w:r>
      <w:r>
        <w:rPr>
          <w:rFonts w:ascii="Times New Roman" w:cs="Times New Roman" w:eastAsia="Times New Roman" w:hAnsi="Times New Roman"/>
          <w:sz w:val="21"/>
          <w:szCs w:val="21"/>
          <w:color w:val="auto"/>
        </w:rPr>
        <w:t>, in each case under the trading symbol</w:t>
      </w:r>
      <w:r>
        <w:rPr>
          <w:rFonts w:ascii="Times New Roman" w:cs="Times New Roman" w:eastAsia="Times New Roman" w:hAnsi="Times New Roman"/>
          <w:sz w:val="21"/>
          <w:szCs w:val="21"/>
          <w:b w:val="1"/>
          <w:bCs w:val="1"/>
          <w:color w:val="auto"/>
        </w:rPr>
        <w:t xml:space="preserve"> "CYBN"</w:t>
      </w:r>
      <w:r>
        <w:rPr>
          <w:rFonts w:ascii="Times New Roman" w:cs="Times New Roman" w:eastAsia="Times New Roman" w:hAnsi="Times New Roman"/>
          <w:sz w:val="21"/>
          <w:szCs w:val="21"/>
          <w:color w:val="auto"/>
        </w:rPr>
        <w:t>. The Corporation expects that its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Shares will cease trading on the NYSE American at market close on January 2, 2026 and commence trading on the Nasdaq Global Market (the </w:t>
      </w:r>
      <w:r>
        <w:rPr>
          <w:rFonts w:ascii="Times New Roman" w:cs="Times New Roman" w:eastAsia="Times New Roman" w:hAnsi="Times New Roman"/>
          <w:sz w:val="21"/>
          <w:szCs w:val="21"/>
          <w:b w:val="1"/>
          <w:bCs w:val="1"/>
          <w:color w:val="auto"/>
        </w:rPr>
        <w:t>Nasdaq</w:t>
      </w:r>
      <w:r>
        <w:rPr>
          <w:rFonts w:ascii="Times New Roman" w:cs="Times New Roman" w:eastAsia="Times New Roman" w:hAnsi="Times New Roman"/>
          <w:sz w:val="21"/>
          <w:szCs w:val="21"/>
          <w:color w:val="auto"/>
        </w:rPr>
        <w:t>") at market open on January 5, 2026. Concurrent with the commencement of trading on Nasdaq, the Corporation will no longer trade under the ticker symbol "CYBN" and instead will trade under the ticker symbol "HELP". The Corporation will continue to be listed on the CBOE Canada and will also trade under the new "HELP" ticker symbol commencing on January 5, 2026. On December 29, 2025, the last trading day prior to the filing of this Prospectus Supplement, the closing prices of the Common Shares listed on Cboe Canada and NYSE American were C$11.99 and US$8.71, respectively.</w:t>
      </w:r>
    </w:p>
    <w:p>
      <w:pPr>
        <w:spacing w:after="0" w:line="145"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Corporation has entered into an “at-the-market equity” distribution agreement dated December 30, 2025 (the “</w:t>
      </w:r>
      <w:r>
        <w:rPr>
          <w:rFonts w:ascii="Times New Roman" w:cs="Times New Roman" w:eastAsia="Times New Roman" w:hAnsi="Times New Roman"/>
          <w:sz w:val="21"/>
          <w:szCs w:val="21"/>
          <w:b w:val="1"/>
          <w:bCs w:val="1"/>
          <w:color w:val="auto"/>
        </w:rPr>
        <w:t>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with Cantor Fitzgerald Canada Corporation (the “</w:t>
      </w:r>
      <w:r>
        <w:rPr>
          <w:rFonts w:ascii="Times New Roman" w:cs="Times New Roman" w:eastAsia="Times New Roman" w:hAnsi="Times New Roman"/>
          <w:sz w:val="21"/>
          <w:szCs w:val="21"/>
          <w:b w:val="1"/>
          <w:bCs w:val="1"/>
          <w:color w:val="auto"/>
        </w:rPr>
        <w:t>Canadian Agent</w:t>
      </w:r>
      <w:r>
        <w:rPr>
          <w:rFonts w:ascii="Times New Roman" w:cs="Times New Roman" w:eastAsia="Times New Roman" w:hAnsi="Times New Roman"/>
          <w:sz w:val="21"/>
          <w:szCs w:val="21"/>
          <w:color w:val="auto"/>
        </w:rPr>
        <w:t>”) and Cantor Fitzgerald &amp; Co. (the “</w:t>
      </w:r>
      <w:r>
        <w:rPr>
          <w:rFonts w:ascii="Times New Roman" w:cs="Times New Roman" w:eastAsia="Times New Roman" w:hAnsi="Times New Roman"/>
          <w:sz w:val="21"/>
          <w:szCs w:val="21"/>
          <w:b w:val="1"/>
          <w:bCs w:val="1"/>
          <w:color w:val="auto"/>
        </w:rPr>
        <w:t>US Agent</w:t>
      </w:r>
      <w:r>
        <w:rPr>
          <w:rFonts w:ascii="Times New Roman" w:cs="Times New Roman" w:eastAsia="Times New Roman" w:hAnsi="Times New Roman"/>
          <w:sz w:val="21"/>
          <w:szCs w:val="21"/>
          <w:color w:val="auto"/>
        </w:rPr>
        <w:t>”, together with the Canadian Agent, the “</w:t>
      </w:r>
      <w:r>
        <w:rPr>
          <w:rFonts w:ascii="Times New Roman" w:cs="Times New Roman" w:eastAsia="Times New Roman" w:hAnsi="Times New Roman"/>
          <w:sz w:val="21"/>
          <w:szCs w:val="21"/>
          <w:b w:val="1"/>
          <w:bCs w:val="1"/>
          <w:color w:val="auto"/>
        </w:rPr>
        <w:t>Agents</w:t>
      </w:r>
      <w:r>
        <w:rPr>
          <w:rFonts w:ascii="Times New Roman" w:cs="Times New Roman" w:eastAsia="Times New Roman" w:hAnsi="Times New Roman"/>
          <w:sz w:val="21"/>
          <w:szCs w:val="21"/>
          <w:color w:val="auto"/>
        </w:rPr>
        <w:t>”) pursuant to which the Corporation may distribute Common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time to time through the Agents, as agents, in accordance with the terms of the Distribution Agreement, see “</w:t>
      </w:r>
      <w:r>
        <w:rPr>
          <w:rFonts w:ascii="Times New Roman" w:cs="Times New Roman" w:eastAsia="Times New Roman" w:hAnsi="Times New Roman"/>
          <w:sz w:val="21"/>
          <w:szCs w:val="21"/>
          <w:i w:val="1"/>
          <w:iCs w:val="1"/>
          <w:color w:val="auto"/>
        </w:rPr>
        <w:t>Plan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Distribution</w:t>
      </w:r>
      <w:r>
        <w:rPr>
          <w:rFonts w:ascii="Times New Roman" w:cs="Times New Roman" w:eastAsia="Times New Roman" w:hAnsi="Times New Roman"/>
          <w:sz w:val="21"/>
          <w:szCs w:val="21"/>
          <w:color w:val="auto"/>
        </w:rPr>
        <w:t>”. Sales of Common Shares, if any, under the Prospectus are anticipated to be made in transactions that are deemed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 “at-the-market distributions” as defined in National Instrument 44-102 – </w:t>
      </w:r>
      <w:r>
        <w:rPr>
          <w:rFonts w:ascii="Times New Roman" w:cs="Times New Roman" w:eastAsia="Times New Roman" w:hAnsi="Times New Roman"/>
          <w:sz w:val="21"/>
          <w:szCs w:val="21"/>
          <w:i w:val="1"/>
          <w:iCs w:val="1"/>
          <w:color w:val="auto"/>
        </w:rPr>
        <w:t>Shelf Distributions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NI 44-102</w:t>
      </w:r>
      <w:r>
        <w:rPr>
          <w:rFonts w:ascii="Times New Roman" w:cs="Times New Roman" w:eastAsia="Times New Roman" w:hAnsi="Times New Roman"/>
          <w:sz w:val="21"/>
          <w:szCs w:val="21"/>
          <w:color w:val="auto"/>
        </w:rPr>
        <w:t>”) and an “at-the-market offering” as defined in Rule 415(a)(4) under the United States Securities Act of 1933, as amended (the “</w:t>
      </w:r>
      <w:r>
        <w:rPr>
          <w:rFonts w:ascii="Times New Roman" w:cs="Times New Roman" w:eastAsia="Times New Roman" w:hAnsi="Times New Roman"/>
          <w:sz w:val="21"/>
          <w:szCs w:val="21"/>
          <w:b w:val="1"/>
          <w:bCs w:val="1"/>
          <w:color w:val="auto"/>
        </w:rPr>
        <w:t>U.S.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including sales made: (i) in privately negotiated transactions with the Corporation’s consent and, if required, the consent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Cboe Canada and NYSE American or Nasdaq, as applicable; (ii) as block transactions; (iii) directly on Cboe Canada by the Canadian Agent, and on NYSE American or Nasdaq, as applicable, by the US Agent, or any other recognized marketplace upon which the Common Shares are listed or quoted or where the Common Shares are traded in Canada or the United States; or (iv) by any method permitted by law. The Common Shares will be distributed at the market prices prevailing at the time of the sale. As a result, prices at which Common Shares are sold may vary between purchasers and during the period of any distribution. </w:t>
      </w:r>
      <w:r>
        <w:rPr>
          <w:rFonts w:ascii="Times New Roman" w:cs="Times New Roman" w:eastAsia="Times New Roman" w:hAnsi="Times New Roman"/>
          <w:sz w:val="21"/>
          <w:szCs w:val="21"/>
          <w:b w:val="1"/>
          <w:bCs w:val="1"/>
          <w:color w:val="auto"/>
        </w:rPr>
        <w:t>There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 minimum amount of funds that must be raised under the Offering. This means that the Offering may terminate after raising only a portion of the Offering amount set out above, or none at all. 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 See “</w:t>
      </w:r>
      <w:r>
        <w:rPr>
          <w:rFonts w:ascii="Times New Roman" w:cs="Times New Roman" w:eastAsia="Times New Roman" w:hAnsi="Times New Roman"/>
          <w:sz w:val="21"/>
          <w:szCs w:val="21"/>
          <w:b w:val="1"/>
          <w:bCs w:val="1"/>
          <w:i w:val="1"/>
          <w:iCs w:val="1"/>
          <w:color w:val="auto"/>
        </w:rPr>
        <w:t>Plan of Distribution</w:t>
      </w:r>
      <w:r>
        <w:rPr>
          <w:rFonts w:ascii="Times New Roman" w:cs="Times New Roman" w:eastAsia="Times New Roman" w:hAnsi="Times New Roman"/>
          <w:sz w:val="21"/>
          <w:szCs w:val="21"/>
          <w:b w:val="1"/>
          <w:bCs w:val="1"/>
          <w:color w:val="auto"/>
        </w:rPr>
        <w:t>”.</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0" w:right="339" w:bottom="86" w:gutter="0" w:footer="0" w:header="0"/>
        </w:sectPr>
      </w:pPr>
    </w:p>
    <w:bookmarkStart w:id="1" w:name="page2"/>
    <w:bookmarkEnd w:id="1"/>
    <w:p>
      <w:pPr>
        <w:jc w:val="both"/>
        <w:spacing w:after="0" w:line="244" w:lineRule="auto"/>
        <w:rPr>
          <w:sz w:val="20"/>
          <w:szCs w:val="20"/>
          <w:color w:val="auto"/>
        </w:rPr>
      </w:pPr>
      <w:r>
        <w:rPr>
          <w:rFonts w:ascii="Times New Roman" w:cs="Times New Roman" w:eastAsia="Times New Roman" w:hAnsi="Times New Roman"/>
          <w:sz w:val="22"/>
          <w:szCs w:val="22"/>
          <w:color w:val="auto"/>
        </w:rPr>
        <w:t>The Offering is being made concurrently in Canada under the terms of the Prospectus and in the United States under the Corporation's Registration Statement on Form F-10 (File No. 333-292294)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filed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which this Prospectus Supplement forms a part.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Corporation will pay the Agents compensation for their services in acting as agent in connection with the sale of Common Shares pursuant to the Distribution Agreement equal to 3% of the gross sale price per Common Share sold (the "</w:t>
      </w:r>
      <w:r>
        <w:rPr>
          <w:rFonts w:ascii="Times New Roman" w:cs="Times New Roman" w:eastAsia="Times New Roman" w:hAnsi="Times New Roman"/>
          <w:sz w:val="21"/>
          <w:szCs w:val="21"/>
          <w:b w:val="1"/>
          <w:bCs w:val="1"/>
          <w:color w:val="auto"/>
        </w:rPr>
        <w:t>Commission</w:t>
      </w:r>
      <w:r>
        <w:rPr>
          <w:rFonts w:ascii="Times New Roman" w:cs="Times New Roman" w:eastAsia="Times New Roman" w:hAnsi="Times New Roman"/>
          <w:sz w:val="21"/>
          <w:szCs w:val="21"/>
          <w:color w:val="auto"/>
        </w:rPr>
        <w:t>").</w:t>
      </w:r>
    </w:p>
    <w:p>
      <w:pPr>
        <w:spacing w:after="0" w:line="1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Corporation has applied to list the Common Shares distributed hereunder on Cboe Canada. Listing will be subject to the Corporation fulfilling all listing requirements of Cboe Canada and NYSE American or Nasdaq, as applicable.</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An investment in the Common Shares is highly speculative and involves significant risks that an investor should consider before purchasing Common Shares. See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section in the Prospectus, including in the documents incorporated by reference</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The net proceeds that the Corporation will receive from sales of the Common Shares will vary depending on the number of shares actually sold and the offering price for such shares, but will not exceed US$97,000,000 in the aggregate. See </w:t>
      </w:r>
      <w:r>
        <w:rPr>
          <w:rFonts w:ascii="Times New Roman" w:cs="Times New Roman" w:eastAsia="Times New Roman" w:hAnsi="Times New Roman"/>
          <w:sz w:val="22"/>
          <w:szCs w:val="22"/>
          <w:i w:val="1"/>
          <w:iCs w:val="1"/>
          <w:color w:val="auto"/>
        </w:rPr>
        <w:t>"Use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Proceeds" </w:t>
      </w:r>
      <w:r>
        <w:rPr>
          <w:rFonts w:ascii="Times New Roman" w:cs="Times New Roman" w:eastAsia="Times New Roman" w:hAnsi="Times New Roman"/>
          <w:sz w:val="22"/>
          <w:szCs w:val="22"/>
          <w:color w:val="auto"/>
        </w:rPr>
        <w:t>for how the net proceeds, if any, from sales under this Prospectus Supplement will be used.</w:t>
      </w:r>
    </w:p>
    <w:p>
      <w:pPr>
        <w:spacing w:after="0" w:line="1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Offering is being made by a Canadian issuer that is permitted, under the multijurisdictional disclosure system adopted by the United States and Canada ("MJDS"), to prepare this Prospectus Supplement and the accompanying Base Shelf Prospectus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The financial statements are subject to the standards of the Public Company Accounting Oversight Board (United States) and the SEC independence standards.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Common Shares.</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Purchasers of Common Shares should be aware that the acquisition of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Times New Roman" w:cs="Times New Roman" w:eastAsia="Times New Roman" w:hAnsi="Times New Roman"/>
          <w:sz w:val="22"/>
          <w:szCs w:val="22"/>
          <w:b w:val="1"/>
          <w:bCs w:val="1"/>
          <w:i w:val="1"/>
          <w:iCs w:val="1"/>
          <w:color w:val="auto"/>
        </w:rPr>
        <w:t>"Certain Canadian Income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Tax Considerations" </w:t>
      </w:r>
      <w:r>
        <w:rPr>
          <w:rFonts w:ascii="Times New Roman" w:cs="Times New Roman" w:eastAsia="Times New Roman" w:hAnsi="Times New Roman"/>
          <w:sz w:val="22"/>
          <w:szCs w:val="22"/>
          <w:b w:val="1"/>
          <w:bCs w:val="1"/>
          <w:color w:val="auto"/>
        </w:rPr>
        <w:t>and</w:t>
      </w:r>
      <w:r>
        <w:rPr>
          <w:rFonts w:ascii="Times New Roman" w:cs="Times New Roman" w:eastAsia="Times New Roman" w:hAnsi="Times New Roman"/>
          <w:sz w:val="22"/>
          <w:szCs w:val="22"/>
          <w:b w:val="1"/>
          <w:bCs w:val="1"/>
          <w:i w:val="1"/>
          <w:iCs w:val="1"/>
          <w:color w:val="auto"/>
        </w:rPr>
        <w:t xml:space="preserve"> "Certain United States Federal Income Tax Considerations"</w:t>
      </w:r>
      <w:r>
        <w:rPr>
          <w:rFonts w:ascii="Times New Roman" w:cs="Times New Roman" w:eastAsia="Times New Roman" w:hAnsi="Times New Roman"/>
          <w:sz w:val="22"/>
          <w:szCs w:val="22"/>
          <w:b w:val="1"/>
          <w:bCs w:val="1"/>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certain of its officers and directors are not residents of the United States, that some or all of the Agents or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Times New Roman" w:cs="Times New Roman" w:eastAsia="Times New Roman" w:hAnsi="Times New Roman"/>
          <w:sz w:val="22"/>
          <w:szCs w:val="22"/>
          <w:b w:val="1"/>
          <w:bCs w:val="1"/>
          <w:i w:val="1"/>
          <w:iCs w:val="1"/>
          <w:color w:val="auto"/>
        </w:rPr>
        <w:t>"Enforcement of Civil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Liabilities by U.S. Investors"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 NOR ANY STATE SECURITIES COMMISSION OR REGULATOR HAS APPROVED OR DISAPPROVED THE COMMON SHARES NOR PASSED UPON THE ACCURACY OR ADEQUACY OF THE PROSPECTUS. ANY REPRESENTATION TO THE CONTRARY IS A CRIMINAL OFFENCE.</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In connection with 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sales agents, the Agents will not engage in any prohibited transactions to stabilize or maintain the price of the Common Shares. Neither the Agents nor any person or company acting jointly or in concert with either of the Agents may, in connection with the distribution, enter into any transaction that is intended to stabilize or maintain the market price of the Common Shares distributed under this Prospectus Supplement, including selling an aggregate number or principal amount of Common Shares that would result in the Agents creating an over-allocation position in the Common Shares.</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are to United States dollars and references to "Canadian dollars", "C$" or "$" are to Canadian dollars. See "</w:t>
      </w:r>
      <w:r>
        <w:rPr>
          <w:rFonts w:ascii="Times New Roman" w:cs="Times New Roman" w:eastAsia="Times New Roman" w:hAnsi="Times New Roman"/>
          <w:sz w:val="22"/>
          <w:szCs w:val="22"/>
          <w:i w:val="1"/>
          <w:iCs w:val="1"/>
          <w:color w:val="auto"/>
        </w:rPr>
        <w:t>Currency and Exchange Rate Information</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100330</wp:posOffset>
            </wp:positionV>
            <wp:extent cx="115697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697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00" w:type="dxa"/>
            <w:vAlign w:val="bottom"/>
            <w:gridSpan w:val="20"/>
            <w:shd w:val="clear" w:color="auto" w:fill="EEEEEE"/>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S-1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gridSpan w:val="1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980" w:type="dxa"/>
            <w:vAlign w:val="bottom"/>
            <w:gridSpan w:val="8"/>
            <w:shd w:val="clear" w:color="auto" w:fill="EEEEEE"/>
          </w:tcPr>
          <w:p>
            <w:pPr>
              <w:spacing w:after="0"/>
              <w:rPr>
                <w:sz w:val="15"/>
                <w:szCs w:val="15"/>
                <w:color w:val="auto"/>
              </w:rPr>
            </w:pP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40" w:type="dxa"/>
            <w:vAlign w:val="bottom"/>
            <w:gridSpan w:val="1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CURRENCY AND EXCHANGE RATE INFORMATION</w:t>
            </w:r>
          </w:p>
        </w:tc>
        <w:tc>
          <w:tcPr>
            <w:tcW w:w="6660" w:type="dxa"/>
            <w:vAlign w:val="bottom"/>
            <w:gridSpan w:val="6"/>
            <w:shd w:val="clear" w:color="auto" w:fill="EEEEEE"/>
          </w:tcPr>
          <w:p>
            <w:pPr>
              <w:spacing w:after="0"/>
              <w:rPr>
                <w:sz w:val="15"/>
                <w:szCs w:val="15"/>
                <w:color w:val="auto"/>
              </w:rPr>
            </w:pP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660" w:type="dxa"/>
            <w:vAlign w:val="bottom"/>
            <w:gridSpan w:val="6"/>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COMMON SHARES</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80" w:type="dxa"/>
            <w:vAlign w:val="bottom"/>
            <w:gridSpan w:val="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8020" w:type="dxa"/>
            <w:vAlign w:val="bottom"/>
            <w:gridSpan w:val="11"/>
            <w:shd w:val="clear" w:color="auto" w:fill="EEEEEE"/>
          </w:tcPr>
          <w:p>
            <w:pPr>
              <w:spacing w:after="0"/>
              <w:rPr>
                <w:sz w:val="15"/>
                <w:szCs w:val="15"/>
                <w:color w:val="auto"/>
              </w:rPr>
            </w:pP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8020" w:type="dxa"/>
            <w:vAlign w:val="bottom"/>
            <w:gridSpan w:val="11"/>
          </w:tcPr>
          <w:p>
            <w:pPr>
              <w:spacing w:after="0"/>
              <w:rPr>
                <w:sz w:val="15"/>
                <w:szCs w:val="15"/>
                <w:color w:val="auto"/>
              </w:rPr>
            </w:pP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60" w:type="dxa"/>
            <w:vAlign w:val="bottom"/>
            <w:gridSpan w:val="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40" w:type="dxa"/>
            <w:vAlign w:val="bottom"/>
            <w:gridSpan w:val="14"/>
            <w:shd w:val="clear" w:color="auto" w:fill="EEEEEE"/>
          </w:tcPr>
          <w:p>
            <w:pPr>
              <w:spacing w:after="0"/>
              <w:rPr>
                <w:sz w:val="15"/>
                <w:szCs w:val="15"/>
                <w:color w:val="auto"/>
              </w:rPr>
            </w:pP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9760" w:type="dxa"/>
            <w:vAlign w:val="bottom"/>
            <w:tcBorders>
              <w:bottom w:val="single" w:sz="8" w:color="EEEEEE"/>
            </w:tcBorders>
            <w:gridSpan w:val="18"/>
            <w:shd w:val="clear" w:color="auto" w:fill="EEEEEE"/>
          </w:tcPr>
          <w:p>
            <w:pPr>
              <w:spacing w:after="0"/>
              <w:rPr>
                <w:sz w:val="17"/>
                <w:szCs w:val="17"/>
                <w:color w:val="auto"/>
              </w:rPr>
            </w:pPr>
          </w:p>
        </w:tc>
        <w:tc>
          <w:tcPr>
            <w:tcW w:w="34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160" w:type="dxa"/>
            <w:vAlign w:val="bottom"/>
            <w:tcBorders>
              <w:top w:val="single" w:sz="8" w:color="EEEEEE"/>
            </w:tcBorders>
            <w:gridSpan w:val="2"/>
          </w:tcPr>
          <w:p>
            <w:pPr>
              <w:spacing w:after="0"/>
              <w:rPr>
                <w:sz w:val="15"/>
                <w:szCs w:val="15"/>
                <w:color w:val="auto"/>
              </w:rPr>
            </w:pPr>
          </w:p>
        </w:tc>
        <w:tc>
          <w:tcPr>
            <w:tcW w:w="34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10120" w:type="dxa"/>
            <w:vAlign w:val="bottom"/>
            <w:tcBorders>
              <w:bottom w:val="single" w:sz="8" w:color="EEEEEE"/>
            </w:tcBorders>
            <w:gridSpan w:val="19"/>
            <w:shd w:val="clear" w:color="auto" w:fill="EEEEEE"/>
          </w:tcPr>
          <w:p>
            <w:pPr>
              <w:spacing w:after="0"/>
              <w:rPr>
                <w:sz w:val="17"/>
                <w:szCs w:val="17"/>
                <w:color w:val="auto"/>
              </w:rPr>
            </w:pPr>
          </w:p>
        </w:tc>
        <w:tc>
          <w:tcPr>
            <w:tcW w:w="34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BY U.S. INVESTORS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Base Shelf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0000EE"/>
                <w:w w:val="98"/>
              </w:rPr>
              <w:t>GENERAL MATTERS</w:t>
            </w:r>
          </w:p>
        </w:tc>
        <w:tc>
          <w:tcPr>
            <w:tcW w:w="7120" w:type="dxa"/>
            <w:vAlign w:val="bottom"/>
            <w:gridSpan w:val="14"/>
            <w:shd w:val="clear" w:color="auto" w:fill="EEEEEE"/>
          </w:tcPr>
          <w:p>
            <w:pPr>
              <w:spacing w:after="0"/>
              <w:rPr>
                <w:sz w:val="17"/>
                <w:szCs w:val="17"/>
                <w:color w:val="auto"/>
              </w:rPr>
            </w:pPr>
          </w:p>
        </w:tc>
        <w:tc>
          <w:tcPr>
            <w:tcW w:w="24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CAUTION REGARDING FORWARD LOOKING INFORMATION AND STATEMENTS</w:t>
            </w: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5700" w:type="dxa"/>
            <w:vAlign w:val="bottom"/>
            <w:gridSpan w:val="7"/>
          </w:tcPr>
          <w:p>
            <w:pPr>
              <w:spacing w:after="0"/>
              <w:rPr>
                <w:sz w:val="15"/>
                <w:szCs w:val="15"/>
                <w:color w:val="auto"/>
              </w:rPr>
            </w:pP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gridSpan w:val="1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6180" w:type="dxa"/>
            <w:vAlign w:val="bottom"/>
            <w:gridSpan w:val="9"/>
            <w:shd w:val="clear" w:color="auto" w:fill="EEEEEE"/>
          </w:tcPr>
          <w:p>
            <w:pPr>
              <w:spacing w:after="0"/>
              <w:rPr>
                <w:sz w:val="15"/>
                <w:szCs w:val="15"/>
                <w:color w:val="auto"/>
              </w:rPr>
            </w:pP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1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3320" w:type="dxa"/>
            <w:vAlign w:val="bottom"/>
            <w:gridSpan w:val="2"/>
            <w:shd w:val="clear" w:color="auto" w:fill="EEEEEE"/>
          </w:tcPr>
          <w:p>
            <w:pPr>
              <w:spacing w:after="0"/>
              <w:rPr>
                <w:sz w:val="15"/>
                <w:szCs w:val="15"/>
                <w:color w:val="auto"/>
              </w:rPr>
            </w:pP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160" w:type="dxa"/>
            <w:vAlign w:val="bottom"/>
            <w:tcBorders>
              <w:top w:val="single" w:sz="8" w:color="0000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320" w:type="dxa"/>
            <w:vAlign w:val="bottom"/>
            <w:gridSpan w:val="2"/>
          </w:tcPr>
          <w:p>
            <w:pPr>
              <w:spacing w:after="0"/>
              <w:rPr>
                <w:sz w:val="15"/>
                <w:szCs w:val="15"/>
                <w:color w:val="auto"/>
              </w:rPr>
            </w:pP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6660" w:type="dxa"/>
            <w:vAlign w:val="bottom"/>
            <w:gridSpan w:val="10"/>
          </w:tcPr>
          <w:p>
            <w:pPr>
              <w:spacing w:after="0"/>
              <w:rPr>
                <w:sz w:val="15"/>
                <w:szCs w:val="15"/>
                <w:color w:val="auto"/>
              </w:rPr>
            </w:pP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960" w:type="dxa"/>
            <w:vAlign w:val="bottom"/>
            <w:tcBorders>
              <w:bottom w:val="single" w:sz="8" w:color="EEEEEE"/>
            </w:tcBorders>
            <w:gridSpan w:val="8"/>
            <w:shd w:val="clear" w:color="auto" w:fill="EEEEEE"/>
          </w:tcPr>
          <w:p>
            <w:pPr>
              <w:spacing w:after="0"/>
              <w:rPr>
                <w:sz w:val="17"/>
                <w:szCs w:val="17"/>
                <w:color w:val="auto"/>
              </w:rPr>
            </w:pPr>
          </w:p>
        </w:tc>
        <w:tc>
          <w:tcPr>
            <w:tcW w:w="2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780" w:type="dxa"/>
            <w:vAlign w:val="bottom"/>
            <w:tcBorders>
              <w:bottom w:val="single" w:sz="8" w:color="EEEEEE"/>
            </w:tcBorders>
            <w:gridSpan w:val="13"/>
            <w:shd w:val="clear" w:color="auto" w:fill="EEEEEE"/>
          </w:tcPr>
          <w:p>
            <w:pPr>
              <w:spacing w:after="0"/>
              <w:rPr>
                <w:sz w:val="17"/>
                <w:szCs w:val="17"/>
                <w:color w:val="auto"/>
              </w:rPr>
            </w:pPr>
          </w:p>
        </w:tc>
        <w:tc>
          <w:tcPr>
            <w:tcW w:w="2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1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FEDERAL INCOME TAX CONSIDERATIONS</w:t>
            </w:r>
          </w:p>
        </w:tc>
        <w:tc>
          <w:tcPr>
            <w:tcW w:w="4480" w:type="dxa"/>
            <w:vAlign w:val="bottom"/>
            <w:tcBorders>
              <w:bottom w:val="single" w:sz="8" w:color="EEEEEE"/>
            </w:tcBorders>
            <w:gridSpan w:val="3"/>
            <w:shd w:val="clear" w:color="auto" w:fill="EEEEEE"/>
          </w:tcPr>
          <w:p>
            <w:pPr>
              <w:spacing w:after="0"/>
              <w:rPr>
                <w:sz w:val="17"/>
                <w:szCs w:val="17"/>
                <w:color w:val="auto"/>
              </w:rPr>
            </w:pPr>
          </w:p>
        </w:tc>
        <w:tc>
          <w:tcPr>
            <w:tcW w:w="2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document consists of two parts. The first part is this Prospectus Supplement, which describes certain terms of the Common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Common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and the Agents have not, authorized anyone to provide investors with different or additional information. The Corporation is not, and the Agents are not, making an offer to sell Common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The Ontario Securities Commission issued a receipt dated September 17, 2025, (the "</w:t>
      </w:r>
      <w:r>
        <w:rPr>
          <w:rFonts w:ascii="Times New Roman" w:cs="Times New Roman" w:eastAsia="Times New Roman" w:hAnsi="Times New Roman"/>
          <w:sz w:val="22"/>
          <w:szCs w:val="22"/>
          <w:b w:val="1"/>
          <w:bCs w:val="1"/>
          <w:color w:val="auto"/>
        </w:rPr>
        <w:t>Receipt</w:t>
      </w:r>
      <w:r>
        <w:rPr>
          <w:rFonts w:ascii="Times New Roman" w:cs="Times New Roman" w:eastAsia="Times New Roman" w:hAnsi="Times New Roman"/>
          <w:sz w:val="22"/>
          <w:szCs w:val="22"/>
          <w:color w:val="auto"/>
        </w:rPr>
        <w:t xml:space="preserve">")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Base Shelf Prospectus also forms part of the Registration Statement on Form F-10 (File No. 333-289139), which was filed with the SEC on July 31, 2025 as amended on September 17, 2025, under the U.S. Securities Act utilizing the MJDS. The Registration Statement was declared effective under the U.S. Securities Act on September 17,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Unless otherwise indicated, or the context otherwise indicates or requires,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the Base Shelf Prospectus,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680"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3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Some of the risks which could affect future results and could cause results to differ materially from those expressed in the forward-looking statements contained herein include: the net proceeds, if any, from sales under this Prospectus Supplement; the Corporation's use of proceeds and business objectives and milestones and the anticipated timing of execution, see </w:t>
      </w:r>
      <w:r>
        <w:rPr>
          <w:rFonts w:ascii="Times New Roman" w:cs="Times New Roman" w:eastAsia="Times New Roman" w:hAnsi="Times New Roman"/>
          <w:sz w:val="22"/>
          <w:szCs w:val="22"/>
          <w:i w:val="1"/>
          <w:iCs w:val="1"/>
          <w:color w:val="auto"/>
        </w:rPr>
        <w:t>"Use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Proceeds"</w:t>
      </w:r>
      <w:r>
        <w:rPr>
          <w:rFonts w:ascii="Times New Roman" w:cs="Times New Roman" w:eastAsia="Times New Roman" w:hAnsi="Times New Roman"/>
          <w:sz w:val="22"/>
          <w:szCs w:val="22"/>
          <w:color w:val="auto"/>
        </w:rPr>
        <w:t>; limited operating history; achieving publicly announced milestones; speculative nature of investment risk; early stage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industry and product development; regulatory risks and uncertainties; risks of operating in in Australia and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decriminalization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operating cash flow;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Registrable Common Shares is highly speculative; completion of the Offering; negative operating cash flow; discretion in the use of proceeds; need for additional financing; potential dilution; trading market; volatile market price of the Common Shares; significant sales of Common Shares; positive return not guaranteed; application and interpretation of tax laws; enforcement of civil liabilities; the Corporation's expectation that it will be a "passive foreign investment company"; and litigation risk.</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3" w:lineRule="exact"/>
        <w:rPr>
          <w:sz w:val="20"/>
          <w:szCs w:val="20"/>
          <w:color w:val="auto"/>
        </w:rPr>
      </w:pPr>
    </w:p>
    <w:p>
      <w:pPr>
        <w:ind w:left="660" w:hanging="331"/>
        <w:spacing w:after="0" w:line="241"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31"/>
        <w:spacing w:after="0" w:line="237"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660" w:right="20" w:hanging="331"/>
        <w:spacing w:after="0" w:line="242"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31"/>
        <w:spacing w:after="0" w:line="237"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the United Kingdom, Canada, the Netherlands, Ireland, Poland, Greece, Australia and other jurisdictions in which the Corporation operates.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42" w:lineRule="exact"/>
        <w:rPr>
          <w:sz w:val="20"/>
          <w:szCs w:val="20"/>
          <w:color w:val="auto"/>
        </w:rPr>
      </w:pPr>
    </w:p>
    <w:p>
      <w:pPr>
        <w:ind w:left="520" w:right="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ind w:left="520" w:hanging="256"/>
        <w:spacing w:after="0" w:line="259"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6"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2025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27" w:lineRule="exact"/>
        <w:rPr>
          <w:rFonts w:ascii="Times New Roman" w:cs="Times New Roman" w:eastAsia="Times New Roman" w:hAnsi="Times New Roman"/>
          <w:sz w:val="22"/>
          <w:szCs w:val="22"/>
          <w:color w:val="auto"/>
        </w:rPr>
      </w:pPr>
    </w:p>
    <w:p>
      <w:pPr>
        <w:jc w:val="both"/>
        <w:ind w:left="520" w:hanging="256"/>
        <w:spacing w:after="0" w:line="241"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(the "</w:t>
      </w:r>
      <w:r>
        <w:rPr>
          <w:rFonts w:ascii="Times New Roman" w:cs="Times New Roman" w:eastAsia="Times New Roman" w:hAnsi="Times New Roman"/>
          <w:sz w:val="22"/>
          <w:szCs w:val="22"/>
          <w:b w:val="1"/>
          <w:bCs w:val="1"/>
          <w:color w:val="auto"/>
        </w:rPr>
        <w:t>June 2025 Private Placement</w:t>
      </w:r>
      <w:r>
        <w:rPr>
          <w:rFonts w:ascii="Times New Roman" w:cs="Times New Roman" w:eastAsia="Times New Roman" w:hAnsi="Times New Roman"/>
          <w:sz w:val="22"/>
          <w:szCs w:val="22"/>
          <w:color w:val="auto"/>
        </w:rPr>
        <w:t>") completed by the Corporation on June 30, 2025, of US$50,000,000 aggregate principal amount of unsecured convertible debentures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pursuant to a securities purchase agreement between the Corporation and a single investor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w:t>
      </w:r>
    </w:p>
    <w:p>
      <w:pPr>
        <w:spacing w:after="0" w:line="161" w:lineRule="exact"/>
        <w:rPr>
          <w:rFonts w:ascii="Times New Roman" w:cs="Times New Roman" w:eastAsia="Times New Roman" w:hAnsi="Times New Roman"/>
          <w:sz w:val="22"/>
          <w:szCs w:val="22"/>
          <w:color w:val="auto"/>
        </w:rPr>
      </w:pPr>
    </w:p>
    <w:p>
      <w:pPr>
        <w:jc w:val="both"/>
        <w:ind w:left="520" w:hanging="256"/>
        <w:spacing w:after="0" w:line="238"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7, 2025, relating to the registered direct offering (the "</w:t>
      </w:r>
      <w:r>
        <w:rPr>
          <w:rFonts w:ascii="Times New Roman" w:cs="Times New Roman" w:eastAsia="Times New Roman" w:hAnsi="Times New Roman"/>
          <w:sz w:val="22"/>
          <w:szCs w:val="22"/>
          <w:b w:val="1"/>
          <w:bCs w:val="1"/>
          <w:color w:val="auto"/>
        </w:rPr>
        <w:t>October 2025 Offering</w:t>
      </w:r>
      <w:r>
        <w:rPr>
          <w:rFonts w:ascii="Times New Roman" w:cs="Times New Roman" w:eastAsia="Times New Roman" w:hAnsi="Times New Roman"/>
          <w:sz w:val="22"/>
          <w:szCs w:val="22"/>
          <w:color w:val="auto"/>
        </w:rPr>
        <w:t>") of 22,277,750 Common Shares and, in lieu of Common Shares to certain investors, 4,605,500 pre-funded Common Share purchase warrants (the "</w:t>
      </w:r>
      <w:r>
        <w:rPr>
          <w:rFonts w:ascii="Times New Roman" w:cs="Times New Roman" w:eastAsia="Times New Roman" w:hAnsi="Times New Roman"/>
          <w:sz w:val="22"/>
          <w:szCs w:val="22"/>
          <w:b w:val="1"/>
          <w:bCs w:val="1"/>
          <w:color w:val="auto"/>
        </w:rPr>
        <w:t>Pre-Funded Warrants</w:t>
      </w:r>
      <w:r>
        <w:rPr>
          <w:rFonts w:ascii="Times New Roman" w:cs="Times New Roman" w:eastAsia="Times New Roman" w:hAnsi="Times New Roman"/>
          <w:sz w:val="22"/>
          <w:szCs w:val="22"/>
          <w:color w:val="auto"/>
        </w:rPr>
        <w:t>") at a price of US$6.51 per Common Share and US$6.50999 per Pre-Funded Warrant for aggregate gross proceeds of US$175,009,911.45. Each Common Share and each Pre-Funded Warrant was accompanied by 0.35 of one Common Share purchase warrant; and</w:t>
      </w:r>
    </w:p>
    <w:p>
      <w:pPr>
        <w:spacing w:after="0" w:line="15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Any document of the type referred to in Section 11.1 of Form 44-101F1 - Short Form Prospectus Distributions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if the Corporation disseminates a news release in respect of previously undisclosed information that, in the Corporation's determination, constitutes a "material fact" (as such term is defined under applicable Canadian securities laws), the Corporation will identify such news release as a "designated news release" for the purposes of the Prospectus in writing on the face page of the version of such news release that the Corporation files on SEDAR+ (any such news release, a "</w:t>
      </w:r>
      <w:r>
        <w:rPr>
          <w:rFonts w:ascii="Times New Roman" w:cs="Times New Roman" w:eastAsia="Times New Roman" w:hAnsi="Times New Roman"/>
          <w:sz w:val="22"/>
          <w:szCs w:val="22"/>
          <w:b w:val="1"/>
          <w:bCs w:val="1"/>
          <w:color w:val="auto"/>
        </w:rPr>
        <w:t>Designated News Release</w:t>
      </w:r>
      <w:r>
        <w:rPr>
          <w:rFonts w:ascii="Times New Roman" w:cs="Times New Roman" w:eastAsia="Times New Roman" w:hAnsi="Times New Roman"/>
          <w:sz w:val="22"/>
          <w:szCs w:val="22"/>
          <w:color w:val="auto"/>
        </w:rPr>
        <w:t>"), and any such Designated News Release shall be deemed to be incorporated by reference into the Prospectus only for the purposes of the Offering. These documents will be available through the internet on the Corporation's SEDAR+ profile, which can be accessed at www.sedarplus.ca. In addition, any other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Supplement and prior to the termination or completion of the Offering shall be deemed to be incorporated by reference as exhibits to the Registration Statement of which this Prospectus Supplement and accompanying Base Shelf Prospectus forms a part, but in the case of any report on Form 6-K, only if and to the extent expressly so provided in any such report. The Corporation's current reports on Form 6-K and annual reports on Form 40-F are available on EDGAR at www.sec.gov/edgar.</w:t>
      </w:r>
    </w:p>
    <w:p>
      <w:pPr>
        <w:spacing w:after="0" w:line="15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Copies of the documents incorporated by reference herein will be available electronically on the Corporation's SEDAR+ profile, which can be accessed at www.sedarplus.ca, and from the Corporation's EDGAR profile at www.sec.gov/edgar. The Corporation's filings through SEDAR+ and EDGAR are not incorporated by reference in the Prospectus except as specifically set out herein.</w:t>
      </w:r>
      <w:r>
        <w:rPr>
          <w:rFonts w:ascii="Times New Roman" w:cs="Times New Roman" w:eastAsia="Times New Roman" w:hAnsi="Times New Roman"/>
          <w:sz w:val="22"/>
          <w:szCs w:val="22"/>
          <w:b w:val="1"/>
          <w:bCs w:val="1"/>
          <w:color w:val="auto"/>
        </w:rPr>
        <w:t>Any statement contained in this Prospectus Supplement, the Base Shelf Prospectus or in a document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Neither the Corporation nor the Agents have provided or otherwise authorized any other person to provide investors with information other than that contained or incorporated by reference in this Prospectus Supplement or accompanying Base Shelf Prospectus, and neither the Corporation nor the Agents take any responsibility for other information that others may give an investor. If an investor is provided with different or inconsistent information, he or she should not rely on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the Distribution Agreement; (ii) powers of attorney from certain of the Corporation's directors and officers (included on the signature page of the Registration Statement); (iii) the consent of Zeifmans LLP; and (iv) the consent of the Corporation's Canadian counsel, Aird &amp; Berlis LLP.</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March 31,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740" w:type="dxa"/>
            <w:vAlign w:val="bottom"/>
            <w:tcBorders>
              <w:bottom w:val="single" w:sz="8" w:color="E6EFFF"/>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80" w:type="dxa"/>
            <w:vAlign w:val="bottom"/>
            <w:tcBorders>
              <w:bottom w:val="single" w:sz="8" w:color="E6EF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r>
      <w:tr>
        <w:trPr>
          <w:trHeight w:val="210"/>
        </w:trPr>
        <w:tc>
          <w:tcPr>
            <w:tcW w:w="57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2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C$1.4603</w:t>
            </w:r>
          </w:p>
        </w:tc>
        <w:tc>
          <w:tcPr>
            <w:tcW w:w="180" w:type="dxa"/>
            <w:vAlign w:val="bottom"/>
            <w:shd w:val="clear" w:color="auto" w:fill="E6EFFF"/>
          </w:tcPr>
          <w:p>
            <w:pPr>
              <w:spacing w:after="0"/>
              <w:rPr>
                <w:sz w:val="18"/>
                <w:szCs w:val="18"/>
                <w:color w:val="auto"/>
              </w:rPr>
            </w:pPr>
          </w:p>
        </w:tc>
        <w:tc>
          <w:tcPr>
            <w:tcW w:w="20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C$1.4348</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C$1.3460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C$1.3558</w:t>
            </w:r>
          </w:p>
        </w:tc>
      </w:tr>
      <w:tr>
        <w:trPr>
          <w:trHeight w:val="216"/>
        </w:trPr>
        <w:tc>
          <w:tcPr>
            <w:tcW w:w="57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2340" w:type="dxa"/>
            <w:vAlign w:val="bottom"/>
            <w:gridSpan w:val="2"/>
            <w:shd w:val="clear" w:color="auto" w:fill="E6EFFF"/>
          </w:tcPr>
          <w:p>
            <w:pPr>
              <w:jc w:val="center"/>
              <w:ind w:right="180"/>
              <w:spacing w:after="0"/>
              <w:rPr>
                <w:sz w:val="20"/>
                <w:szCs w:val="20"/>
                <w:color w:val="auto"/>
              </w:rPr>
            </w:pPr>
            <w:r>
              <w:rPr>
                <w:rFonts w:ascii="Times New Roman" w:cs="Times New Roman" w:eastAsia="Times New Roman" w:hAnsi="Times New Roman"/>
                <w:sz w:val="18"/>
                <w:szCs w:val="18"/>
                <w:color w:val="auto"/>
              </w:rPr>
              <w:t>C$1.3913</w:t>
            </w:r>
          </w:p>
        </w:tc>
        <w:tc>
          <w:tcPr>
            <w:tcW w:w="20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C$1.3807</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C$1.4376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C$1.3921</w:t>
            </w:r>
          </w:p>
        </w:tc>
      </w:tr>
    </w:tbl>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December 29, 2025, the daily average exchange rate posted by the Bank of Canada for conversion of U.S. dollars into Canadian dollars was US$1.00 = C$1.3686 (the "</w:t>
      </w:r>
      <w:r>
        <w:rPr>
          <w:rFonts w:ascii="Times New Roman" w:cs="Times New Roman" w:eastAsia="Times New Roman" w:hAnsi="Times New Roman"/>
          <w:sz w:val="22"/>
          <w:szCs w:val="22"/>
          <w:b w:val="1"/>
          <w:bCs w:val="1"/>
          <w:color w:val="auto"/>
        </w:rPr>
        <w:t>2025 Rate</w:t>
      </w:r>
      <w:r>
        <w:rPr>
          <w:rFonts w:ascii="Times New Roman" w:cs="Times New Roman" w:eastAsia="Times New Roman" w:hAnsi="Times New Roman"/>
          <w:sz w:val="22"/>
          <w:szCs w:val="22"/>
          <w:color w:val="auto"/>
        </w:rPr>
        <w:t>"). Unless otherwise indicated, currency translation in this Prospectus Supplement reflects the 2025 Rate.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filed with the SEC the Registration Statement under the U.S. Securities Act with respect to the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www.sec.gov/edgar. Reference is also made to the Registration Statement and the exhibits thereto for further information with respect to the Corporation, the Offering and the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Common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1</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2"/>
          <w:szCs w:val="22"/>
          <w:b w:val="1"/>
          <w:bCs w:val="1"/>
          <w:color w:val="auto"/>
        </w:rPr>
        <w:t>IP</w:t>
      </w:r>
      <w:r>
        <w:rPr>
          <w:rFonts w:ascii="Times New Roman" w:cs="Times New Roman" w:eastAsia="Times New Roman" w:hAnsi="Times New Roman"/>
          <w:sz w:val="22"/>
          <w:szCs w:val="22"/>
          <w:color w:val="auto"/>
        </w:rPr>
        <w:t>")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and tryptamine derivatives, and an expansive list of preclinical molecules to facilitate future drug development opportunities.</w:t>
      </w:r>
    </w:p>
    <w:p>
      <w:pPr>
        <w:spacing w:after="0" w:line="1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On April 1, 2024, pursuant to the provisions of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Cybin Corp., with Cybin Corp. being the resulting entity. As a result of this amalgamation, Cybin UK Ltd is now a wholly-owned subsidiary of Cybin Corp.</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100 granted patents and over 250 pending applications.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 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The Corporation is also developing compounds that may have the potential to address neuroinflammation</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central nervous system disorders, and psychiatric disorders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57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59" w:lineRule="exact"/>
        <w:rPr>
          <w:sz w:val="20"/>
          <w:szCs w:val="20"/>
          <w:color w:val="auto"/>
        </w:rPr>
      </w:pPr>
    </w:p>
    <w:p>
      <w:pPr>
        <w:jc w:val="both"/>
        <w:ind w:firstLine="8"/>
        <w:spacing w:after="0" w:line="220" w:lineRule="auto"/>
        <w:tabs>
          <w:tab w:leader="none" w:pos="16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line="200"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ind w:firstLine="8"/>
        <w:spacing w:after="0" w:line="180" w:lineRule="auto"/>
        <w:tabs>
          <w:tab w:leader="none" w:pos="176"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8" w:right="339" w:bottom="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1"/>
          <w:szCs w:val="21"/>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128270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3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and neurological conditions.</w:t>
      </w:r>
      <w:r>
        <w:rPr>
          <w:rFonts w:ascii="Times New Roman" w:cs="Times New Roman" w:eastAsia="Times New Roman" w:hAnsi="Times New Roman"/>
          <w:sz w:val="35"/>
          <w:szCs w:val="35"/>
          <w:color w:val="auto"/>
          <w:vertAlign w:val="superscript"/>
        </w:rPr>
        <w:t>7</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 Supplement.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generally in this Prospectus Supplement, the Base Shelf Prospectus or the documents incorporated by reference herein, there have been no material developments in the business of the Corporation, since November 12, 2025, the date of the Corporation's most recently issued Interim Financial Statements and the Interim MD&amp;A.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92075</wp:posOffset>
            </wp:positionV>
            <wp:extent cx="4406265" cy="2922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0626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COMMON SHARES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December 30, 2025, the Corporation had 49,894,131 Common Shares and nil preferred shares issued and outstanding.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xml:space="preserve">").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 Distributed - Common Shares"</w:t>
      </w:r>
      <w:r>
        <w:rPr>
          <w:rFonts w:ascii="Times New Roman" w:cs="Times New Roman" w:eastAsia="Times New Roman" w:hAnsi="Times New Roman"/>
          <w:sz w:val="22"/>
          <w:szCs w:val="22"/>
          <w:color w:val="auto"/>
        </w:rPr>
        <w:t xml:space="preserve"> in the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3571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60"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7</w:t>
      </w:r>
      <w:r>
        <w:rPr>
          <w:rFonts w:ascii="Times New Roman" w:cs="Times New Roman" w:eastAsia="Times New Roman" w:hAnsi="Times New Roman"/>
          <w:sz w:val="22"/>
          <w:szCs w:val="22"/>
          <w:color w:val="auto"/>
        </w:rPr>
        <w:t xml:space="preserve"> See footnote 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ind w:left="80"/>
        <w:spacing w:after="0" w:line="236" w:lineRule="auto"/>
        <w:rPr>
          <w:sz w:val="20"/>
          <w:szCs w:val="20"/>
          <w:color w:val="auto"/>
        </w:rPr>
      </w:pPr>
      <w:r>
        <w:rPr>
          <w:rFonts w:ascii="Times New Roman" w:cs="Times New Roman" w:eastAsia="Times New Roman" w:hAnsi="Times New Roman"/>
          <w:sz w:val="22"/>
          <w:szCs w:val="22"/>
          <w:color w:val="auto"/>
        </w:rPr>
        <w:t>As of December 30, 2025, the Corporation had 49,894,131 Common Shares issued and outstanding. There have been no material changes in the Corporation's share or loan capitalization on a consolidated basis since the date of the Interim Financial Statements, other than the issuance of a total of 48,240 options to purchase Common Shares as described further below under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 As a result of the Offering, the shareholder's equity of the Corporation will increase by the amount of the net proceeds of the Offering and the number of issued and outstanding Common Shares will increase by the number of Common Shares actually distributed under the Offering.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net proceeds from the Offering are not determinable in light of the nature of the distribution. The net proceeds of any given distribution of Common Shares through the Agents in an "at-the-market distribution" or "at-the-market offering" will represent the gross proceeds after deducting the applicable compensation payable to the Agents under the Distribution Agreement and the expenses of the distribution. The proceeds actually received by the Corporation will depend on the number of Common Shares actually sold and the offering price of such Common Shares.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Assuming net proceeds of the maximum of US$97,000,000 on or before the expiry of the Prospectus on October 17, 2027, the Corporation intends to use the net proceeds of the Offering for: (i) growth opportunities, and (ii) working capital initiatives. 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To the extent the Corporation requires additional capital, it may raise funds through debt and equity financing in the future.</w:t>
      </w:r>
    </w:p>
    <w:p>
      <w:pPr>
        <w:spacing w:after="0" w:line="1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use of the net proceeds of the Offering to fund potential growth initiatives and other strategic opportunities is subject to change due to the influence of many evolving variables, including those as described under </w:t>
      </w:r>
      <w:r>
        <w:rPr>
          <w:rFonts w:ascii="Times New Roman" w:cs="Times New Roman" w:eastAsia="Times New Roman" w:hAnsi="Times New Roman"/>
          <w:sz w:val="22"/>
          <w:szCs w:val="22"/>
          <w:i w:val="1"/>
          <w:iCs w:val="1"/>
          <w:color w:val="auto"/>
        </w:rPr>
        <w:t>"Stage of Development"</w:t>
      </w:r>
      <w:r>
        <w:rPr>
          <w:rFonts w:ascii="Times New Roman" w:cs="Times New Roman" w:eastAsia="Times New Roman" w:hAnsi="Times New Roman"/>
          <w:sz w:val="22"/>
          <w:szCs w:val="22"/>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Times New Roman" w:cs="Times New Roman" w:eastAsia="Times New Roman" w:hAnsi="Times New Roman"/>
          <w:sz w:val="22"/>
          <w:szCs w:val="22"/>
          <w:i w:val="1"/>
          <w:iCs w:val="1"/>
          <w:color w:val="auto"/>
        </w:rPr>
        <w:t>"Cautionary Statement Regarding Forward-Looking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Times New Roman" w:cs="Times New Roman" w:eastAsia="Times New Roman" w:hAnsi="Times New Roman"/>
          <w:sz w:val="22"/>
          <w:szCs w:val="22"/>
          <w:i w:val="1"/>
          <w:iCs w:val="1"/>
          <w:color w:val="auto"/>
        </w:rPr>
        <w:t>"Risk Factors - Risks Related to the Offering - Discretion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 Use of Proceeds"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US$537,755,000 in gross proceeds through private placement and prospectus offerings. The Corporation has experienced operating losses and cash outflows from operations since incorporation and will require ongoing financing to continue its research and development activities.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the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Negative Operating Cash Flow".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jc w:val="both"/>
        <w:spacing w:after="0" w:line="244" w:lineRule="auto"/>
        <w:rPr>
          <w:sz w:val="20"/>
          <w:szCs w:val="20"/>
          <w:color w:val="auto"/>
        </w:rPr>
      </w:pPr>
      <w:r>
        <w:rPr>
          <w:rFonts w:ascii="Times New Roman" w:cs="Times New Roman" w:eastAsia="Times New Roman" w:hAnsi="Times New Roman"/>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the Annual Information Form and the Interim MD&amp;A, to which there has been no material changes since the date of the applicable document.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entered into the Distribution Agreement with the Agents under which the Corporation may issue and sell from time to time Common Shares having an aggregate sale price of up to US$100,000,000 (or the equivalent in Canadian dollars determined using the daily exchange rate posted by the Bank of Canada on the date the Common Shares are sold) in each of the provinces and territories of Canada and in the United States pursuant to placement notices delivered by the Corporation to the Agents from time to time in accordance with the terms of the Distribution Agreement. Sales of Common Shares, if any, will be made in transactions that are deemed to be “at-the-market distributions” as defined in NI 44-102 and an “at-the-market offering” as defined in Rule 415(a)(4) under the U.S. Securities Act, including sales made: (i) in privately negotiated transactions with the Corporation’s consent and, if required, the consent of Cboe Canada and NYSE American or Nasdaq, as applicable; (ii) as block transactions; (iii) directly on Cboe Canada by the Canadian Agent, and on NYSE American or Nasdaq, as applicable, by the US Agent, or any other recognized marketplace upon which the Common Shares are listed or quoted or where the Common Shares are traded in Canada or the United States; or (iv) by any method permitted by law.</w:t>
      </w:r>
    </w:p>
    <w:p>
      <w:pPr>
        <w:spacing w:after="0" w:line="1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the pricing parameters in a placement notice, the Common Shares will be distributed at the market prices prevailing at the time of the sale. As a result, prices may vary as between purchasers and during the period of distribution. The Corporation cannot predict the number of Common Shares that the Corporation may sell under the Distribution Agreement on Cboe Canada, </w:t>
      </w:r>
      <w:r>
        <w:rPr>
          <w:rFonts w:ascii="Times New Roman" w:cs="Times New Roman" w:eastAsia="Times New Roman" w:hAnsi="Times New Roman"/>
          <w:sz w:val="22"/>
          <w:szCs w:val="22"/>
          <w:u w:val="single" w:color="auto"/>
          <w:color w:val="auto"/>
        </w:rPr>
        <w:t>NYSE American, Nasdaq or any other trading market for the Common Shares in Canada or the United States, or if any</w:t>
      </w:r>
      <w:r>
        <w:rPr>
          <w:rFonts w:ascii="Times New Roman" w:cs="Times New Roman" w:eastAsia="Times New Roman" w:hAnsi="Times New Roman"/>
          <w:sz w:val="22"/>
          <w:szCs w:val="22"/>
          <w:color w:val="auto"/>
        </w:rPr>
        <w:t xml:space="preserve"> Common Shares will be sold.</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Agents are not required to sell any specific number or dollar amount of Common Shares, but will use their commercially reasonable efforts to sell the Common Shares pursuant to the terms and conditions of the Distribution Agreement. </w:t>
      </w:r>
      <w:r>
        <w:rPr>
          <w:rFonts w:ascii="Times New Roman" w:cs="Times New Roman" w:eastAsia="Times New Roman" w:hAnsi="Times New Roman"/>
          <w:sz w:val="22"/>
          <w:szCs w:val="22"/>
          <w:b w:val="1"/>
          <w:bCs w:val="1"/>
          <w:color w:val="auto"/>
        </w:rPr>
        <w:t>There is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minimum amount of funds that must be raised under the Offering. This means that the Offering may terminate after only raising a small portion of the offering amount set out above, or none at all.</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Agents will offer the Common Shares subject to the terms and conditions of the Distribution Agreement from time to time or as otherwise agreed upon by the Corporation and the Agents. Subject to the terms and conditions of the Distribution Agreement, the Agents will use their commercially reasonable efforts to sell, on the Corporation's behalf, all of the Common Shares requested to be sold by the Corporation. The Corporation may instruct the Agents not to sell Common Shares if the sales cannot be achieved at or above the price designated by the Corporation in a particular placement notice.</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Corporation nor the Agents may suspend the Offering without proper notice to the other party. The Corporation and the Agents each have the right, by giving written notice as specified in the Distribution Agreement, to terminate the Distribution Agreement in each party's sole discretion at any time. Pursuant to the Distribution Agreement, the Offering will terminate upon the earliest of (i) the termination of the Distribution Agreement as provided for therein, (ii) such date that the aggregate gross proceeds from sales of Common Shares pursuant to the Distribution Agreement equal US$100,000,000, (iii) October 17, 2027, being the date the Base Shelf Prospectus lapses in accordance with Canadian securities law, or (iv) the date the Base Shelf Prospectus is withdrawn.</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will pay the Agents the Commission for their services in acting as agent in connection with the sale of Common Shares pursuant to the Distribution Agreement in an amount equal to 3% of the gross sale price per Common Share sold (the “</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Provided, however, that the Corporation shall not be obligated to pay the Agents any Commission on any sale of Common Shares that it is not possible to settle due to (i) a suspension or material limitation in trading in securities generally on Cboe Canada or NYSE American or Nasdaq, as applicable, (ii) a material disruption in securities settlement or clearance services in Canada or the United States, (iii) failure by the applicable Agent to comply with its obligations under the terms of the Distribution Agreement; or (iv) if the Corporation and the Agents agree, pursuant to the terms of the Distribution Agreement, that no sale of Common shares will take place. The sales proceeds remaining after payment of the Commission and after deducting any expenses payable by the Corporation and any transaction or filing fees imposed by any governmental, regulatory, or self-regulatory organization in connection with the sales, will equal the net proceeds to the Corporation from the sale of such Common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spacing w:after="0" w:line="234" w:lineRule="auto"/>
        <w:rPr>
          <w:sz w:val="20"/>
          <w:szCs w:val="20"/>
          <w:color w:val="auto"/>
        </w:rPr>
      </w:pPr>
      <w:r>
        <w:rPr>
          <w:rFonts w:ascii="Times New Roman" w:cs="Times New Roman" w:eastAsia="Times New Roman" w:hAnsi="Times New Roman"/>
          <w:sz w:val="22"/>
          <w:szCs w:val="22"/>
          <w:color w:val="auto"/>
        </w:rPr>
        <w:t>The applicable Agent or Agents will provide written confirmation to the Corporation no later than the opening of the trading day immediately following the trading day on which it has made sales of the Common Shares under the Distribution Agreement. Each confirmation will include the number of Common Shares sold on such day (including the number of Common Shares sold on Cboe Canada and or NYSE American or Nasdaq, as applicable, or on any other marketplace in Canada or the United States), the average price of the Common Shares sold on such day (including the average price of Common Shares sold on Cboe Canada, NYSE American or Nasdaq, as applicable or on any other marketplace in Canada or the United States), the gross proceeds, the Commission payable by the Corporation to the Agents with respect to such sales and the net proceeds payable to the Corporation. The Agents will also assist the Corporation with such other periodic reporting as may be reasonably requested by the Corporation with respect to the sales of Common Shares.</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will disclose the number and average price of the Common Shares sold under this Prospectus Supplement, as well as the gross proceeds, Commission and net proceeds from sales hereunder in the Corporation's annual and interim financial statements and related management discussion &amp; analysis, annual information forms and annual reports on Form 40-F, filed on SEDAR+ and filed or furnished, as applicable, with the SEC on EDGAR, for any quarters or annual periods in which sales of Common Shares occur.</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Settlement for sales of Common Shares will occur, unless otherwise specified in an applicable placement notice, on the second trading day on the applicable exchange following the date on which any sales were made in return for payment of the net proceeds to the Corporation. There is no arrangement for funds to be received in an escrow, trust or similar arrangement. Sales of Common Shares in the United States will be settled through the facilities of The Depository Trust Corporation or by such other means as the Corporation and the Agents may agree upon and sales of Common Shares in Canada will be settled through the facilities of The Canadian Depository for Securities or by such other means as the Corporation and the Agents may agree.</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Offering is being made in Canada under the terms of this Prospectus Supplement and concurrently in the United States under the terms of the Registration Statement filed with the SEC of which this Prospectus Supplement forms a part. </w:t>
      </w:r>
      <w:r>
        <w:rPr>
          <w:rFonts w:ascii="Times New Roman" w:cs="Times New Roman" w:eastAsia="Times New Roman" w:hAnsi="Times New Roman"/>
          <w:sz w:val="22"/>
          <w:szCs w:val="22"/>
          <w:b w:val="1"/>
          <w:bCs w:val="1"/>
          <w:color w:val="auto"/>
        </w:rPr>
        <w:t>In connection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agreed to pay the reasonable fees, disbursements and expenses of counsel to the Agents in connection with the Offering, subject to the terms of the Distribution Agreement and any other agreement in writing between the Corporation and the Agents. No agent, underwriter or dealer involved in the distribution of Common Shares under the Offering, no affiliate of such an agent, underwriter or dealer and no person or company acting jointly or in concert with such an agent, underwriter or dealer has over-allotted, or will over-allot, securities in connection with such distribution or effected, or will affect any other transactions that are intended to stabilize or maintain the market price of the Common Shares.</w:t>
      </w:r>
    </w:p>
    <w:p>
      <w:pPr>
        <w:spacing w:after="0" w:line="14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total expenses related to the commencement of the Offering to be paid by the Corporation, excluding the Commission payable to the Agents under the Distribution Agreement, are estimated to be approximately up to US$300,000.</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of the Agents and its affiliates have in the past provided and may in the future provide various investment banking, commercial banking and other financial services for the Corporation and its affiliates, for which services they have received and may in the future receive customary fees. To the extent required by Regulation M, the Agents will not engage in any market making activities involving the Common Shares while the Offering is ongoing under this Prospectus Supplement.</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applied to list the Common Shares offered by this Prospectus Supplement on Cboe Canada. Listing will be subject to the Corporation fulfilling all of the listing requirements of Cboe Canada and NYSE American or Nasdaq, as applicable.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Cboe Canada and NYSE American under the symbol "CYBN". The following table sets forth the reported monthly range of high and low prices per Common Share and total monthly volumes traded on Cboe Canada and NYSE American for each of the months indicated during the 12-month period prior to the date of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Cboe Canada Price Range</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73"/>
        </w:trPr>
        <w:tc>
          <w:tcPr>
            <w:tcW w:w="3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3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3"/>
              </w:rPr>
              <w:t xml:space="preserve">High </w:t>
            </w:r>
            <w:r>
              <w:rPr>
                <w:rFonts w:ascii="Times New Roman" w:cs="Times New Roman" w:eastAsia="Times New Roman" w:hAnsi="Times New Roman"/>
                <w:sz w:val="18"/>
                <w:szCs w:val="18"/>
                <w:color w:val="auto"/>
                <w:w w:val="93"/>
              </w:rPr>
              <w:t>(C$)</w:t>
            </w:r>
            <w:r>
              <w:rPr>
                <w:rFonts w:ascii="Times New Roman" w:cs="Times New Roman" w:eastAsia="Times New Roman" w:hAnsi="Times New Roman"/>
                <w:sz w:val="29"/>
                <w:szCs w:val="29"/>
                <w:b w:val="1"/>
                <w:bCs w:val="1"/>
                <w:color w:val="auto"/>
                <w:w w:val="93"/>
                <w:vertAlign w:val="superscript"/>
              </w:rPr>
              <w:t>(1)</w:t>
            </w: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9"/>
              </w:rPr>
              <w:t>Volume</w:t>
            </w:r>
            <w:r>
              <w:rPr>
                <w:rFonts w:ascii="Times New Roman" w:cs="Times New Roman" w:eastAsia="Times New Roman" w:hAnsi="Times New Roman"/>
                <w:sz w:val="29"/>
                <w:szCs w:val="29"/>
                <w:b w:val="1"/>
                <w:bCs w:val="1"/>
                <w:color w:val="auto"/>
                <w:w w:val="89"/>
                <w:vertAlign w:val="superscript"/>
              </w:rPr>
              <w:t>(1)</w:t>
            </w:r>
          </w:p>
        </w:tc>
      </w:tr>
      <w:tr>
        <w:trPr>
          <w:trHeight w:val="209"/>
        </w:trPr>
        <w:tc>
          <w:tcPr>
            <w:tcW w:w="14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2024</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15.50</w:t>
            </w:r>
          </w:p>
        </w:tc>
        <w:tc>
          <w:tcPr>
            <w:tcW w:w="2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780" w:type="dxa"/>
            <w:vAlign w:val="bottom"/>
            <w:shd w:val="clear" w:color="auto" w:fill="E6EFFF"/>
          </w:tcPr>
          <w:p>
            <w:pPr>
              <w:jc w:val="center"/>
              <w:ind w:right="690"/>
              <w:spacing w:after="0"/>
              <w:rPr>
                <w:sz w:val="20"/>
                <w:szCs w:val="20"/>
                <w:color w:val="auto"/>
              </w:rPr>
            </w:pPr>
            <w:r>
              <w:rPr>
                <w:rFonts w:ascii="Times New Roman" w:cs="Times New Roman" w:eastAsia="Times New Roman" w:hAnsi="Times New Roman"/>
                <w:sz w:val="18"/>
                <w:szCs w:val="18"/>
                <w:color w:val="auto"/>
                <w:w w:val="98"/>
              </w:rPr>
              <w:t>12.25</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272,739</w:t>
            </w:r>
          </w:p>
        </w:tc>
      </w:tr>
      <w:tr>
        <w:trPr>
          <w:trHeight w:val="216"/>
        </w:trPr>
        <w:tc>
          <w:tcPr>
            <w:tcW w:w="3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12.45</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204,121</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15.27</w:t>
            </w:r>
          </w:p>
        </w:tc>
        <w:tc>
          <w:tcPr>
            <w:tcW w:w="2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780" w:type="dxa"/>
            <w:vAlign w:val="bottom"/>
            <w:shd w:val="clear" w:color="auto" w:fill="E6EFFF"/>
          </w:tcPr>
          <w:p>
            <w:pPr>
              <w:jc w:val="center"/>
              <w:ind w:right="690"/>
              <w:spacing w:after="0"/>
              <w:rPr>
                <w:sz w:val="20"/>
                <w:szCs w:val="20"/>
                <w:color w:val="auto"/>
              </w:rPr>
            </w:pPr>
            <w:r>
              <w:rPr>
                <w:rFonts w:ascii="Times New Roman" w:cs="Times New Roman" w:eastAsia="Times New Roman" w:hAnsi="Times New Roman"/>
                <w:sz w:val="18"/>
                <w:szCs w:val="18"/>
                <w:color w:val="auto"/>
                <w:w w:val="98"/>
              </w:rPr>
              <w:t>11.15</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302,579</w:t>
            </w:r>
          </w:p>
        </w:tc>
      </w:tr>
      <w:tr>
        <w:trPr>
          <w:trHeight w:val="216"/>
        </w:trPr>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w:t>
            </w:r>
          </w:p>
        </w:tc>
        <w:tc>
          <w:tcPr>
            <w:tcW w:w="13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174,695</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11.12</w:t>
            </w:r>
          </w:p>
        </w:tc>
        <w:tc>
          <w:tcPr>
            <w:tcW w:w="2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780" w:type="dxa"/>
            <w:vAlign w:val="bottom"/>
            <w:shd w:val="clear" w:color="auto" w:fill="E6EFFF"/>
          </w:tcPr>
          <w:p>
            <w:pPr>
              <w:jc w:val="center"/>
              <w:ind w:right="690"/>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223,736</w:t>
            </w:r>
          </w:p>
        </w:tc>
      </w:tr>
      <w:tr>
        <w:trPr>
          <w:trHeight w:val="216"/>
        </w:trPr>
        <w:tc>
          <w:tcPr>
            <w:tcW w:w="3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May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217,266</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June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12.56</w:t>
            </w:r>
          </w:p>
        </w:tc>
        <w:tc>
          <w:tcPr>
            <w:tcW w:w="2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780" w:type="dxa"/>
            <w:vAlign w:val="bottom"/>
            <w:shd w:val="clear" w:color="auto" w:fill="E6EFFF"/>
          </w:tcPr>
          <w:p>
            <w:pPr>
              <w:jc w:val="center"/>
              <w:ind w:right="690"/>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189,178</w:t>
            </w:r>
          </w:p>
        </w:tc>
      </w:tr>
      <w:tr>
        <w:trPr>
          <w:trHeight w:val="216"/>
        </w:trPr>
        <w:tc>
          <w:tcPr>
            <w:tcW w:w="3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261,253</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August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10.90</w:t>
            </w:r>
          </w:p>
        </w:tc>
        <w:tc>
          <w:tcPr>
            <w:tcW w:w="2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780" w:type="dxa"/>
            <w:vAlign w:val="bottom"/>
            <w:shd w:val="clear" w:color="auto" w:fill="E6EFFF"/>
          </w:tcPr>
          <w:p>
            <w:pPr>
              <w:jc w:val="center"/>
              <w:ind w:right="690"/>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229,553</w:t>
            </w:r>
          </w:p>
        </w:tc>
      </w:tr>
      <w:tr>
        <w:trPr>
          <w:trHeight w:val="216"/>
        </w:trPr>
        <w:tc>
          <w:tcPr>
            <w:tcW w:w="3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451,016</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10.77</w:t>
            </w:r>
          </w:p>
        </w:tc>
        <w:tc>
          <w:tcPr>
            <w:tcW w:w="2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780" w:type="dxa"/>
            <w:vAlign w:val="bottom"/>
            <w:shd w:val="clear" w:color="auto" w:fill="E6EFFF"/>
          </w:tcPr>
          <w:p>
            <w:pPr>
              <w:jc w:val="center"/>
              <w:ind w:right="69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469,093</w:t>
            </w:r>
          </w:p>
        </w:tc>
      </w:tr>
      <w:tr>
        <w:trPr>
          <w:trHeight w:val="216"/>
        </w:trPr>
        <w:tc>
          <w:tcPr>
            <w:tcW w:w="3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November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471,080</w:t>
            </w:r>
          </w:p>
        </w:tc>
      </w:tr>
      <w:tr>
        <w:trPr>
          <w:trHeight w:val="216"/>
        </w:trPr>
        <w:tc>
          <w:tcPr>
            <w:tcW w:w="3080" w:type="dxa"/>
            <w:vAlign w:val="bottom"/>
            <w:gridSpan w:val="3"/>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rPr>
              <w:t>December (1-29)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11.99</w:t>
            </w:r>
          </w:p>
        </w:tc>
        <w:tc>
          <w:tcPr>
            <w:tcW w:w="2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780" w:type="dxa"/>
            <w:vAlign w:val="bottom"/>
            <w:shd w:val="clear" w:color="auto" w:fill="E6EFFF"/>
          </w:tcPr>
          <w:p>
            <w:pPr>
              <w:jc w:val="center"/>
              <w:ind w:right="710"/>
              <w:spacing w:after="0"/>
              <w:rPr>
                <w:sz w:val="20"/>
                <w:szCs w:val="20"/>
                <w:color w:val="auto"/>
              </w:rPr>
            </w:pPr>
            <w:r>
              <w:rPr>
                <w:rFonts w:ascii="Times New Roman" w:cs="Times New Roman" w:eastAsia="Times New Roman" w:hAnsi="Times New Roman"/>
                <w:sz w:val="18"/>
                <w:szCs w:val="18"/>
                <w:color w:val="auto"/>
                <w:w w:val="97"/>
              </w:rPr>
              <w:t>7.7</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411,438</w:t>
            </w: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hanging="328"/>
        <w:spacing w:after="0" w:line="237" w:lineRule="auto"/>
        <w:tabs>
          <w:tab w:leader="none" w:pos="6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December 29, 2025, being the last day on which the Common Shares traded prior to the date of this Prospectus Supplement, the closing price of the Common Shares as reported on Cboe Canada was C$11.99.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4"/>
          </w:tcPr>
          <w:p>
            <w:pPr>
              <w:ind w:left="1380"/>
              <w:spacing w:after="0"/>
              <w:rPr>
                <w:sz w:val="20"/>
                <w:szCs w:val="20"/>
                <w:color w:val="auto"/>
              </w:rPr>
            </w:pPr>
            <w:r>
              <w:rPr>
                <w:rFonts w:ascii="Times New Roman" w:cs="Times New Roman" w:eastAsia="Times New Roman" w:hAnsi="Times New Roman"/>
                <w:sz w:val="18"/>
                <w:szCs w:val="18"/>
                <w:b w:val="1"/>
                <w:bCs w:val="1"/>
                <w:color w:val="auto"/>
              </w:rPr>
              <w:t>NYSE American Price Range</w:t>
            </w:r>
          </w:p>
        </w:tc>
        <w:tc>
          <w:tcPr>
            <w:tcW w:w="2580" w:type="dxa"/>
            <w:vAlign w:val="bottom"/>
          </w:tcPr>
          <w:p>
            <w:pPr>
              <w:spacing w:after="0"/>
              <w:rPr>
                <w:sz w:val="20"/>
                <w:szCs w:val="20"/>
                <w:color w:val="auto"/>
              </w:rPr>
            </w:pPr>
          </w:p>
        </w:tc>
      </w:tr>
      <w:tr>
        <w:trPr>
          <w:trHeight w:val="472"/>
        </w:trPr>
        <w:tc>
          <w:tcPr>
            <w:tcW w:w="3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27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8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5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14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2024</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20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8.386</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4,976,111</w:t>
            </w:r>
          </w:p>
        </w:tc>
      </w:tr>
      <w:tr>
        <w:trPr>
          <w:trHeight w:val="216"/>
        </w:trPr>
        <w:tc>
          <w:tcPr>
            <w:tcW w:w="3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8.625</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3,926,388</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10.7199</w:t>
            </w:r>
          </w:p>
        </w:tc>
        <w:tc>
          <w:tcPr>
            <w:tcW w:w="20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7.8001</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8,083,405</w:t>
            </w:r>
          </w:p>
        </w:tc>
      </w:tr>
      <w:tr>
        <w:trPr>
          <w:trHeight w:val="216"/>
        </w:trPr>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w:t>
            </w:r>
          </w:p>
        </w:tc>
        <w:tc>
          <w:tcPr>
            <w:tcW w:w="13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8.4747</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3,701,307</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6,401,818</w:t>
            </w:r>
          </w:p>
        </w:tc>
      </w:tr>
      <w:tr>
        <w:trPr>
          <w:trHeight w:val="216"/>
        </w:trPr>
        <w:tc>
          <w:tcPr>
            <w:tcW w:w="3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May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6,742,091</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June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5,711,894</w:t>
            </w:r>
          </w:p>
        </w:tc>
      </w:tr>
      <w:tr>
        <w:trPr>
          <w:trHeight w:val="216"/>
        </w:trPr>
        <w:tc>
          <w:tcPr>
            <w:tcW w:w="3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11,021,801</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August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6.3637</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7,812,206</w:t>
            </w:r>
          </w:p>
        </w:tc>
      </w:tr>
      <w:tr>
        <w:trPr>
          <w:trHeight w:val="216"/>
        </w:trPr>
        <w:tc>
          <w:tcPr>
            <w:tcW w:w="3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15,583,822</w:t>
            </w:r>
          </w:p>
        </w:tc>
      </w:tr>
      <w:tr>
        <w:trPr>
          <w:trHeight w:val="216"/>
        </w:trPr>
        <w:tc>
          <w:tcPr>
            <w:tcW w:w="3080" w:type="dxa"/>
            <w:vAlign w:val="bottom"/>
            <w:gridSpan w:val="3"/>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22,869,736</w:t>
            </w:r>
          </w:p>
        </w:tc>
      </w:tr>
      <w:tr>
        <w:trPr>
          <w:trHeight w:val="216"/>
        </w:trPr>
        <w:tc>
          <w:tcPr>
            <w:tcW w:w="3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November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7.4375</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14,108,797</w:t>
            </w:r>
          </w:p>
        </w:tc>
      </w:tr>
      <w:tr>
        <w:trPr>
          <w:trHeight w:val="216"/>
        </w:trPr>
        <w:tc>
          <w:tcPr>
            <w:tcW w:w="3080" w:type="dxa"/>
            <w:vAlign w:val="bottom"/>
            <w:gridSpan w:val="3"/>
            <w:shd w:val="clear" w:color="auto" w:fill="E6EFFF"/>
          </w:tcPr>
          <w:p>
            <w:pPr>
              <w:jc w:val="center"/>
              <w:ind w:right="200"/>
              <w:spacing w:after="0"/>
              <w:rPr>
                <w:sz w:val="20"/>
                <w:szCs w:val="20"/>
                <w:color w:val="auto"/>
              </w:rPr>
            </w:pPr>
            <w:r>
              <w:rPr>
                <w:rFonts w:ascii="Times New Roman" w:cs="Times New Roman" w:eastAsia="Times New Roman" w:hAnsi="Times New Roman"/>
                <w:sz w:val="18"/>
                <w:szCs w:val="18"/>
                <w:color w:val="auto"/>
              </w:rPr>
              <w:t>December (1-29)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E6EFFF"/>
          </w:tcPr>
          <w:p>
            <w:pPr>
              <w:spacing w:after="0"/>
              <w:rPr>
                <w:sz w:val="18"/>
                <w:szCs w:val="18"/>
                <w:color w:val="auto"/>
              </w:rPr>
            </w:pP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17,011,220</w:t>
            </w: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660" w:hanging="328"/>
        <w:spacing w:after="0" w:line="237" w:lineRule="auto"/>
        <w:tabs>
          <w:tab w:leader="none" w:pos="6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 All figures related to securities are represented on a post-Consolidation basis.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line="259" w:lineRule="auto"/>
        <w:rPr>
          <w:sz w:val="20"/>
          <w:szCs w:val="20"/>
          <w:color w:val="auto"/>
        </w:rPr>
      </w:pPr>
      <w:r>
        <w:rPr>
          <w:rFonts w:ascii="Times New Roman" w:cs="Times New Roman" w:eastAsia="Times New Roman" w:hAnsi="Times New Roman"/>
          <w:sz w:val="22"/>
          <w:szCs w:val="22"/>
          <w:color w:val="auto"/>
        </w:rPr>
        <w:t>On December 29, 2025, being the last day on which the Common Shares traded prior to the date of this Prospectus Supplement, the closing price of the Common Shares as reported on NYSE American was US$8.71.</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 Principal</w:t>
            </w:r>
          </w:p>
        </w:tc>
        <w:tc>
          <w:tcPr>
            <w:tcW w:w="21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20"/>
        </w:trPr>
        <w:tc>
          <w:tcPr>
            <w:tcW w:w="2480" w:type="dxa"/>
            <w:vAlign w:val="bottom"/>
          </w:tcPr>
          <w:p>
            <w:pPr>
              <w:spacing w:after="0"/>
              <w:rPr>
                <w:sz w:val="19"/>
                <w:szCs w:val="19"/>
                <w:color w:val="auto"/>
              </w:rPr>
            </w:pPr>
          </w:p>
        </w:tc>
        <w:tc>
          <w:tcPr>
            <w:tcW w:w="2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140" w:type="dxa"/>
            <w:vAlign w:val="bottom"/>
          </w:tcPr>
          <w:p>
            <w:pPr>
              <w:spacing w:after="0"/>
              <w:rPr>
                <w:sz w:val="19"/>
                <w:szCs w:val="19"/>
                <w:color w:val="auto"/>
              </w:rPr>
            </w:pP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Issuance / Exercise / Conversion</w:t>
            </w:r>
          </w:p>
        </w:tc>
      </w:tr>
      <w:tr>
        <w:trPr>
          <w:trHeight w:val="275"/>
        </w:trPr>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Issuance</w:t>
            </w:r>
          </w:p>
        </w:tc>
        <w:tc>
          <w:tcPr>
            <w:tcW w:w="262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1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860" w:type="dxa"/>
            <w:vAlign w:val="bottom"/>
            <w:tcBorders>
              <w:bottom w:val="single" w:sz="8" w:color="auto"/>
            </w:tcBorders>
          </w:tcPr>
          <w:p>
            <w:pPr>
              <w:jc w:val="center"/>
              <w:ind w:left="270"/>
              <w:spacing w:after="0" w:line="276" w:lineRule="exact"/>
              <w:rPr>
                <w:sz w:val="20"/>
                <w:szCs w:val="20"/>
                <w:color w:val="auto"/>
              </w:rPr>
            </w:pPr>
            <w:r>
              <w:rPr>
                <w:rFonts w:ascii="Times New Roman" w:cs="Times New Roman" w:eastAsia="Times New Roman" w:hAnsi="Times New Roman"/>
                <w:sz w:val="18"/>
                <w:szCs w:val="18"/>
                <w:b w:val="1"/>
                <w:bCs w:val="1"/>
                <w:color w:val="auto"/>
                <w:w w:val="95"/>
              </w:rPr>
              <w:t>Price Per Security (CAD)</w:t>
            </w:r>
            <w:r>
              <w:rPr>
                <w:rFonts w:ascii="Times New Roman" w:cs="Times New Roman" w:eastAsia="Times New Roman" w:hAnsi="Times New Roman"/>
                <w:sz w:val="29"/>
                <w:szCs w:val="29"/>
                <w:b w:val="1"/>
                <w:bCs w:val="1"/>
                <w:color w:val="auto"/>
                <w:w w:val="95"/>
                <w:vertAlign w:val="superscript"/>
              </w:rPr>
              <w:t>(1)(2)</w:t>
            </w:r>
          </w:p>
        </w:tc>
      </w:tr>
      <w:tr>
        <w:trPr>
          <w:trHeight w:val="250"/>
        </w:trPr>
        <w:tc>
          <w:tcPr>
            <w:tcW w:w="2480" w:type="dxa"/>
            <w:vAlign w:val="bottom"/>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rPr>
              <w:t>January 21, 2025</w:t>
            </w:r>
            <w:r>
              <w:rPr>
                <w:rFonts w:ascii="Times New Roman" w:cs="Times New Roman" w:eastAsia="Times New Roman" w:hAnsi="Times New Roman"/>
                <w:sz w:val="28"/>
                <w:szCs w:val="28"/>
                <w:color w:val="auto"/>
                <w:vertAlign w:val="superscript"/>
              </w:rPr>
              <w:t>(3)</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17,100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$12.71</w:t>
            </w:r>
          </w:p>
        </w:tc>
      </w:tr>
      <w:tr>
        <w:trPr>
          <w:trHeight w:val="256"/>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22, 2025</w:t>
            </w:r>
            <w:r>
              <w:rPr>
                <w:rFonts w:ascii="Times New Roman" w:cs="Times New Roman" w:eastAsia="Times New Roman" w:hAnsi="Times New Roman"/>
                <w:sz w:val="29"/>
                <w:szCs w:val="29"/>
                <w:color w:val="auto"/>
                <w:w w:val="95"/>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$13.08</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23, 2025</w:t>
            </w:r>
            <w:r>
              <w:rPr>
                <w:rFonts w:ascii="Times New Roman" w:cs="Times New Roman" w:eastAsia="Times New Roman" w:hAnsi="Times New Roman"/>
                <w:sz w:val="29"/>
                <w:szCs w:val="29"/>
                <w:color w:val="auto"/>
                <w:w w:val="95"/>
                <w:vertAlign w:val="superscript"/>
              </w:rPr>
              <w:t>(3)</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$13.33</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24, 2025</w:t>
            </w:r>
            <w:r>
              <w:rPr>
                <w:rFonts w:ascii="Times New Roman" w:cs="Times New Roman" w:eastAsia="Times New Roman" w:hAnsi="Times New Roman"/>
                <w:sz w:val="29"/>
                <w:szCs w:val="29"/>
                <w:color w:val="auto"/>
                <w:w w:val="95"/>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34,000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$14.11</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27, 2025</w:t>
            </w:r>
            <w:r>
              <w:rPr>
                <w:rFonts w:ascii="Times New Roman" w:cs="Times New Roman" w:eastAsia="Times New Roman" w:hAnsi="Times New Roman"/>
                <w:sz w:val="29"/>
                <w:szCs w:val="29"/>
                <w:color w:val="auto"/>
                <w:w w:val="95"/>
                <w:vertAlign w:val="superscript"/>
              </w:rPr>
              <w:t>(3)</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15,082</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$14.16</w:t>
            </w:r>
          </w:p>
        </w:tc>
      </w:tr>
      <w:tr>
        <w:trPr>
          <w:trHeight w:val="256"/>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29, 2025</w:t>
            </w:r>
            <w:r>
              <w:rPr>
                <w:rFonts w:ascii="Times New Roman" w:cs="Times New Roman" w:eastAsia="Times New Roman" w:hAnsi="Times New Roman"/>
                <w:sz w:val="29"/>
                <w:szCs w:val="29"/>
                <w:color w:val="auto"/>
                <w:w w:val="95"/>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31,738</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$13.48</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30, 2025</w:t>
            </w:r>
            <w:r>
              <w:rPr>
                <w:rFonts w:ascii="Times New Roman" w:cs="Times New Roman" w:eastAsia="Times New Roman" w:hAnsi="Times New Roman"/>
                <w:sz w:val="29"/>
                <w:szCs w:val="29"/>
                <w:color w:val="auto"/>
                <w:w w:val="95"/>
                <w:vertAlign w:val="superscript"/>
              </w:rPr>
              <w:t>(3)</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32,000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$13.69</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31, 2025</w:t>
            </w:r>
            <w:r>
              <w:rPr>
                <w:rFonts w:ascii="Times New Roman" w:cs="Times New Roman" w:eastAsia="Times New Roman" w:hAnsi="Times New Roman"/>
                <w:sz w:val="29"/>
                <w:szCs w:val="29"/>
                <w:color w:val="auto"/>
                <w:w w:val="95"/>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49,496</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$13.8</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3, 2025</w:t>
            </w:r>
            <w:r>
              <w:rPr>
                <w:rFonts w:ascii="Times New Roman" w:cs="Times New Roman" w:eastAsia="Times New Roman" w:hAnsi="Times New Roman"/>
                <w:sz w:val="29"/>
                <w:szCs w:val="29"/>
                <w:color w:val="auto"/>
                <w:w w:val="95"/>
                <w:vertAlign w:val="superscript"/>
              </w:rPr>
              <w:t>(3)</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$13.79</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4, 2025</w:t>
            </w:r>
            <w:r>
              <w:rPr>
                <w:rFonts w:ascii="Times New Roman" w:cs="Times New Roman" w:eastAsia="Times New Roman" w:hAnsi="Times New Roman"/>
                <w:sz w:val="29"/>
                <w:szCs w:val="29"/>
                <w:color w:val="auto"/>
                <w:w w:val="95"/>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25,500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$13.74</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5, 2025</w:t>
            </w:r>
            <w:r>
              <w:rPr>
                <w:rFonts w:ascii="Times New Roman" w:cs="Times New Roman" w:eastAsia="Times New Roman" w:hAnsi="Times New Roman"/>
                <w:sz w:val="29"/>
                <w:szCs w:val="29"/>
                <w:color w:val="auto"/>
                <w:w w:val="95"/>
                <w:vertAlign w:val="superscript"/>
              </w:rPr>
              <w:t>(3)</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326,800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$13.86</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6, 2025</w:t>
            </w:r>
            <w:r>
              <w:rPr>
                <w:rFonts w:ascii="Times New Roman" w:cs="Times New Roman" w:eastAsia="Times New Roman" w:hAnsi="Times New Roman"/>
                <w:sz w:val="29"/>
                <w:szCs w:val="29"/>
                <w:color w:val="auto"/>
                <w:w w:val="95"/>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280,800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$13.72</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7, 2025</w:t>
            </w:r>
            <w:r>
              <w:rPr>
                <w:rFonts w:ascii="Times New Roman" w:cs="Times New Roman" w:eastAsia="Times New Roman" w:hAnsi="Times New Roman"/>
                <w:sz w:val="29"/>
                <w:szCs w:val="29"/>
                <w:color w:val="auto"/>
                <w:w w:val="95"/>
                <w:vertAlign w:val="superscript"/>
              </w:rPr>
              <w:t>(3)</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$13.48</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10,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57,000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$12.74</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14,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106,000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$13.20</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18,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125,100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$13.66</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19,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66,000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$13.15</w:t>
            </w:r>
          </w:p>
        </w:tc>
      </w:tr>
      <w:tr>
        <w:trPr>
          <w:trHeight w:val="256"/>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20,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33,550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$12.97</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21,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21,994</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$12.98</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24,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36,999</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$12.94</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February 26,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60,868</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$12.20</w:t>
            </w: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2025</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35,000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Options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$10.45</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13, 2024</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$10.11</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14,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$10.39</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17,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12,000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$10.43</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19,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$10.44</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20,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$10.34</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21,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$10.28</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24,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$10.14</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25,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13,000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$10.36</w:t>
            </w:r>
          </w:p>
        </w:tc>
      </w:tr>
      <w:tr>
        <w:trPr>
          <w:trHeight w:val="256"/>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26,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14,500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$10.03</w:t>
            </w:r>
          </w:p>
        </w:tc>
      </w:tr>
      <w:tr>
        <w:trPr>
          <w:trHeight w:val="257"/>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27,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$9.75</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28,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4,600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$9.74</w:t>
            </w:r>
          </w:p>
        </w:tc>
      </w:tr>
      <w:tr>
        <w:trPr>
          <w:trHeight w:val="256"/>
        </w:trPr>
        <w:tc>
          <w:tcPr>
            <w:tcW w:w="2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31, 2025</w:t>
            </w:r>
            <w:r>
              <w:rPr>
                <w:rFonts w:ascii="Times New Roman" w:cs="Times New Roman" w:eastAsia="Times New Roman" w:hAnsi="Times New Roman"/>
                <w:sz w:val="29"/>
                <w:szCs w:val="29"/>
                <w:color w:val="auto"/>
                <w:w w:val="96"/>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1,271</w:t>
            </w:r>
          </w:p>
        </w:tc>
        <w:tc>
          <w:tcPr>
            <w:tcW w:w="2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7"/>
        </w:trPr>
        <w:tc>
          <w:tcPr>
            <w:tcW w:w="2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April 14, 2025</w:t>
            </w:r>
            <w:r>
              <w:rPr>
                <w:rFonts w:ascii="Times New Roman" w:cs="Times New Roman" w:eastAsia="Times New Roman" w:hAnsi="Times New Roman"/>
                <w:sz w:val="29"/>
                <w:szCs w:val="29"/>
                <w:color w:val="auto"/>
                <w:w w:val="96"/>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25,500</w:t>
            </w:r>
          </w:p>
        </w:tc>
        <w:tc>
          <w:tcPr>
            <w:tcW w:w="2140" w:type="dxa"/>
            <w:vAlign w:val="bottom"/>
            <w:shd w:val="clear" w:color="auto" w:fill="E6EFFF"/>
          </w:tcPr>
          <w:p>
            <w:pPr>
              <w:jc w:val="center"/>
              <w:ind w:left="110"/>
              <w:spacing w:after="0"/>
              <w:rPr>
                <w:sz w:val="20"/>
                <w:szCs w:val="20"/>
                <w:color w:val="auto"/>
              </w:rPr>
            </w:pPr>
            <w:r>
              <w:rPr>
                <w:rFonts w:ascii="Times New Roman" w:cs="Times New Roman" w:eastAsia="Times New Roman" w:hAnsi="Times New Roman"/>
                <w:sz w:val="18"/>
                <w:szCs w:val="18"/>
                <w:color w:val="auto"/>
                <w:w w:val="98"/>
              </w:rPr>
              <w:t>Common Shares</w:t>
            </w:r>
          </w:p>
        </w:tc>
        <w:tc>
          <w:tcPr>
            <w:tcW w:w="2860" w:type="dxa"/>
            <w:vAlign w:val="bottom"/>
            <w:shd w:val="clear" w:color="auto" w:fill="E6EFFF"/>
          </w:tcPr>
          <w:p>
            <w:pPr>
              <w:jc w:val="center"/>
              <w:ind w:left="290"/>
              <w:spacing w:after="0"/>
              <w:rPr>
                <w:sz w:val="20"/>
                <w:szCs w:val="20"/>
                <w:color w:val="auto"/>
              </w:rPr>
            </w:pPr>
            <w:r>
              <w:rPr>
                <w:rFonts w:ascii="Times New Roman" w:cs="Times New Roman" w:eastAsia="Times New Roman" w:hAnsi="Times New Roman"/>
                <w:sz w:val="18"/>
                <w:szCs w:val="18"/>
                <w:color w:val="auto"/>
                <w:w w:val="98"/>
              </w:rPr>
              <w:t>$8.95</w:t>
            </w:r>
          </w:p>
        </w:tc>
      </w:tr>
    </w:tbl>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ind w:left="200"/>
        <w:spacing w:after="0"/>
        <w:rPr>
          <w:sz w:val="20"/>
          <w:szCs w:val="20"/>
          <w:color w:val="auto"/>
        </w:rPr>
      </w:pPr>
      <w:r>
        <w:rPr>
          <w:rFonts w:ascii="Times New Roman" w:cs="Times New Roman" w:eastAsia="Times New Roman" w:hAnsi="Times New Roman"/>
          <w:sz w:val="18"/>
          <w:szCs w:val="18"/>
          <w:color w:val="auto"/>
        </w:rPr>
        <w:t>April 15, 2025</w:t>
      </w:r>
      <w:r>
        <w:rPr>
          <w:rFonts w:ascii="Times New Roman" w:cs="Times New Roman" w:eastAsia="Times New Roman" w:hAnsi="Times New Roman"/>
          <w:sz w:val="29"/>
          <w:szCs w:val="29"/>
          <w:color w:val="auto"/>
          <w:vertAlign w:val="superscript"/>
        </w:rPr>
        <w:t>(4)</w:t>
      </w:r>
    </w:p>
    <w:p>
      <w:pPr>
        <w:ind w:left="200"/>
        <w:spacing w:after="0" w:line="184" w:lineRule="auto"/>
        <w:rPr>
          <w:sz w:val="20"/>
          <w:szCs w:val="20"/>
          <w:color w:val="auto"/>
        </w:rPr>
      </w:pPr>
      <w:r>
        <w:rPr>
          <w:rFonts w:ascii="Times New Roman" w:cs="Times New Roman" w:eastAsia="Times New Roman" w:hAnsi="Times New Roman"/>
          <w:sz w:val="18"/>
          <w:szCs w:val="18"/>
          <w:color w:val="auto"/>
        </w:rPr>
        <w:t>April 16, 2025</w:t>
      </w:r>
      <w:r>
        <w:rPr>
          <w:rFonts w:ascii="Times New Roman" w:cs="Times New Roman" w:eastAsia="Times New Roman" w:hAnsi="Times New Roman"/>
          <w:sz w:val="29"/>
          <w:szCs w:val="29"/>
          <w:color w:val="auto"/>
          <w:vertAlign w:val="superscript"/>
        </w:rPr>
        <w:t>(4)</w:t>
      </w:r>
    </w:p>
    <w:p>
      <w:pPr>
        <w:ind w:left="200"/>
        <w:spacing w:after="0" w:line="185" w:lineRule="auto"/>
        <w:rPr>
          <w:sz w:val="20"/>
          <w:szCs w:val="20"/>
          <w:color w:val="auto"/>
        </w:rPr>
      </w:pPr>
      <w:r>
        <w:rPr>
          <w:rFonts w:ascii="Times New Roman" w:cs="Times New Roman" w:eastAsia="Times New Roman" w:hAnsi="Times New Roman"/>
          <w:sz w:val="18"/>
          <w:szCs w:val="18"/>
          <w:color w:val="auto"/>
        </w:rPr>
        <w:t>April 17, 2025</w:t>
      </w:r>
      <w:r>
        <w:rPr>
          <w:rFonts w:ascii="Times New Roman" w:cs="Times New Roman" w:eastAsia="Times New Roman" w:hAnsi="Times New Roman"/>
          <w:sz w:val="29"/>
          <w:szCs w:val="29"/>
          <w:color w:val="auto"/>
          <w:vertAlign w:val="superscript"/>
        </w:rPr>
        <w:t>(4)</w:t>
      </w:r>
    </w:p>
    <w:p>
      <w:pPr>
        <w:ind w:left="200"/>
        <w:spacing w:after="0" w:line="184" w:lineRule="auto"/>
        <w:rPr>
          <w:sz w:val="20"/>
          <w:szCs w:val="20"/>
          <w:color w:val="auto"/>
        </w:rPr>
      </w:pPr>
      <w:r>
        <w:rPr>
          <w:rFonts w:ascii="Times New Roman" w:cs="Times New Roman" w:eastAsia="Times New Roman" w:hAnsi="Times New Roman"/>
          <w:sz w:val="18"/>
          <w:szCs w:val="18"/>
          <w:color w:val="auto"/>
        </w:rPr>
        <w:t>April 21, 2025</w:t>
      </w:r>
      <w:r>
        <w:rPr>
          <w:rFonts w:ascii="Times New Roman" w:cs="Times New Roman" w:eastAsia="Times New Roman" w:hAnsi="Times New Roman"/>
          <w:sz w:val="29"/>
          <w:szCs w:val="29"/>
          <w:color w:val="auto"/>
          <w:vertAlign w:val="superscript"/>
        </w:rPr>
        <w:t>(4)</w:t>
      </w:r>
    </w:p>
    <w:p>
      <w:pPr>
        <w:ind w:left="200"/>
        <w:spacing w:after="0" w:line="185" w:lineRule="auto"/>
        <w:rPr>
          <w:sz w:val="20"/>
          <w:szCs w:val="20"/>
          <w:color w:val="auto"/>
        </w:rPr>
      </w:pPr>
      <w:r>
        <w:rPr>
          <w:rFonts w:ascii="Times New Roman" w:cs="Times New Roman" w:eastAsia="Times New Roman" w:hAnsi="Times New Roman"/>
          <w:sz w:val="18"/>
          <w:szCs w:val="18"/>
          <w:color w:val="auto"/>
        </w:rPr>
        <w:t>April 22, 2025</w:t>
      </w:r>
      <w:r>
        <w:rPr>
          <w:rFonts w:ascii="Times New Roman" w:cs="Times New Roman" w:eastAsia="Times New Roman" w:hAnsi="Times New Roman"/>
          <w:sz w:val="29"/>
          <w:szCs w:val="29"/>
          <w:color w:val="auto"/>
          <w:vertAlign w:val="superscript"/>
        </w:rPr>
        <w:t>(4)</w:t>
      </w:r>
    </w:p>
    <w:p>
      <w:pPr>
        <w:ind w:left="200"/>
        <w:spacing w:after="0" w:line="185" w:lineRule="auto"/>
        <w:rPr>
          <w:sz w:val="20"/>
          <w:szCs w:val="20"/>
          <w:color w:val="auto"/>
        </w:rPr>
      </w:pPr>
      <w:r>
        <w:rPr>
          <w:rFonts w:ascii="Times New Roman" w:cs="Times New Roman" w:eastAsia="Times New Roman" w:hAnsi="Times New Roman"/>
          <w:sz w:val="18"/>
          <w:szCs w:val="18"/>
          <w:color w:val="auto"/>
        </w:rPr>
        <w:t>April 23, 2025</w:t>
      </w:r>
      <w:r>
        <w:rPr>
          <w:rFonts w:ascii="Times New Roman" w:cs="Times New Roman" w:eastAsia="Times New Roman" w:hAnsi="Times New Roman"/>
          <w:sz w:val="29"/>
          <w:szCs w:val="29"/>
          <w:color w:val="auto"/>
          <w:vertAlign w:val="superscript"/>
        </w:rPr>
        <w:t>(4)</w:t>
      </w:r>
    </w:p>
    <w:p>
      <w:pPr>
        <w:ind w:left="200"/>
        <w:spacing w:after="0" w:line="184" w:lineRule="auto"/>
        <w:rPr>
          <w:sz w:val="20"/>
          <w:szCs w:val="20"/>
          <w:color w:val="auto"/>
        </w:rPr>
      </w:pPr>
      <w:r>
        <w:rPr>
          <w:rFonts w:ascii="Times New Roman" w:cs="Times New Roman" w:eastAsia="Times New Roman" w:hAnsi="Times New Roman"/>
          <w:sz w:val="18"/>
          <w:szCs w:val="18"/>
          <w:color w:val="auto"/>
        </w:rPr>
        <w:t>April 24, 2025</w:t>
      </w:r>
      <w:r>
        <w:rPr>
          <w:rFonts w:ascii="Times New Roman" w:cs="Times New Roman" w:eastAsia="Times New Roman" w:hAnsi="Times New Roman"/>
          <w:sz w:val="29"/>
          <w:szCs w:val="29"/>
          <w:color w:val="auto"/>
          <w:vertAlign w:val="superscript"/>
        </w:rPr>
        <w:t>(4)</w:t>
      </w:r>
    </w:p>
    <w:p>
      <w:pPr>
        <w:ind w:left="200"/>
        <w:spacing w:after="0" w:line="185" w:lineRule="auto"/>
        <w:rPr>
          <w:sz w:val="20"/>
          <w:szCs w:val="20"/>
          <w:color w:val="auto"/>
        </w:rPr>
      </w:pPr>
      <w:r>
        <w:rPr>
          <w:rFonts w:ascii="Times New Roman" w:cs="Times New Roman" w:eastAsia="Times New Roman" w:hAnsi="Times New Roman"/>
          <w:sz w:val="18"/>
          <w:szCs w:val="18"/>
          <w:color w:val="auto"/>
        </w:rPr>
        <w:t>April 25, 2025</w:t>
      </w:r>
      <w:r>
        <w:rPr>
          <w:rFonts w:ascii="Times New Roman" w:cs="Times New Roman" w:eastAsia="Times New Roman" w:hAnsi="Times New Roman"/>
          <w:sz w:val="29"/>
          <w:szCs w:val="29"/>
          <w:color w:val="auto"/>
          <w:vertAlign w:val="superscript"/>
        </w:rPr>
        <w:t>(4)</w:t>
      </w:r>
    </w:p>
    <w:p>
      <w:pPr>
        <w:ind w:left="280"/>
        <w:spacing w:after="0" w:line="184" w:lineRule="auto"/>
        <w:rPr>
          <w:sz w:val="20"/>
          <w:szCs w:val="20"/>
          <w:color w:val="auto"/>
        </w:rPr>
      </w:pPr>
      <w:r>
        <w:rPr>
          <w:rFonts w:ascii="Times New Roman" w:cs="Times New Roman" w:eastAsia="Times New Roman" w:hAnsi="Times New Roman"/>
          <w:sz w:val="18"/>
          <w:szCs w:val="18"/>
          <w:color w:val="auto"/>
        </w:rPr>
        <w:t>May 1, 2025</w:t>
      </w:r>
      <w:r>
        <w:rPr>
          <w:rFonts w:ascii="Times New Roman" w:cs="Times New Roman" w:eastAsia="Times New Roman" w:hAnsi="Times New Roman"/>
          <w:sz w:val="29"/>
          <w:szCs w:val="29"/>
          <w:color w:val="auto"/>
          <w:vertAlign w:val="superscript"/>
        </w:rPr>
        <w:t>(4)</w:t>
      </w:r>
    </w:p>
    <w:p>
      <w:pPr>
        <w:ind w:left="280"/>
        <w:spacing w:after="0" w:line="185" w:lineRule="auto"/>
        <w:rPr>
          <w:sz w:val="20"/>
          <w:szCs w:val="20"/>
          <w:color w:val="auto"/>
        </w:rPr>
      </w:pPr>
      <w:r>
        <w:rPr>
          <w:rFonts w:ascii="Times New Roman" w:cs="Times New Roman" w:eastAsia="Times New Roman" w:hAnsi="Times New Roman"/>
          <w:sz w:val="18"/>
          <w:szCs w:val="18"/>
          <w:color w:val="auto"/>
        </w:rPr>
        <w:t>May 2, 2025</w:t>
      </w:r>
      <w:r>
        <w:rPr>
          <w:rFonts w:ascii="Times New Roman" w:cs="Times New Roman" w:eastAsia="Times New Roman" w:hAnsi="Times New Roman"/>
          <w:sz w:val="29"/>
          <w:szCs w:val="29"/>
          <w:color w:val="auto"/>
          <w:vertAlign w:val="superscript"/>
        </w:rPr>
        <w:t>(4)</w:t>
      </w:r>
    </w:p>
    <w:p>
      <w:pPr>
        <w:ind w:left="280"/>
        <w:spacing w:after="0" w:line="185" w:lineRule="auto"/>
        <w:rPr>
          <w:sz w:val="20"/>
          <w:szCs w:val="20"/>
          <w:color w:val="auto"/>
        </w:rPr>
      </w:pPr>
      <w:r>
        <w:rPr>
          <w:rFonts w:ascii="Times New Roman" w:cs="Times New Roman" w:eastAsia="Times New Roman" w:hAnsi="Times New Roman"/>
          <w:sz w:val="18"/>
          <w:szCs w:val="18"/>
          <w:color w:val="auto"/>
        </w:rPr>
        <w:t>May 5, 2025</w:t>
      </w:r>
      <w:r>
        <w:rPr>
          <w:rFonts w:ascii="Times New Roman" w:cs="Times New Roman" w:eastAsia="Times New Roman" w:hAnsi="Times New Roman"/>
          <w:sz w:val="29"/>
          <w:szCs w:val="29"/>
          <w:color w:val="auto"/>
          <w:vertAlign w:val="superscript"/>
        </w:rPr>
        <w:t>(4)</w:t>
      </w:r>
    </w:p>
    <w:p>
      <w:pPr>
        <w:ind w:left="220"/>
        <w:spacing w:after="0" w:line="184" w:lineRule="auto"/>
        <w:rPr>
          <w:sz w:val="20"/>
          <w:szCs w:val="20"/>
          <w:color w:val="auto"/>
        </w:rPr>
      </w:pPr>
      <w:r>
        <w:rPr>
          <w:rFonts w:ascii="Times New Roman" w:cs="Times New Roman" w:eastAsia="Times New Roman" w:hAnsi="Times New Roman"/>
          <w:sz w:val="18"/>
          <w:szCs w:val="18"/>
          <w:color w:val="auto"/>
        </w:rPr>
        <w:t>May 15, 2025</w:t>
      </w:r>
      <w:r>
        <w:rPr>
          <w:rFonts w:ascii="Times New Roman" w:cs="Times New Roman" w:eastAsia="Times New Roman" w:hAnsi="Times New Roman"/>
          <w:sz w:val="29"/>
          <w:szCs w:val="29"/>
          <w:color w:val="auto"/>
          <w:vertAlign w:val="superscript"/>
        </w:rPr>
        <w:t>(4)</w:t>
      </w:r>
    </w:p>
    <w:p>
      <w:pPr>
        <w:ind w:left="220"/>
        <w:spacing w:after="0" w:line="185" w:lineRule="auto"/>
        <w:rPr>
          <w:sz w:val="20"/>
          <w:szCs w:val="20"/>
          <w:color w:val="auto"/>
        </w:rPr>
      </w:pPr>
      <w:r>
        <w:rPr>
          <w:rFonts w:ascii="Times New Roman" w:cs="Times New Roman" w:eastAsia="Times New Roman" w:hAnsi="Times New Roman"/>
          <w:sz w:val="18"/>
          <w:szCs w:val="18"/>
          <w:color w:val="auto"/>
        </w:rPr>
        <w:t>May 16, 2025</w:t>
      </w:r>
      <w:r>
        <w:rPr>
          <w:rFonts w:ascii="Times New Roman" w:cs="Times New Roman" w:eastAsia="Times New Roman" w:hAnsi="Times New Roman"/>
          <w:sz w:val="29"/>
          <w:szCs w:val="29"/>
          <w:color w:val="auto"/>
          <w:vertAlign w:val="superscript"/>
        </w:rPr>
        <w:t>(4)</w:t>
      </w:r>
    </w:p>
    <w:p>
      <w:pPr>
        <w:ind w:left="220"/>
        <w:spacing w:after="0" w:line="184" w:lineRule="auto"/>
        <w:rPr>
          <w:sz w:val="20"/>
          <w:szCs w:val="20"/>
          <w:color w:val="auto"/>
        </w:rPr>
      </w:pPr>
      <w:r>
        <w:rPr>
          <w:rFonts w:ascii="Times New Roman" w:cs="Times New Roman" w:eastAsia="Times New Roman" w:hAnsi="Times New Roman"/>
          <w:sz w:val="18"/>
          <w:szCs w:val="18"/>
          <w:color w:val="auto"/>
        </w:rPr>
        <w:t>May 19, 2025</w:t>
      </w:r>
      <w:r>
        <w:rPr>
          <w:rFonts w:ascii="Times New Roman" w:cs="Times New Roman" w:eastAsia="Times New Roman" w:hAnsi="Times New Roman"/>
          <w:sz w:val="29"/>
          <w:szCs w:val="29"/>
          <w:color w:val="auto"/>
          <w:vertAlign w:val="superscript"/>
        </w:rPr>
        <w:t>(4)</w:t>
      </w:r>
    </w:p>
    <w:p>
      <w:pPr>
        <w:ind w:left="220"/>
        <w:spacing w:after="0" w:line="185" w:lineRule="auto"/>
        <w:rPr>
          <w:sz w:val="20"/>
          <w:szCs w:val="20"/>
          <w:color w:val="auto"/>
        </w:rPr>
      </w:pPr>
      <w:r>
        <w:rPr>
          <w:rFonts w:ascii="Times New Roman" w:cs="Times New Roman" w:eastAsia="Times New Roman" w:hAnsi="Times New Roman"/>
          <w:sz w:val="18"/>
          <w:szCs w:val="18"/>
          <w:color w:val="auto"/>
        </w:rPr>
        <w:t>May 20, 2025</w:t>
      </w:r>
      <w:r>
        <w:rPr>
          <w:rFonts w:ascii="Times New Roman" w:cs="Times New Roman" w:eastAsia="Times New Roman" w:hAnsi="Times New Roman"/>
          <w:sz w:val="29"/>
          <w:szCs w:val="29"/>
          <w:color w:val="auto"/>
          <w:vertAlign w:val="superscript"/>
        </w:rPr>
        <w:t>(4)</w:t>
      </w:r>
    </w:p>
    <w:p>
      <w:pPr>
        <w:ind w:left="220"/>
        <w:spacing w:after="0" w:line="185" w:lineRule="auto"/>
        <w:rPr>
          <w:sz w:val="20"/>
          <w:szCs w:val="20"/>
          <w:color w:val="auto"/>
        </w:rPr>
      </w:pPr>
      <w:r>
        <w:rPr>
          <w:rFonts w:ascii="Times New Roman" w:cs="Times New Roman" w:eastAsia="Times New Roman" w:hAnsi="Times New Roman"/>
          <w:sz w:val="18"/>
          <w:szCs w:val="18"/>
          <w:color w:val="auto"/>
        </w:rPr>
        <w:t>May 21, 2025</w:t>
      </w:r>
      <w:r>
        <w:rPr>
          <w:rFonts w:ascii="Times New Roman" w:cs="Times New Roman" w:eastAsia="Times New Roman" w:hAnsi="Times New Roman"/>
          <w:sz w:val="29"/>
          <w:szCs w:val="29"/>
          <w:color w:val="auto"/>
          <w:vertAlign w:val="superscript"/>
        </w:rPr>
        <w:t>(4)</w:t>
      </w:r>
    </w:p>
    <w:p>
      <w:pPr>
        <w:ind w:left="220"/>
        <w:spacing w:after="0" w:line="184" w:lineRule="auto"/>
        <w:rPr>
          <w:sz w:val="20"/>
          <w:szCs w:val="20"/>
          <w:color w:val="auto"/>
        </w:rPr>
      </w:pPr>
      <w:r>
        <w:rPr>
          <w:rFonts w:ascii="Times New Roman" w:cs="Times New Roman" w:eastAsia="Times New Roman" w:hAnsi="Times New Roman"/>
          <w:sz w:val="18"/>
          <w:szCs w:val="18"/>
          <w:color w:val="auto"/>
        </w:rPr>
        <w:t>May 22, 2025</w:t>
      </w:r>
      <w:r>
        <w:rPr>
          <w:rFonts w:ascii="Times New Roman" w:cs="Times New Roman" w:eastAsia="Times New Roman" w:hAnsi="Times New Roman"/>
          <w:sz w:val="29"/>
          <w:szCs w:val="29"/>
          <w:color w:val="auto"/>
          <w:vertAlign w:val="superscript"/>
        </w:rPr>
        <w:t>(4)</w:t>
      </w:r>
    </w:p>
    <w:p>
      <w:pPr>
        <w:ind w:left="220"/>
        <w:spacing w:after="0" w:line="185" w:lineRule="auto"/>
        <w:rPr>
          <w:sz w:val="20"/>
          <w:szCs w:val="20"/>
          <w:color w:val="auto"/>
        </w:rPr>
      </w:pPr>
      <w:r>
        <w:rPr>
          <w:rFonts w:ascii="Times New Roman" w:cs="Times New Roman" w:eastAsia="Times New Roman" w:hAnsi="Times New Roman"/>
          <w:sz w:val="18"/>
          <w:szCs w:val="18"/>
          <w:color w:val="auto"/>
        </w:rPr>
        <w:t>May 29, 2025</w:t>
      </w:r>
      <w:r>
        <w:rPr>
          <w:rFonts w:ascii="Times New Roman" w:cs="Times New Roman" w:eastAsia="Times New Roman" w:hAnsi="Times New Roman"/>
          <w:sz w:val="29"/>
          <w:szCs w:val="29"/>
          <w:color w:val="auto"/>
          <w:vertAlign w:val="superscript"/>
        </w:rPr>
        <w:t>(4)</w:t>
      </w:r>
    </w:p>
    <w:p>
      <w:pPr>
        <w:ind w:left="280"/>
        <w:spacing w:after="0" w:line="184" w:lineRule="auto"/>
        <w:rPr>
          <w:sz w:val="20"/>
          <w:szCs w:val="20"/>
          <w:color w:val="auto"/>
        </w:rPr>
      </w:pPr>
      <w:r>
        <w:rPr>
          <w:rFonts w:ascii="Times New Roman" w:cs="Times New Roman" w:eastAsia="Times New Roman" w:hAnsi="Times New Roman"/>
          <w:sz w:val="18"/>
          <w:szCs w:val="18"/>
          <w:color w:val="auto"/>
        </w:rPr>
        <w:t>June 4, 2025</w:t>
      </w:r>
      <w:r>
        <w:rPr>
          <w:rFonts w:ascii="Times New Roman" w:cs="Times New Roman" w:eastAsia="Times New Roman" w:hAnsi="Times New Roman"/>
          <w:sz w:val="29"/>
          <w:szCs w:val="29"/>
          <w:color w:val="auto"/>
          <w:vertAlign w:val="superscript"/>
        </w:rPr>
        <w:t>(4)</w:t>
      </w:r>
    </w:p>
    <w:p>
      <w:pPr>
        <w:ind w:left="280"/>
        <w:spacing w:after="0" w:line="185" w:lineRule="auto"/>
        <w:rPr>
          <w:sz w:val="20"/>
          <w:szCs w:val="20"/>
          <w:color w:val="auto"/>
        </w:rPr>
      </w:pPr>
      <w:r>
        <w:rPr>
          <w:rFonts w:ascii="Times New Roman" w:cs="Times New Roman" w:eastAsia="Times New Roman" w:hAnsi="Times New Roman"/>
          <w:sz w:val="18"/>
          <w:szCs w:val="18"/>
          <w:color w:val="auto"/>
        </w:rPr>
        <w:t>June 6, 2025</w:t>
      </w:r>
      <w:r>
        <w:rPr>
          <w:rFonts w:ascii="Times New Roman" w:cs="Times New Roman" w:eastAsia="Times New Roman" w:hAnsi="Times New Roman"/>
          <w:sz w:val="29"/>
          <w:szCs w:val="29"/>
          <w:color w:val="auto"/>
          <w:vertAlign w:val="superscript"/>
        </w:rPr>
        <w:t>(4)</w:t>
      </w:r>
    </w:p>
    <w:p>
      <w:pPr>
        <w:ind w:left="280"/>
        <w:spacing w:after="0" w:line="184" w:lineRule="auto"/>
        <w:rPr>
          <w:sz w:val="20"/>
          <w:szCs w:val="20"/>
          <w:color w:val="auto"/>
        </w:rPr>
      </w:pPr>
      <w:r>
        <w:rPr>
          <w:rFonts w:ascii="Times New Roman" w:cs="Times New Roman" w:eastAsia="Times New Roman" w:hAnsi="Times New Roman"/>
          <w:sz w:val="18"/>
          <w:szCs w:val="18"/>
          <w:color w:val="auto"/>
        </w:rPr>
        <w:t>June 9, 2025</w:t>
      </w:r>
      <w:r>
        <w:rPr>
          <w:rFonts w:ascii="Times New Roman" w:cs="Times New Roman" w:eastAsia="Times New Roman" w:hAnsi="Times New Roman"/>
          <w:sz w:val="29"/>
          <w:szCs w:val="29"/>
          <w:color w:val="auto"/>
          <w:vertAlign w:val="superscript"/>
        </w:rPr>
        <w:t>(4)</w:t>
      </w:r>
    </w:p>
    <w:p>
      <w:pPr>
        <w:ind w:left="240"/>
        <w:spacing w:after="0" w:line="185" w:lineRule="auto"/>
        <w:rPr>
          <w:sz w:val="20"/>
          <w:szCs w:val="20"/>
          <w:color w:val="auto"/>
        </w:rPr>
      </w:pPr>
      <w:r>
        <w:rPr>
          <w:rFonts w:ascii="Times New Roman" w:cs="Times New Roman" w:eastAsia="Times New Roman" w:hAnsi="Times New Roman"/>
          <w:sz w:val="18"/>
          <w:szCs w:val="18"/>
          <w:color w:val="auto"/>
        </w:rPr>
        <w:t>June 11, 2025</w:t>
      </w:r>
      <w:r>
        <w:rPr>
          <w:rFonts w:ascii="Times New Roman" w:cs="Times New Roman" w:eastAsia="Times New Roman" w:hAnsi="Times New Roman"/>
          <w:sz w:val="29"/>
          <w:szCs w:val="29"/>
          <w:color w:val="auto"/>
          <w:vertAlign w:val="superscript"/>
        </w:rPr>
        <w:t>(4)</w:t>
      </w:r>
    </w:p>
    <w:p>
      <w:pPr>
        <w:ind w:left="220"/>
        <w:spacing w:after="0" w:line="185" w:lineRule="auto"/>
        <w:rPr>
          <w:sz w:val="20"/>
          <w:szCs w:val="20"/>
          <w:color w:val="auto"/>
        </w:rPr>
      </w:pPr>
      <w:r>
        <w:rPr>
          <w:rFonts w:ascii="Times New Roman" w:cs="Times New Roman" w:eastAsia="Times New Roman" w:hAnsi="Times New Roman"/>
          <w:sz w:val="18"/>
          <w:szCs w:val="18"/>
          <w:color w:val="auto"/>
        </w:rPr>
        <w:t>June 12, 2025</w:t>
      </w:r>
      <w:r>
        <w:rPr>
          <w:rFonts w:ascii="Times New Roman" w:cs="Times New Roman" w:eastAsia="Times New Roman" w:hAnsi="Times New Roman"/>
          <w:sz w:val="29"/>
          <w:szCs w:val="29"/>
          <w:color w:val="auto"/>
          <w:vertAlign w:val="superscript"/>
        </w:rPr>
        <w:t>(4)</w:t>
      </w:r>
    </w:p>
    <w:p>
      <w:pPr>
        <w:ind w:left="220"/>
        <w:spacing w:after="0" w:line="184" w:lineRule="auto"/>
        <w:rPr>
          <w:sz w:val="20"/>
          <w:szCs w:val="20"/>
          <w:color w:val="auto"/>
        </w:rPr>
      </w:pPr>
      <w:r>
        <w:rPr>
          <w:rFonts w:ascii="Times New Roman" w:cs="Times New Roman" w:eastAsia="Times New Roman" w:hAnsi="Times New Roman"/>
          <w:sz w:val="18"/>
          <w:szCs w:val="18"/>
          <w:color w:val="auto"/>
        </w:rPr>
        <w:t>June 16, 2025</w:t>
      </w:r>
      <w:r>
        <w:rPr>
          <w:rFonts w:ascii="Times New Roman" w:cs="Times New Roman" w:eastAsia="Times New Roman" w:hAnsi="Times New Roman"/>
          <w:sz w:val="29"/>
          <w:szCs w:val="29"/>
          <w:color w:val="auto"/>
          <w:vertAlign w:val="superscript"/>
        </w:rPr>
        <w:t>(4)</w:t>
      </w:r>
    </w:p>
    <w:p>
      <w:pPr>
        <w:ind w:left="220"/>
        <w:spacing w:after="0" w:line="185" w:lineRule="auto"/>
        <w:rPr>
          <w:sz w:val="20"/>
          <w:szCs w:val="20"/>
          <w:color w:val="auto"/>
        </w:rPr>
      </w:pPr>
      <w:r>
        <w:rPr>
          <w:rFonts w:ascii="Times New Roman" w:cs="Times New Roman" w:eastAsia="Times New Roman" w:hAnsi="Times New Roman"/>
          <w:sz w:val="18"/>
          <w:szCs w:val="18"/>
          <w:color w:val="auto"/>
        </w:rPr>
        <w:t>June 18, 2025</w:t>
      </w:r>
      <w:r>
        <w:rPr>
          <w:rFonts w:ascii="Times New Roman" w:cs="Times New Roman" w:eastAsia="Times New Roman" w:hAnsi="Times New Roman"/>
          <w:sz w:val="29"/>
          <w:szCs w:val="29"/>
          <w:color w:val="auto"/>
          <w:vertAlign w:val="superscript"/>
        </w:rPr>
        <w:t>(4)</w:t>
      </w:r>
    </w:p>
    <w:p>
      <w:pPr>
        <w:ind w:left="220"/>
        <w:spacing w:after="0" w:line="184" w:lineRule="auto"/>
        <w:rPr>
          <w:sz w:val="20"/>
          <w:szCs w:val="20"/>
          <w:color w:val="auto"/>
        </w:rPr>
      </w:pPr>
      <w:r>
        <w:rPr>
          <w:rFonts w:ascii="Times New Roman" w:cs="Times New Roman" w:eastAsia="Times New Roman" w:hAnsi="Times New Roman"/>
          <w:sz w:val="18"/>
          <w:szCs w:val="18"/>
          <w:color w:val="auto"/>
        </w:rPr>
        <w:t>June 30, 2025</w:t>
      </w:r>
      <w:r>
        <w:rPr>
          <w:rFonts w:ascii="Times New Roman" w:cs="Times New Roman" w:eastAsia="Times New Roman" w:hAnsi="Times New Roman"/>
          <w:sz w:val="29"/>
          <w:szCs w:val="29"/>
          <w:color w:val="auto"/>
          <w:vertAlign w:val="superscript"/>
        </w:rPr>
        <w:t>(5)</w:t>
      </w:r>
    </w:p>
    <w:p>
      <w:pPr>
        <w:ind w:left="240"/>
        <w:spacing w:after="0" w:line="185" w:lineRule="auto"/>
        <w:rPr>
          <w:sz w:val="20"/>
          <w:szCs w:val="20"/>
          <w:color w:val="auto"/>
        </w:rPr>
      </w:pPr>
      <w:r>
        <w:rPr>
          <w:rFonts w:ascii="Times New Roman" w:cs="Times New Roman" w:eastAsia="Times New Roman" w:hAnsi="Times New Roman"/>
          <w:sz w:val="18"/>
          <w:szCs w:val="18"/>
          <w:color w:val="auto"/>
        </w:rPr>
        <w:t>July 17, 2025</w:t>
      </w:r>
      <w:r>
        <w:rPr>
          <w:rFonts w:ascii="Times New Roman" w:cs="Times New Roman" w:eastAsia="Times New Roman" w:hAnsi="Times New Roman"/>
          <w:sz w:val="29"/>
          <w:szCs w:val="29"/>
          <w:color w:val="auto"/>
          <w:vertAlign w:val="superscript"/>
        </w:rPr>
        <w:t>(7)</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August 15, 2025</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August 15, 2025</w:t>
      </w:r>
    </w:p>
    <w:p>
      <w:pPr>
        <w:ind w:left="140"/>
        <w:spacing w:after="0" w:line="192" w:lineRule="auto"/>
        <w:rPr>
          <w:sz w:val="20"/>
          <w:szCs w:val="20"/>
          <w:color w:val="auto"/>
        </w:rPr>
      </w:pPr>
      <w:r>
        <w:rPr>
          <w:rFonts w:ascii="Times New Roman" w:cs="Times New Roman" w:eastAsia="Times New Roman" w:hAnsi="Times New Roman"/>
          <w:sz w:val="18"/>
          <w:szCs w:val="18"/>
          <w:color w:val="auto"/>
        </w:rPr>
        <w:t>August 25, 2025</w:t>
      </w:r>
      <w:r>
        <w:rPr>
          <w:rFonts w:ascii="Times New Roman" w:cs="Times New Roman" w:eastAsia="Times New Roman" w:hAnsi="Times New Roman"/>
          <w:sz w:val="29"/>
          <w:szCs w:val="29"/>
          <w:color w:val="auto"/>
          <w:vertAlign w:val="superscript"/>
        </w:rPr>
        <w:t>(7)</w:t>
      </w:r>
    </w:p>
    <w:p>
      <w:pPr>
        <w:ind w:left="140"/>
        <w:spacing w:after="0" w:line="184" w:lineRule="auto"/>
        <w:rPr>
          <w:sz w:val="20"/>
          <w:szCs w:val="20"/>
          <w:color w:val="auto"/>
        </w:rPr>
      </w:pPr>
      <w:r>
        <w:rPr>
          <w:rFonts w:ascii="Times New Roman" w:cs="Times New Roman" w:eastAsia="Times New Roman" w:hAnsi="Times New Roman"/>
          <w:sz w:val="18"/>
          <w:szCs w:val="18"/>
          <w:color w:val="auto"/>
        </w:rPr>
        <w:t>August 28, 2025</w:t>
      </w:r>
      <w:r>
        <w:rPr>
          <w:rFonts w:ascii="Times New Roman" w:cs="Times New Roman" w:eastAsia="Times New Roman" w:hAnsi="Times New Roman"/>
          <w:sz w:val="29"/>
          <w:szCs w:val="29"/>
          <w:color w:val="auto"/>
          <w:vertAlign w:val="superscript"/>
        </w:rPr>
        <w:t>(7)</w:t>
      </w:r>
    </w:p>
    <w:p>
      <w:pPr>
        <w:ind w:left="140"/>
        <w:spacing w:after="0" w:line="185" w:lineRule="auto"/>
        <w:rPr>
          <w:sz w:val="20"/>
          <w:szCs w:val="20"/>
          <w:color w:val="auto"/>
        </w:rPr>
      </w:pPr>
      <w:r>
        <w:rPr>
          <w:rFonts w:ascii="Times New Roman" w:cs="Times New Roman" w:eastAsia="Times New Roman" w:hAnsi="Times New Roman"/>
          <w:sz w:val="18"/>
          <w:szCs w:val="18"/>
          <w:color w:val="auto"/>
        </w:rPr>
        <w:t>August 28, 2025</w:t>
      </w:r>
      <w:r>
        <w:rPr>
          <w:rFonts w:ascii="Times New Roman" w:cs="Times New Roman" w:eastAsia="Times New Roman" w:hAnsi="Times New Roman"/>
          <w:sz w:val="29"/>
          <w:szCs w:val="29"/>
          <w:color w:val="auto"/>
          <w:vertAlign w:val="superscript"/>
        </w:rPr>
        <w:t>(8)</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August 29, 2025</w:t>
      </w:r>
    </w:p>
    <w:p>
      <w:pPr>
        <w:spacing w:after="0" w:line="197" w:lineRule="auto"/>
        <w:rPr>
          <w:sz w:val="20"/>
          <w:szCs w:val="20"/>
          <w:color w:val="auto"/>
        </w:rPr>
      </w:pPr>
      <w:r>
        <w:rPr>
          <w:rFonts w:ascii="Times New Roman" w:cs="Times New Roman" w:eastAsia="Times New Roman" w:hAnsi="Times New Roman"/>
          <w:sz w:val="17"/>
          <w:szCs w:val="17"/>
          <w:color w:val="auto"/>
        </w:rPr>
        <w:t>September 23, 2025</w:t>
      </w:r>
      <w:r>
        <w:rPr>
          <w:rFonts w:ascii="Times New Roman" w:cs="Times New Roman" w:eastAsia="Times New Roman" w:hAnsi="Times New Roman"/>
          <w:sz w:val="28"/>
          <w:szCs w:val="28"/>
          <w:color w:val="auto"/>
          <w:vertAlign w:val="superscript"/>
        </w:rPr>
        <w:t>(7)</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October 1, 2025</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October 1, 2025</w:t>
      </w:r>
    </w:p>
    <w:p>
      <w:pPr>
        <w:ind w:left="140"/>
        <w:spacing w:after="0" w:line="192" w:lineRule="auto"/>
        <w:rPr>
          <w:sz w:val="20"/>
          <w:szCs w:val="20"/>
          <w:color w:val="auto"/>
        </w:rPr>
      </w:pPr>
      <w:r>
        <w:rPr>
          <w:rFonts w:ascii="Times New Roman" w:cs="Times New Roman" w:eastAsia="Times New Roman" w:hAnsi="Times New Roman"/>
          <w:sz w:val="18"/>
          <w:szCs w:val="18"/>
          <w:color w:val="auto"/>
        </w:rPr>
        <w:t>October 2, 2025</w:t>
      </w:r>
      <w:r>
        <w:rPr>
          <w:rFonts w:ascii="Times New Roman" w:cs="Times New Roman" w:eastAsia="Times New Roman" w:hAnsi="Times New Roman"/>
          <w:sz w:val="29"/>
          <w:szCs w:val="29"/>
          <w:color w:val="auto"/>
          <w:vertAlign w:val="superscript"/>
        </w:rPr>
        <w:t>(7)</w:t>
      </w:r>
    </w:p>
    <w:p>
      <w:pPr>
        <w:ind w:left="140"/>
        <w:spacing w:after="0" w:line="184" w:lineRule="auto"/>
        <w:rPr>
          <w:sz w:val="20"/>
          <w:szCs w:val="20"/>
          <w:color w:val="auto"/>
        </w:rPr>
      </w:pPr>
      <w:r>
        <w:rPr>
          <w:rFonts w:ascii="Times New Roman" w:cs="Times New Roman" w:eastAsia="Times New Roman" w:hAnsi="Times New Roman"/>
          <w:sz w:val="18"/>
          <w:szCs w:val="18"/>
          <w:color w:val="auto"/>
        </w:rPr>
        <w:t>October 3, 2025</w:t>
      </w:r>
      <w:r>
        <w:rPr>
          <w:rFonts w:ascii="Times New Roman" w:cs="Times New Roman" w:eastAsia="Times New Roman" w:hAnsi="Times New Roman"/>
          <w:sz w:val="29"/>
          <w:szCs w:val="29"/>
          <w:color w:val="auto"/>
          <w:vertAlign w:val="superscript"/>
        </w:rPr>
        <w:t>(7)</w:t>
      </w:r>
    </w:p>
    <w:p>
      <w:pPr>
        <w:ind w:left="140"/>
        <w:spacing w:after="0" w:line="185" w:lineRule="auto"/>
        <w:rPr>
          <w:sz w:val="20"/>
          <w:szCs w:val="20"/>
          <w:color w:val="auto"/>
        </w:rPr>
      </w:pPr>
      <w:r>
        <w:rPr>
          <w:rFonts w:ascii="Times New Roman" w:cs="Times New Roman" w:eastAsia="Times New Roman" w:hAnsi="Times New Roman"/>
          <w:sz w:val="18"/>
          <w:szCs w:val="18"/>
          <w:color w:val="auto"/>
        </w:rPr>
        <w:t>October 6, 2025</w:t>
      </w:r>
      <w:r>
        <w:rPr>
          <w:rFonts w:ascii="Times New Roman" w:cs="Times New Roman" w:eastAsia="Times New Roman" w:hAnsi="Times New Roman"/>
          <w:sz w:val="29"/>
          <w:szCs w:val="29"/>
          <w:color w:val="auto"/>
          <w:vertAlign w:val="superscript"/>
        </w:rPr>
        <w:t>(7)</w:t>
      </w:r>
    </w:p>
    <w:p>
      <w:pPr>
        <w:ind w:left="140"/>
        <w:spacing w:after="0" w:line="184" w:lineRule="auto"/>
        <w:rPr>
          <w:sz w:val="20"/>
          <w:szCs w:val="20"/>
          <w:color w:val="auto"/>
        </w:rPr>
      </w:pPr>
      <w:r>
        <w:rPr>
          <w:rFonts w:ascii="Times New Roman" w:cs="Times New Roman" w:eastAsia="Times New Roman" w:hAnsi="Times New Roman"/>
          <w:sz w:val="18"/>
          <w:szCs w:val="18"/>
          <w:color w:val="auto"/>
        </w:rPr>
        <w:t>October 8, 2025</w:t>
      </w:r>
      <w:r>
        <w:rPr>
          <w:rFonts w:ascii="Times New Roman" w:cs="Times New Roman" w:eastAsia="Times New Roman" w:hAnsi="Times New Roman"/>
          <w:sz w:val="29"/>
          <w:szCs w:val="29"/>
          <w:color w:val="auto"/>
          <w:vertAlign w:val="superscript"/>
        </w:rPr>
        <w:t>(7)</w:t>
      </w:r>
    </w:p>
    <w:p>
      <w:pPr>
        <w:ind w:left="100"/>
        <w:spacing w:after="0" w:line="185" w:lineRule="auto"/>
        <w:rPr>
          <w:sz w:val="20"/>
          <w:szCs w:val="20"/>
          <w:color w:val="auto"/>
        </w:rPr>
      </w:pPr>
      <w:r>
        <w:rPr>
          <w:rFonts w:ascii="Times New Roman" w:cs="Times New Roman" w:eastAsia="Times New Roman" w:hAnsi="Times New Roman"/>
          <w:sz w:val="18"/>
          <w:szCs w:val="18"/>
          <w:color w:val="auto"/>
        </w:rPr>
        <w:t>October 20, 2025</w:t>
      </w:r>
      <w:r>
        <w:rPr>
          <w:rFonts w:ascii="Times New Roman" w:cs="Times New Roman" w:eastAsia="Times New Roman" w:hAnsi="Times New Roman"/>
          <w:sz w:val="29"/>
          <w:szCs w:val="29"/>
          <w:color w:val="auto"/>
          <w:vertAlign w:val="superscript"/>
        </w:rPr>
        <w:t>(7)</w:t>
      </w:r>
    </w:p>
    <w:p>
      <w:pPr>
        <w:ind w:left="100"/>
        <w:spacing w:after="0" w:line="185" w:lineRule="auto"/>
        <w:rPr>
          <w:sz w:val="20"/>
          <w:szCs w:val="20"/>
          <w:color w:val="auto"/>
        </w:rPr>
      </w:pPr>
      <w:r>
        <w:rPr>
          <w:rFonts w:ascii="Times New Roman" w:cs="Times New Roman" w:eastAsia="Times New Roman" w:hAnsi="Times New Roman"/>
          <w:sz w:val="18"/>
          <w:szCs w:val="18"/>
          <w:color w:val="auto"/>
        </w:rPr>
        <w:t>October 31, 2025</w:t>
      </w:r>
      <w:r>
        <w:rPr>
          <w:rFonts w:ascii="Times New Roman" w:cs="Times New Roman" w:eastAsia="Times New Roman" w:hAnsi="Times New Roman"/>
          <w:sz w:val="29"/>
          <w:szCs w:val="29"/>
          <w:color w:val="auto"/>
          <w:vertAlign w:val="superscript"/>
        </w:rPr>
        <w:t>(9)</w:t>
      </w:r>
    </w:p>
    <w:p>
      <w:pPr>
        <w:ind w:left="60"/>
        <w:spacing w:after="0" w:line="191" w:lineRule="auto"/>
        <w:rPr>
          <w:sz w:val="20"/>
          <w:szCs w:val="20"/>
          <w:color w:val="auto"/>
        </w:rPr>
      </w:pPr>
      <w:r>
        <w:rPr>
          <w:rFonts w:ascii="Times New Roman" w:cs="Times New Roman" w:eastAsia="Times New Roman" w:hAnsi="Times New Roman"/>
          <w:sz w:val="17"/>
          <w:szCs w:val="17"/>
          <w:color w:val="auto"/>
        </w:rPr>
        <w:t>October 31, 2025</w:t>
      </w:r>
      <w:r>
        <w:rPr>
          <w:rFonts w:ascii="Times New Roman" w:cs="Times New Roman" w:eastAsia="Times New Roman" w:hAnsi="Times New Roman"/>
          <w:sz w:val="28"/>
          <w:szCs w:val="28"/>
          <w:color w:val="auto"/>
          <w:vertAlign w:val="superscript"/>
        </w:rPr>
        <w:t>(10)</w:t>
      </w:r>
    </w:p>
    <w:p>
      <w:pPr>
        <w:ind w:left="60"/>
        <w:spacing w:after="0" w:line="191" w:lineRule="auto"/>
        <w:rPr>
          <w:sz w:val="20"/>
          <w:szCs w:val="20"/>
          <w:color w:val="auto"/>
        </w:rPr>
      </w:pPr>
      <w:r>
        <w:rPr>
          <w:rFonts w:ascii="Times New Roman" w:cs="Times New Roman" w:eastAsia="Times New Roman" w:hAnsi="Times New Roman"/>
          <w:sz w:val="17"/>
          <w:szCs w:val="17"/>
          <w:color w:val="auto"/>
        </w:rPr>
        <w:t>October 31, 2025</w:t>
      </w:r>
      <w:r>
        <w:rPr>
          <w:rFonts w:ascii="Times New Roman" w:cs="Times New Roman" w:eastAsia="Times New Roman" w:hAnsi="Times New Roman"/>
          <w:sz w:val="28"/>
          <w:szCs w:val="28"/>
          <w:color w:val="auto"/>
          <w:vertAlign w:val="superscript"/>
        </w:rPr>
        <w:t>(11)</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November 3, 2025</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87,500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$10.64</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16,336</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$10.89</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17,000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$10.29</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107,700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$10.37</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55,000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$10.41</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9,000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$10.13</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55,849</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$9.83</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20,000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$9.76</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35,700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$9.43</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37,000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$9.37</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33,000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$9.34</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36,400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$9.00</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45,000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$8.95</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43,500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$9.31</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221,311</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$10.22</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316,800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$10.01</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34,000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$9.88</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112,413</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$11.38</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13,000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$11.45</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13,000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$12.19</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13,600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$12.53</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15,000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$12.40</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10,578</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$12.59</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18,236</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$11.92</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30,000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$11.07</w:t>
            </w: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US$50,000,000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Convertible Debentures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See note (6)</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566,394</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$10.44</w:t>
            </w:r>
          </w:p>
        </w:tc>
      </w:tr>
      <w:tr>
        <w:trPr>
          <w:trHeight w:val="238"/>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53,800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80,000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$11.00</w:t>
            </w:r>
          </w:p>
        </w:tc>
      </w:tr>
      <w:tr>
        <w:trPr>
          <w:trHeight w:val="234"/>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1,166,486</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$9.54</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423,812</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$9.85</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7,894</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$9.50</w:t>
            </w:r>
          </w:p>
        </w:tc>
      </w:tr>
      <w:tr>
        <w:trPr>
          <w:trHeight w:val="238"/>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15,000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$11.00</w:t>
            </w:r>
          </w:p>
        </w:tc>
      </w:tr>
      <w:tr>
        <w:trPr>
          <w:trHeight w:val="234"/>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912,863</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$8.38</w:t>
            </w:r>
          </w:p>
        </w:tc>
      </w:tr>
      <w:tr>
        <w:trPr>
          <w:trHeight w:val="238"/>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600,000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200,000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$8.39</w:t>
            </w:r>
          </w:p>
        </w:tc>
      </w:tr>
      <w:tr>
        <w:trPr>
          <w:trHeight w:val="234"/>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683,452</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$8.24</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116,859</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$8.33</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165,171</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$8.42</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185,816</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$8.61</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364,003</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$8.41</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22,277,750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$9.06</w:t>
            </w:r>
          </w:p>
        </w:tc>
      </w:tr>
      <w:tr>
        <w:trPr>
          <w:trHeight w:val="256"/>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9,049,138</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$11.33</w:t>
            </w:r>
          </w:p>
        </w:tc>
      </w:tr>
      <w:tr>
        <w:trPr>
          <w:trHeight w:val="257"/>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4,605,500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Pre-Funded Warrants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$0.000014</w:t>
            </w:r>
          </w:p>
        </w:tc>
      </w:tr>
      <w:tr>
        <w:trPr>
          <w:trHeight w:val="238"/>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1,782,220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4"/>
        </w:trPr>
        <w:tc>
          <w:tcPr>
            <w:tcW w:w="16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48,240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4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-7311390</wp:posOffset>
            </wp:positionV>
            <wp:extent cx="641223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-6985635</wp:posOffset>
            </wp:positionV>
            <wp:extent cx="641223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-6659880</wp:posOffset>
            </wp:positionV>
            <wp:extent cx="641223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-6334125</wp:posOffset>
            </wp:positionV>
            <wp:extent cx="641223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-6008370</wp:posOffset>
            </wp:positionV>
            <wp:extent cx="64122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-5682615</wp:posOffset>
            </wp:positionV>
            <wp:extent cx="641223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-5356860</wp:posOffset>
            </wp:positionV>
            <wp:extent cx="641223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-5031105</wp:posOffset>
            </wp:positionV>
            <wp:extent cx="641223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-4705350</wp:posOffset>
            </wp:positionV>
            <wp:extent cx="641223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-4379595</wp:posOffset>
            </wp:positionV>
            <wp:extent cx="641223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-4053840</wp:posOffset>
            </wp:positionV>
            <wp:extent cx="641223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-3728720</wp:posOffset>
            </wp:positionV>
            <wp:extent cx="641223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-3402330</wp:posOffset>
            </wp:positionV>
            <wp:extent cx="641223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-3076575</wp:posOffset>
            </wp:positionV>
            <wp:extent cx="641223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-2776855</wp:posOffset>
            </wp:positionV>
            <wp:extent cx="64122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-2476500</wp:posOffset>
            </wp:positionV>
            <wp:extent cx="641223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-2150745</wp:posOffset>
            </wp:positionV>
            <wp:extent cx="64122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-1851025</wp:posOffset>
            </wp:positionV>
            <wp:extent cx="64122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-1576705</wp:posOffset>
            </wp:positionV>
            <wp:extent cx="641223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-1250950</wp:posOffset>
            </wp:positionV>
            <wp:extent cx="641223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-925195</wp:posOffset>
            </wp:positionV>
            <wp:extent cx="641223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-599440</wp:posOffset>
            </wp:positionV>
            <wp:extent cx="641223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-273685</wp:posOffset>
            </wp:positionV>
            <wp:extent cx="641223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128905</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160" w:space="720"/>
            <w:col w:w="6219"/>
          </w:cols>
          <w:pgMar w:left="1360" w:top="307" w:right="1440"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9" w:lineRule="exact"/>
        <w:rPr>
          <w:sz w:val="20"/>
          <w:szCs w:val="20"/>
          <w:color w:val="auto"/>
        </w:rPr>
      </w:pPr>
    </w:p>
    <w:p>
      <w:pPr>
        <w:ind w:left="760" w:hanging="428"/>
        <w:spacing w:after="0"/>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ind w:left="720" w:hanging="388"/>
        <w:spacing w:after="0" w:line="230" w:lineRule="auto"/>
        <w:tabs>
          <w:tab w:leader="none" w:pos="75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2025, being US$1.00 = C$1.3913.</w:t>
      </w:r>
    </w:p>
    <w:p>
      <w:pPr>
        <w:spacing w:after="0" w:line="1" w:lineRule="exact"/>
        <w:rPr>
          <w:rFonts w:ascii="Times New Roman" w:cs="Times New Roman" w:eastAsia="Times New Roman" w:hAnsi="Times New Roman"/>
          <w:sz w:val="22"/>
          <w:szCs w:val="22"/>
          <w:color w:val="auto"/>
        </w:rPr>
      </w:pPr>
    </w:p>
    <w:p>
      <w:pPr>
        <w:jc w:val="both"/>
        <w:ind w:left="720" w:right="20" w:hanging="388"/>
        <w:spacing w:after="0" w:line="241" w:lineRule="auto"/>
        <w:tabs>
          <w:tab w:leader="none" w:pos="75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Shares issued in connection with the Corporation's 2023 at-the-market equity program (the "</w:t>
      </w:r>
      <w:r>
        <w:rPr>
          <w:rFonts w:ascii="Times New Roman" w:cs="Times New Roman" w:eastAsia="Times New Roman" w:hAnsi="Times New Roman"/>
          <w:sz w:val="21"/>
          <w:szCs w:val="21"/>
          <w:b w:val="1"/>
          <w:bCs w:val="1"/>
          <w:color w:val="auto"/>
        </w:rPr>
        <w:t>2023 ATM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Program</w:t>
      </w:r>
      <w:r>
        <w:rPr>
          <w:rFonts w:ascii="Times New Roman" w:cs="Times New Roman" w:eastAsia="Times New Roman" w:hAnsi="Times New Roman"/>
          <w:sz w:val="21"/>
          <w:szCs w:val="21"/>
          <w:color w:val="auto"/>
        </w:rPr>
        <w:t>") which allowed the Corporation to issue and sell up to US$35,000,000 of Common Shares to the public,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to time, at its discretion. The 2023 ATM Program was qualified by a prospectus supplement dated August 23, 2023.</w:t>
      </w:r>
    </w:p>
    <w:p>
      <w:pPr>
        <w:spacing w:after="0" w:line="1" w:lineRule="exact"/>
        <w:rPr>
          <w:rFonts w:ascii="Times New Roman" w:cs="Times New Roman" w:eastAsia="Times New Roman" w:hAnsi="Times New Roman"/>
          <w:sz w:val="21"/>
          <w:szCs w:val="21"/>
          <w:color w:val="auto"/>
        </w:rPr>
      </w:pPr>
    </w:p>
    <w:p>
      <w:pPr>
        <w:jc w:val="both"/>
        <w:ind w:left="720" w:hanging="388"/>
        <w:spacing w:after="0" w:line="230" w:lineRule="auto"/>
        <w:tabs>
          <w:tab w:leader="none" w:pos="75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2025 at-the-market equity program (the "</w:t>
      </w:r>
      <w:r>
        <w:rPr>
          <w:rFonts w:ascii="Times New Roman" w:cs="Times New Roman" w:eastAsia="Times New Roman" w:hAnsi="Times New Roman"/>
          <w:sz w:val="22"/>
          <w:szCs w:val="22"/>
          <w:b w:val="1"/>
          <w:bCs w:val="1"/>
          <w:color w:val="auto"/>
        </w:rPr>
        <w:t>2025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which allowed the Corporation to issue and sell up to US$100,000,000 of Common Shares to the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at its discretion. The 2025 ATM Program was qualified by a prospectus supplement dated February 10, 2025.</w:t>
      </w:r>
    </w:p>
    <w:p>
      <w:pPr>
        <w:spacing w:after="0" w:line="2" w:lineRule="exact"/>
        <w:rPr>
          <w:rFonts w:ascii="Times New Roman" w:cs="Times New Roman" w:eastAsia="Times New Roman" w:hAnsi="Times New Roman"/>
          <w:sz w:val="22"/>
          <w:szCs w:val="22"/>
          <w:color w:val="auto"/>
        </w:rPr>
      </w:pPr>
    </w:p>
    <w:p>
      <w:pPr>
        <w:ind w:left="760" w:hanging="428"/>
        <w:spacing w:after="0" w:line="230"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Debentures issued in connection with the June 2025 Private Placement.</w:t>
      </w:r>
    </w:p>
    <w:p>
      <w:pPr>
        <w:ind w:left="720" w:hanging="388"/>
        <w:spacing w:after="0" w:line="230" w:lineRule="auto"/>
        <w:tabs>
          <w:tab w:leader="none" w:pos="75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accrued and unpaid interest, if any, on the Convertible Debentures is convertible into Common Shares at the Conversion Price (as defined in the Securities Purchase Agreement).</w:t>
      </w:r>
    </w:p>
    <w:p>
      <w:pPr>
        <w:spacing w:after="0" w:line="1" w:lineRule="exact"/>
        <w:rPr>
          <w:rFonts w:ascii="Times New Roman" w:cs="Times New Roman" w:eastAsia="Times New Roman" w:hAnsi="Times New Roman"/>
          <w:sz w:val="22"/>
          <w:szCs w:val="22"/>
          <w:color w:val="auto"/>
        </w:rPr>
      </w:pPr>
    </w:p>
    <w:p>
      <w:pPr>
        <w:ind w:left="760" w:hanging="428"/>
        <w:spacing w:after="0" w:line="230"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on conversion of the Convertible Debentures.</w:t>
      </w:r>
    </w:p>
    <w:p>
      <w:pPr>
        <w:ind w:left="760" w:hanging="428"/>
        <w:spacing w:after="0" w:line="230"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upon exercise of certain options to purchase Common Shares.</w:t>
      </w:r>
    </w:p>
    <w:p>
      <w:pPr>
        <w:ind w:left="760" w:hanging="428"/>
        <w:spacing w:after="0" w:line="230"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October 2025 Offering.</w:t>
      </w:r>
    </w:p>
    <w:p>
      <w:pPr>
        <w:ind w:left="780" w:hanging="448"/>
        <w:spacing w:after="0" w:line="230" w:lineRule="auto"/>
        <w:tabs>
          <w:tab w:leader="none" w:pos="7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 purchase warrants issued in connection with the October 2025 Offering.</w:t>
      </w:r>
    </w:p>
    <w:p>
      <w:pPr>
        <w:ind w:left="780" w:hanging="448"/>
        <w:spacing w:after="0"/>
        <w:tabs>
          <w:tab w:leader="none" w:pos="7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Pre-funded Common Share purchase warrants issued in connection the October 2025 Offering.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following is, as of the date hereof, a summary of the principal Canadian federal income tax considerations under the Tax Act, generally applicable to an investor who acquires, as beneficial owner, Common Shares, pursuant to this Prospectus Supplement and who, at all relevant times, for the purposes of the Tax Act, (i) deals at arm's length and is not affiliated with the Corporation, the Underwriters and any subsequent purchaser of such securities and (ii) will acquire and hold the Common Shares as capital property (each a "</w:t>
      </w:r>
      <w:r>
        <w:rPr>
          <w:rFonts w:ascii="Times New Roman" w:cs="Times New Roman" w:eastAsia="Times New Roman" w:hAnsi="Times New Roman"/>
          <w:sz w:val="21"/>
          <w:szCs w:val="21"/>
          <w:b w:val="1"/>
          <w:bCs w:val="1"/>
          <w:color w:val="auto"/>
        </w:rPr>
        <w:t>Holder</w:t>
      </w:r>
      <w:r>
        <w:rPr>
          <w:rFonts w:ascii="Times New Roman" w:cs="Times New Roman" w:eastAsia="Times New Roman" w:hAnsi="Times New Roman"/>
          <w:sz w:val="21"/>
          <w:szCs w:val="21"/>
          <w:color w:val="auto"/>
        </w:rPr>
        <w:t>"). Generally, the Common Shares will be considered to be capital property to a Holder, provided the Holder does not hold or use the Common Shares in the course of carrying on a business of trading or dealing in securities and such Holder has not acquired them in one or more transactions considered to be an adventure or concern in the nature of trade.</w:t>
      </w:r>
    </w:p>
    <w:p>
      <w:pPr>
        <w:spacing w:after="0" w:line="13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is not applicable to a Holder: (i) that is a "financial institution", as defined in the Tax Act, for the purposes of the mark-to-market rules in the Tax Act; (ii) that is a "specified financial institution", as defined in the Tax Act; (iii) an interest in which is or would constitute a "tax shelter investment" as defined in the Tax Act; (iv) that has elected to determine its "Canadian tax results" (as defined in the Tax Act) in a currency other than the Canadian dollar; (v) that has entered into or will enter into a "derivative forward agreement" or a "synthetic disposition arrangement", as those terms are defined in the Tax Act, with respect to the Common Shares or (vi) that receives dividends on the Common Shares under or as part of a "dividend rental arrangement", as defined in the Tax Act. Such Holders should consult their own tax advisors with respect to an investment in the Common Shares. In addition, this summary does not address the deductibility of interest by a Holder who has borrowed money or otherwise incurred debt in connection with the acquisition of the Common Shares.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Common Shares, controlled by a non-resident person, or a group persons comprised of any combination of non-resident corporations, non-resident individuals or non-resident trusts that do not deal at arm's length with each other, for purposes of the "foreign affiliate dumping" rules in section 212.3 of the Tax Act. Such Holders should consult their tax advisors with respect to the consequences of acquiring the Common Shares pursuant to the Offering.</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is based upon the current provisions of the Tax Act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2"/>
          <w:szCs w:val="22"/>
          <w:b w:val="1"/>
          <w:bCs w:val="1"/>
          <w:color w:val="auto"/>
        </w:rPr>
        <w:t>CRA</w:t>
      </w:r>
      <w:r>
        <w:rPr>
          <w:rFonts w:ascii="Times New Roman" w:cs="Times New Roman" w:eastAsia="Times New Roman" w:hAnsi="Times New Roman"/>
          <w:sz w:val="22"/>
          <w:szCs w:val="22"/>
          <w:color w:val="auto"/>
        </w:rPr>
        <w:t>"). This summary takes into account all specific proposals to amend the Tax Act and the regulations thereunder publicly announced by or on behalf of the Minister of Finance (Canada) prior to the date hereof (the "</w:t>
      </w:r>
      <w:r>
        <w:rPr>
          <w:rFonts w:ascii="Times New Roman" w:cs="Times New Roman" w:eastAsia="Times New Roman" w:hAnsi="Times New Roman"/>
          <w:sz w:val="22"/>
          <w:szCs w:val="22"/>
          <w:b w:val="1"/>
          <w:bCs w:val="1"/>
          <w:color w:val="auto"/>
        </w:rPr>
        <w:t>Tax Proposals</w:t>
      </w:r>
      <w:r>
        <w:rPr>
          <w:rFonts w:ascii="Times New Roman" w:cs="Times New Roman" w:eastAsia="Times New Roman" w:hAnsi="Times New Roman"/>
          <w:sz w:val="22"/>
          <w:szCs w:val="22"/>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an investment in the Common Shares. This summary is of a general nature only and is not intended to be, nor should it be construed to be, legal or tax advice or representations to any particular Holder. Holders should consult their own legal and tax advisors for advice with respect to the tax consequences of an investment in the Common Shares based on their particular circumstances.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802"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the Tax Act, all amounts relating to the acquisition, holding or disposition of Common Shares (including dividends, adjusted cost base and proceeds of disposition) must generally be expressed in Canadian Dollars. Amounts denominated in any other currency must be converted into Canadian Dollars generally based on the exchange rate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Revenue </w:t>
      </w:r>
      <w:r>
        <w:rPr>
          <w:rFonts w:ascii="Times New Roman" w:cs="Times New Roman" w:eastAsia="Times New Roman" w:hAnsi="Times New Roman"/>
          <w:sz w:val="22"/>
          <w:szCs w:val="22"/>
          <w:color w:val="auto"/>
        </w:rPr>
        <w:t>(Canada).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Resident Holders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portion of the summary is generally applicable to a Holder who, for the purposes of the Tax Act, is resident or deemed to be resident in Canada at all relevant times (a "</w:t>
      </w:r>
      <w:r>
        <w:rPr>
          <w:rFonts w:ascii="Times New Roman" w:cs="Times New Roman" w:eastAsia="Times New Roman" w:hAnsi="Times New Roman"/>
          <w:sz w:val="22"/>
          <w:szCs w:val="22"/>
          <w:b w:val="1"/>
          <w:bCs w:val="1"/>
          <w:color w:val="auto"/>
        </w:rPr>
        <w:t>Resident Holder</w:t>
      </w:r>
      <w:r>
        <w:rPr>
          <w:rFonts w:ascii="Times New Roman" w:cs="Times New Roman" w:eastAsia="Times New Roman" w:hAnsi="Times New Roman"/>
          <w:sz w:val="22"/>
          <w:szCs w:val="22"/>
          <w:color w:val="auto"/>
        </w:rPr>
        <w:t>"). Certain Resident Holders whose Common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Resident Holders contemplating making such an election should consult their own tax advisors as to whether an election under subsection 39(4) is available and, if available, whether it is advisable in their particular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Taxation of Dividends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applicable to an dividends designated by the Corporation as an "eligible dividend" in accordance with the provisions of the Tax Act. There may be restrictions on the ability of the Corporation to designate any particular dividend as an "eligible dividend".</w:t>
      </w:r>
    </w:p>
    <w:p>
      <w:pPr>
        <w:spacing w:after="0" w:line="1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dividend received or deemed to be received on the Common Shares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to the extent and under the circumstances specified in the Tax Act. A Resident Holder that is a "private corporation" or a "subject corporation" (each as defined in the Tax Act), may be liable under Part IV of the Tax Act to pay an additional tax (refundable under certain circumstances) on dividends received or deemed to be received on the Common Shares in a year to the extent such dividends are deductible in computing the Resident Holder's taxable income for the year. Resident Holders that are corporations should consult their own tax advisors having regard to their own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Resident Holder who disposes, or is deemed to dispose, of a Common Share (other than a disposition to the Corporation, that is not a sale in the open market in the manner in which Common Shares would normally purchased by any member of the public in the open market) generally will realize a capital gain (or capital loss) equal to the amount, if any, by which the proceeds of disposition, net of any reasonable costs of disposition, exceed (or are exceeded by) the aggregate of the adjusted cost base to the Resident Holder of such Common Shares immediately before the disposition or deemed disposition. The adjusted cost base to a Resident Holder of a Common Share acquired pursuant to this Offering generally will be determined by averaging the cost such Common Share with the adjusted cost base of all Common Shares of the Corporation (if any) owned by the Resident Holder as capital property immediately prior the time of acquisition.</w:t>
      </w:r>
    </w:p>
    <w:p>
      <w:pPr>
        <w:spacing w:after="0" w:line="1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Generally, one-half of any capital gain (a "</w:t>
      </w:r>
      <w:r>
        <w:rPr>
          <w:rFonts w:ascii="Times New Roman" w:cs="Times New Roman" w:eastAsia="Times New Roman" w:hAnsi="Times New Roman"/>
          <w:sz w:val="22"/>
          <w:szCs w:val="22"/>
          <w:b w:val="1"/>
          <w:bCs w:val="1"/>
          <w:color w:val="auto"/>
        </w:rPr>
        <w:t>taxable capital gain</w:t>
      </w:r>
      <w:r>
        <w:rPr>
          <w:rFonts w:ascii="Times New Roman" w:cs="Times New Roman" w:eastAsia="Times New Roman" w:hAnsi="Times New Roman"/>
          <w:sz w:val="22"/>
          <w:szCs w:val="22"/>
          <w:color w:val="auto"/>
        </w:rPr>
        <w:t>") realized by a Resident Holder in a taxation year must be included in computing income the Resident Holder's income for that taxation year. Currently, one-half of any capital loss (an "</w:t>
      </w:r>
      <w:r>
        <w:rPr>
          <w:rFonts w:ascii="Times New Roman" w:cs="Times New Roman" w:eastAsia="Times New Roman" w:hAnsi="Times New Roman"/>
          <w:sz w:val="22"/>
          <w:szCs w:val="22"/>
          <w:b w:val="1"/>
          <w:bCs w:val="1"/>
          <w:color w:val="auto"/>
        </w:rPr>
        <w:t>allowable capital loss</w:t>
      </w:r>
      <w:r>
        <w:rPr>
          <w:rFonts w:ascii="Times New Roman" w:cs="Times New Roman" w:eastAsia="Times New Roman" w:hAnsi="Times New Roman"/>
          <w:sz w:val="22"/>
          <w:szCs w:val="22"/>
          <w:color w:val="auto"/>
        </w:rPr>
        <w:t>") realized in a particular taxation year must be deducted against taxable capital gains realized by the Resident Holder in the year of disposition, in accordance with the detailed rules in the Tax Act.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(or on a share for which the Common Share has been substituted), to the extent and under the circumstances described in the Tax Act. Similar rules may apply where a Resident Holder that is a corporation is a member of a partnership or a beneficiary of a trust that owns Common Shares, directly or indirectly, through a partnership or trust. Resident Holders to whom these rules may be relevant should consult their own tax advisors.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045"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i w:val="1"/>
          <w:iCs w:val="1"/>
          <w:color w:val="auto"/>
        </w:rPr>
        <w:t>Additional Refundable Tax</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throughout the relevant taxation year, a "Canadian-controlled private corporation" or, at any time in the taxation year, is or is deemed to be a "substantive CCPC" (each as defined in the Tax Act) ) may be liable to pay an additional tax (refundable in certain circumstances) on certain investment income, including amounts in respect of net taxable capital gains. Such Resident Holders should consult their own tax advisors.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Alternative Minimum Tax</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Non-Resident Holders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portion of the summary is generally applicable to a Holder who, at all relevant times, for the purposes of the Tax Act and any applicable income tax treaty or convention: (i) is neither resident nor deemed to be resident in Canada and (ii) do not use or hold, and are not deemed to use or hold, Common Shares in the course of business carried on or deemed to be carried on in Canada. Holders who meet all of the foregoing requirements are referred to herein as "</w:t>
      </w:r>
      <w:r>
        <w:rPr>
          <w:rFonts w:ascii="Times New Roman" w:cs="Times New Roman" w:eastAsia="Times New Roman" w:hAnsi="Times New Roman"/>
          <w:sz w:val="21"/>
          <w:szCs w:val="21"/>
          <w:b w:val="1"/>
          <w:bCs w:val="1"/>
          <w:color w:val="auto"/>
        </w:rPr>
        <w:t>Non-Resident Holders</w:t>
      </w:r>
      <w:r>
        <w:rPr>
          <w:rFonts w:ascii="Times New Roman" w:cs="Times New Roman" w:eastAsia="Times New Roman" w:hAnsi="Times New Roman"/>
          <w:sz w:val="21"/>
          <w:szCs w:val="21"/>
          <w:color w:val="auto"/>
        </w:rPr>
        <w:t>", and this portion of the summary only addresses such Non-Resident Holders. 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xml:space="preserve">", for the purposes of this summary, means a Non-Resident Holder who, for purposes of the </w:t>
      </w:r>
      <w:r>
        <w:rPr>
          <w:rFonts w:ascii="Times New Roman" w:cs="Times New Roman" w:eastAsia="Times New Roman" w:hAnsi="Times New Roman"/>
          <w:sz w:val="22"/>
          <w:szCs w:val="22"/>
          <w:i w:val="1"/>
          <w:iCs w:val="1"/>
          <w:color w:val="auto"/>
        </w:rPr>
        <w:t xml:space="preserve">Canada-United States Tax Convention </w:t>
      </w:r>
      <w:r>
        <w:rPr>
          <w:rFonts w:ascii="Times New Roman" w:cs="Times New Roman" w:eastAsia="Times New Roman" w:hAnsi="Times New Roman"/>
          <w:sz w:val="22"/>
          <w:szCs w:val="22"/>
          <w:color w:val="auto"/>
        </w:rPr>
        <w:t>(1980), as amended (the "</w:t>
      </w:r>
      <w:r>
        <w:rPr>
          <w:rFonts w:ascii="Times New Roman" w:cs="Times New Roman" w:eastAsia="Times New Roman" w:hAnsi="Times New Roman"/>
          <w:sz w:val="22"/>
          <w:szCs w:val="22"/>
          <w:b w:val="1"/>
          <w:bCs w:val="1"/>
          <w:color w:val="auto"/>
        </w:rPr>
        <w:t>Treaty</w:t>
      </w:r>
      <w:r>
        <w:rPr>
          <w:rFonts w:ascii="Times New Roman" w:cs="Times New Roman" w:eastAsia="Times New Roman" w:hAnsi="Times New Roman"/>
          <w:sz w:val="22"/>
          <w:szCs w:val="22"/>
          <w:color w:val="auto"/>
        </w:rPr>
        <w:t>"), is at all relevant times a resident of the United States and is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"qualifying person" within the meaning of the Treaty eligible for the full benefits of the Treaty. Holders should consult their own tax advisors to determine their entitlement to benefits under the Treaty and related compliance requirements based on their particular circumstances.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Dividends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Dividends paid or credited or deemed to be paid or credited to a Non-Resident Holder by the Corporation on the Common Shares are subject to Canadian withholding tax at the rate of 25% of the gross amount of the dividend unless reduced by the terms of an applicable tax treaty or convention between Canada and the country in which the Non-Resident Holder is resident. For example, under the Treaty, the rate of withholding tax on dividends paid or credited to U.S. Holder who is the beneficial owner of the dividends is generally reduced to 15% of the gross amount of the dividend (or 5% in the case of a U.S. Holder that is a company beneficially owning at least 10% of the Corporation's voting shares). </w:t>
      </w:r>
      <w:r>
        <w:rPr>
          <w:rFonts w:ascii="Times New Roman" w:cs="Times New Roman" w:eastAsia="Times New Roman" w:hAnsi="Times New Roman"/>
          <w:sz w:val="22"/>
          <w:szCs w:val="22"/>
          <w:b w:val="1"/>
          <w:bCs w:val="1"/>
          <w:color w:val="auto"/>
        </w:rPr>
        <w:t>Non-Resident Holders (including U.S. Holders) should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consult their own tax advisors to determine their entitlement to benefits under any applicable tax treaty or convention based on their particular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Common Share unless such Common Share constitutes (or is deemed to constitute)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Common Share will not be recognized under the Tax Act, unless the Common Share constitutes (or is deemed to constitute) "taxable Canadian property" to the Non-Resident Holder thereof for purposes of the Tax Act, and the Non-Resident Holder is not entitled to relief under the terms of an applicable tax treaty or convention.</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Provided the Common Shares are listed on a “designated stock exchange”, as defined in the Tax Act (which currently includes Cboe Canada, NYSE American and Nasdaq) at the time of disposition or deemed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w:t>
      </w:r>
    </w:p>
    <w:p>
      <w:pPr>
        <w:spacing w:after="0" w:line="2" w:lineRule="exact"/>
        <w:rPr>
          <w:sz w:val="20"/>
          <w:szCs w:val="20"/>
          <w:color w:val="auto"/>
        </w:rPr>
      </w:pPr>
    </w:p>
    <w:p>
      <w:pPr>
        <w:jc w:val="both"/>
        <w:ind w:firstLine="8"/>
        <w:spacing w:after="0" w:line="241" w:lineRule="auto"/>
        <w:tabs>
          <w:tab w:leader="none" w:pos="311"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shares of the Corporation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may be deemed to be taxable Canadian property of a Non-Resident Holder. </w:t>
      </w:r>
      <w:r>
        <w:rPr>
          <w:rFonts w:ascii="Times New Roman" w:cs="Times New Roman" w:eastAsia="Times New Roman" w:hAnsi="Times New Roman"/>
          <w:sz w:val="21"/>
          <w:szCs w:val="21"/>
          <w:b w:val="1"/>
          <w:bCs w:val="1"/>
          <w:color w:val="auto"/>
        </w:rPr>
        <w:t>Non-Resident</w:t>
      </w:r>
    </w:p>
    <w:p>
      <w:pPr>
        <w:spacing w:after="0" w:line="4"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Holders should consult their own tax advisors as to whether their Common Shares constitute “taxable Canadian property”.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869" w:gutter="0" w:footer="0" w:header="0"/>
        </w:sectPr>
      </w:pPr>
    </w:p>
    <w:bookmarkStart w:id="22" w:name="page23"/>
    <w:bookmarkEnd w:id="22"/>
    <w:p>
      <w:pPr>
        <w:jc w:val="both"/>
        <w:spacing w:after="0" w:line="235" w:lineRule="auto"/>
        <w:rPr>
          <w:sz w:val="20"/>
          <w:szCs w:val="20"/>
          <w:color w:val="auto"/>
        </w:rPr>
      </w:pPr>
      <w:r>
        <w:rPr>
          <w:rFonts w:ascii="Times New Roman" w:cs="Times New Roman" w:eastAsia="Times New Roman" w:hAnsi="Times New Roman"/>
          <w:sz w:val="22"/>
          <w:szCs w:val="22"/>
          <w:color w:val="auto"/>
        </w:rPr>
        <w:t>In the event that the Common Shares are taxable Canadian property of a Non-Resident Holder, such Non-Resident Holder may be exempt from tax under the Tax Act in respect of any capital gain arising on the disposition of such Common Shares by virtue of an applicable income tax treaty or convention. In cases where a Non-Resident Holder disposes, or is deemed to have disposed, Common Shares that are, or are deemed to be,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22"/>
          <w:szCs w:val="22"/>
          <w:i w:val="1"/>
          <w:iCs w:val="1"/>
          <w:color w:val="auto"/>
        </w:rPr>
        <w:t>Taxation of Resident Holders - Disposition of Common Shares</w:t>
      </w:r>
      <w:r>
        <w:rPr>
          <w:rFonts w:ascii="Times New Roman" w:cs="Times New Roman" w:eastAsia="Times New Roman" w:hAnsi="Times New Roman"/>
          <w:sz w:val="22"/>
          <w:szCs w:val="22"/>
          <w:color w:val="auto"/>
        </w:rPr>
        <w:t>" will generally be applicable to such disposition.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Common Shares acquired pursuant to this Offering. This summary is for general information purposes only and does not purport to be a complete analysis or listing of all potential U.S. federal income tax considerations that may apply to a U.S. Holder arising from and relating to the acquisition, ownership or disposition of Common Shares. In addition, this summary does not take into account the individual facts and circumstances of any particular U.S. Holder that may affect the U.S. federal income tax considerations relevant to such U.S. Holder, including, without limitation, specific tax considerations applicable to a U.S. Holder under an applicable income tax treaty. Accordingly, this summary is not intended to be, and should not be construed as, legal or U.S. federal income tax advice with respect to any particular U.S. Holder. This summary does not address any U.S. federal alternative minimum tax, U.S. federal net investment income tax, U.S. federal estate and gift tax, U.S. state and local tax, or non-U.S. tax considerations applicable to U.S. Holders of the acquisition, ownership or disposition of Common Shares. In addition, except as specifically set forth below, this summary does not discuss applicable income tax reporting requirements. Each prospective U.S. Holder should consult its own tax advisors regarding the U.S. federal, U.S. state and local, and non-U.S. tax considerations relating to the acquisition, ownership and disposition of Common Shares.</w:t>
      </w:r>
    </w:p>
    <w:p>
      <w:pPr>
        <w:spacing w:after="0" w:line="1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 ruling from the Internal Revenue Service (the "</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has been requested, or will be obtained, regarding the U.S. federal income tax considerations applicable to U.S. Holders discussed in this summary.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considerations described in this summary.</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thereunder, published rulings of the IRS, published administrative positions of the IRS, the current provisions of the Treaty, and U.S. court decisions that are applicable, and, in each case, as in effect and available, as of the date of this Prospectus Supplement. Any of the authorities on which this summary is based could be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summary, the term "U.S. Holder" means a beneficial owner of Common Shares acquired pursuant to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Offering that is for U.S. federal income tax purposes: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corporation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22"/>
          <w:szCs w:val="22"/>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-94615</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United States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 Subject to Special U.S. Federal Income Tax Rules Not Addressed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banks,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Common Shares as part of a straddle, hedge, conversion transaction, constructive sale, or other integrated transaction; (f) acquire Common Shares in connection with the exercise or cancellation of employee stock options or otherwise as compensation for services; (g) hold Common Shares other than as a capital asset within the meaning of Section 1221 of the Code (generally, property held for investment purposes); (h) are subject to special tax accounting rules with respect to Common Shares;</w:t>
      </w:r>
    </w:p>
    <w:p>
      <w:pPr>
        <w:spacing w:after="0" w:line="1" w:lineRule="exact"/>
        <w:rPr>
          <w:sz w:val="20"/>
          <w:szCs w:val="20"/>
          <w:color w:val="auto"/>
        </w:rPr>
      </w:pPr>
    </w:p>
    <w:p>
      <w:pPr>
        <w:jc w:val="both"/>
        <w:ind w:firstLine="8"/>
        <w:spacing w:after="0" w:line="232" w:lineRule="auto"/>
        <w:tabs>
          <w:tab w:leader="none" w:pos="26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partnerships, other arrangements classified as partnerships or other "pass-through" entities (and partners or other investors in such partnerships or entities); (j) are S corporations (and shareholders thereof); (k) are U.S. expatriates or former long-term residents of the United States; (l) hold Common Shares in connection with a trade or business, permanent establishment, or fixed base outside the United States; (m) own, have owned or will own (directly, indirectly, or by attribution) 10% or more of the total combined voting power or value of the outstanding shares of the Corporation; or (n) are deemed to sell Common Shares under the constructive sale provisions of the Code. U.S. Holders that are subject to special provisions under the Code, including, but not limited to, U.S. Holders described immediately above, should consult their own tax advisors regarding the U.S. federal income tax consequences relating to the acquisition, ownership and disposition of Common Shares.</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If an entity or arrangement that is classified as a partnership (or other "pass-through" entity) for U.S. federal income tax purposes holds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other "pass-through" entities for U.S. federal income tax purposes should consult their own tax advisors regarding the U.S. federal income tax consequences arising from and relating to the acquisition, ownership and disposition of Common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1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If the Corporation is a "passive foreign investment company" within the meaning of Section 1297(a)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for any year during a U.S. Holder's holding period, then certain potentially adverse rules would affect the U.S. federal income tax consequences to a U.S. Holder as a result of the acquisition, ownership and disposition of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subsidiaries as a PFIC for the current tax year or any future tax year cannot be predicted with certainty as of the date of this document. Accordingly, there can be no assurance that the IRS will not challenge any determination made by the Corporation (or any subsidiary of the Corporation) concerning its PFIC status. If the Corporation is a PFIC for any tax year during which a U.S. Holder holds Common Shares, the Corporation will continue to be treated as a PFIC with respect to such U.S. Holder, regardless of whether the Corporation ceases to be a PFIC in one or more subsequent tax years and regardless of whether such U.S. Holder held its Common Shares for the entirety of any tax year (or portion thereof). Each U.S. Holder should consult its own tax advisors regarding the PFIC status of the Corporation and each subsidiary of the Corporation.</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a "related person" (as defined in Section 954(d)(3) of the Code), to the extent such items are properly allocable to the income of such related person that is not passive income.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1"/>
          <w:szCs w:val="21"/>
          <w:b w:val="1"/>
          <w:bCs w:val="1"/>
          <w:color w:val="auto"/>
        </w:rPr>
        <w:t>Subsidiary PFIC</w:t>
      </w:r>
      <w:r>
        <w:rPr>
          <w:rFonts w:ascii="Times New Roman" w:cs="Times New Roman" w:eastAsia="Times New Roman" w:hAnsi="Times New Roman"/>
          <w:sz w:val="21"/>
          <w:szCs w:val="21"/>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Accordingly, U.S. Holders should be aware that they could be subject to tax under the PFIC rules even if no distributions are received and no redemptions or other dispositions of Common Shares are made. In addition, U.S. Holders may be subject to U.S. federal income tax on any indirect gain realized on the stock of a Subsidiary PFIC on the sale or disposition of Common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Common Shares, the U.S. federal income tax consequences to such U.S. Holder of the acquisition, ownership, and disposition of Common Shares will depend on whether such U.S. Holder makes elections to treat the Corporation and each Subsidiary PFIC, if any, as a "qualified electing fund" or "QEF" under Section 1295 of the Code (each,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for the first taxable year the Corporation or Subsidiary PFIC (as applicable) is a PFIC in which the U.S. Holder holds (or is deemed to hold) Common Shares, or a QEF election together with a "purging" election with respect to such entity, or makes a mark-to-market election under Section 1296 of the Code with respect to the Common Shares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"Non-Electing U.S. Holder" and will generally be subject to tax as described below.</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Non-Electing U.S. Holder will be subject to the default rules of Section 1291 of the Code (described below) with respect to: (a) any gain recognized on the sale or other taxable disposition of Common Shares (which, subject to the effectiveness of proposed Treasury Regulations, may include gain realized by reason of transfers of Common Shares that would otherwise qualify as non-recognition transactions for U.S. federal income tax purposes); and (b) any "excess distribution" received on the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w:t>
      </w:r>
    </w:p>
    <w:p>
      <w:pPr>
        <w:spacing w:after="0" w:line="1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Section 1291 of the Code, if the Corporation is a PFIC during a Non-Electing U.S. Holder's holding period, any gain recognized on the sale or other taxable disposition of Common Shares (including an indirect disposition of the stock of any Subsidiary PFIC), and any "excess distribution" received on Common Shares or with respect to the stock of a Subsidiary PFIC, must be ratably allocated to each day in a Non-Electing U.S. Holder's holding period for the respective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spacing w:after="0"/>
        <w:rPr>
          <w:sz w:val="20"/>
          <w:szCs w:val="20"/>
          <w:color w:val="auto"/>
        </w:rPr>
      </w:pPr>
      <w:r>
        <w:rPr>
          <w:rFonts w:ascii="Times New Roman" w:cs="Times New Roman" w:eastAsia="Times New Roman" w:hAnsi="Times New Roman"/>
          <w:sz w:val="22"/>
          <w:szCs w:val="22"/>
          <w:color w:val="auto"/>
        </w:rPr>
        <w:t>If the Corporation ceases to be a PFIC, a Non-Electing U.S. Holder may terminate this deemed PFIC status with respect to the Common Shares by electing to recognize gain (which will be taxed under the default rules of Section 1291 of the Code discussed above), but not loss, as if such Common Shares were sold on the last day of the last tax year for which the Corporation was a PFIC.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for the first tax year in which the holding period of its Common Shares begins generally will not be subject to the default rules of Section 1291 of the Code discussed above with respect to its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(y) "earnings and profits" over (z)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as computed for U.S. federal income tax purposes,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Common Shares.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Common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Common Shares,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default rules of Section 1291 of the Code discussed above with respect to its Common Shares. If a U.S. Holder makes a "purging" election, the U.S. Holder will have additional basis (to the extent of any gain recognized on the deemed sale) and, solely for purposes of the PFIC rules, a new holding period in the Common Shares. If a U.S. Holder owns PFIC stock indirectly through another PFIC, separate QEF Elections must be made for the PFIC in which the U.S. Holder is a direct shareholder and the Subsidiary PFIC for the QEF rules to apply to both PFICs.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QEF Election is made on a shareholder-by-shareholder basis and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again in a later tax year, the QEF Election will still be effective and the U.S. Holder will be subject to the QEF rules described above during any subsequent tax year in which the Corporation qualifies as a PFIC.</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Regulations Section 1.1295-1(g) (or any successor Treasury Regulations)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be able to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316"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1"/>
          <w:szCs w:val="21"/>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 Retroactive QEF elections generally may be made only by filing a protective statement with such return and if certain other conditions are met or with the consent of the IRS.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only if the Common Shares are marketable stock. The Common Shares generally will be "marketable stock" if the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regarding whether the Common Shares constitute marketable stock.</w:t>
      </w:r>
    </w:p>
    <w:p>
      <w:pPr>
        <w:spacing w:after="0" w:line="1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that makes a Mark-to-Market Election generally will not be subject to the default rules of Section 1291 of the Code discussed above with respect to such Common Shares. However, if a U.S. Holder does not make a Mark-to-Market Election beginning in the first tax year of such U.S. Holder's holding period for the Common Shares for which the Corporation is a PFIC and such U.S. Holder has not made a timely QEF Election, the default rules of Section 1291 of the Code discussed above will apply to certain dispositions of, and distributions on, the Common Shares.</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will include in ordinary income, for each tax year in which the Corporation is a PFIC, an amount equal to the excess, if any, of (a) the fair market value of the Common Shares, as of the close of such tax year over (b) such U.S. Holder's adjusted tax basis in such Common Shares. A U.S. Holder that makes a Mark-to-Market Election will be allowed a deduction in an amount equal to the excess, if any, of (a) such U.S. Holder's adjusted tax basis in the Common Shares, over (b) the fair market value of such Common Shares (but only to the extent of the net amount of previously included income as a result of the Mark-to-Market Election for prior tax years).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 These amounts of ordinary income would not be eligible for the preferential tax rates applicable to qualified dividend income or long-term capital gains.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Common Shares cease to be "marketable stock" or the IRS consents to revocation of such election. Each U.S. Holder should consult its own tax advisors regarding the availability of, and procedure for making, a Mark-to-Market Election.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Common Shares that would otherwise be tax-deferred (e.g., gifts and exchanges pursuant to corporate reorganizations). However, the specific U.S. federal income tax consequences to a U.S. Holder may vary based on the manner in which Common Shares are transferred.</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Common Shares as security for a loan will, except as may be provided in Treasury Regulations, be treated as having made a taxable disposition of such Common Shares.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a U.S. Holder who acquires Common Shares from a decedent will not receive a "step up" in tax basis of such Common Shares to fair market value unless such decedent had a timely and effective QEF Election in place.</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PFIC rules are complex, and each U.S. Holder should consult its own tax advisors regarding the PFIC rules and how the PFIC rules may affect the U.S. federal income tax consequences of the acquisition, ownership, and disposition of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Acquisition, Ownership and Disposition of Common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"Passive Foreign Investment Company Rules".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Common Shares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 U.S. Holder that receives a distribution, including a constructive distribution of cash or other property (other than certain distributions of Common Shares or rights to acquire Common Shares), with respect to a Common Share will be required to include the amount of such distribution in gross income as a dividend (without reduction for any Canadian income tax withheld from such distribution) to the extent of the current and accumulated "earnings and profits" of the Corporation, as computed under U.S. federal income tax principles. A dividend generally will be taxed to a U.S. Holder at ordinary income tax rates (rather than preferential rates for qualified dividend income to the extent otherwise applicable)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adjusted tax basis in the Common Shares and thereafter as gain from the sale or exchange of such Common Shares. (See "Sale or Other Taxable Disposition of Common Shares" below). However, the Corporation does not intend to maintain calculations of its earnings and profits in accordance with U.S. federal income tax principles, and each U.S. Holder should therefore assume that any distribution by the Corporation with respect to the Common Shares will constitute ordinary dividend income. Dividends received on Common Shares by corporate U.S. Holders generally will not be eligible for the "dividends received deduction" generally allowed to domestic corporations in respect of dividends received from other domestic corporations. Subject to applicable limitations and provided the Corporation is eligible for the benefits of the Treaty or the Common Shares are readily tradable on an established securities market in the United States,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Common Shares</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the sale or other taxable disposition of Common Shares, a U.S. Holder generally will recognize capital gain or loss in an amount equal to the difference, if any, between (a) the U.S. dollar value of cash received plus the fair market value of any property received and (b) such U.S. Holder's adjusted tax basis in such Common Shares sold or otherwise disposed of. A U.S. Holder's tax basis in Common Shares generally will be such U.S. Holder's U.S. dollar cost for such Common Shares. Any such gain or loss recognized on such sale or other taxable disposition generally will capital gain or loss, which will be long-term capital gain or loss if, at the time of the sale or other disposition, the Common Shares have been held for longer than one year.</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Receipt of Foreign Currency</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amount of any distribution paid to a U.S. Holder in foreign currency, or on the sale, exchange or other taxable disposition of Common Shares, generally will be equal to the U.S. dollar value of such foreign currency based on the exchange rate applicable on the date of receipt or, if applicable, the date of settlement if the Common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Tax Credit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Common Shares will be treated as foreign-source income, and generally will be treated as "passive category income" or "general category income" for U.S. foreign tax credit purposes. Any gain or loss recognized on a sale or other disposition of Common Shares generally will be U.S.-source gain or loss. Certain U.S. Holders that are eligible for the benefits of the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 Tax Credit Regulations</w:t>
      </w:r>
      <w:r>
        <w:rPr>
          <w:rFonts w:ascii="Times New Roman" w:cs="Times New Roman" w:eastAsia="Times New Roman" w:hAnsi="Times New Roman"/>
          <w:sz w:val="22"/>
          <w:szCs w:val="22"/>
          <w:color w:val="auto"/>
        </w:rPr>
        <w:t>") impose additional requirements for Canadian withholding taxes to be eligible for a foreign tax credit, and there can be no assurance that those requirements will be satisfied. The Treasury Department has released guidance temporarily pausing the application of certain of the Foreign Tax Credit Regulations.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 Reporting and Backup Withholding</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9" w:name="page30"/>
    <w:bookmarkEnd w:id="29"/>
    <w:p>
      <w:pPr>
        <w:jc w:val="both"/>
        <w:spacing w:after="0" w:line="246" w:lineRule="auto"/>
        <w:rPr>
          <w:sz w:val="20"/>
          <w:szCs w:val="20"/>
          <w:color w:val="auto"/>
        </w:rPr>
      </w:pPr>
      <w:r>
        <w:rPr>
          <w:rFonts w:ascii="Times New Roman" w:cs="Times New Roman" w:eastAsia="Times New Roman" w:hAnsi="Times New Roman"/>
          <w:sz w:val="21"/>
          <w:szCs w:val="21"/>
          <w:color w:val="auto"/>
        </w:rPr>
        <w:t>Payments made within the U.S. or by a U.S. payor or U.S. middleman, of dividends on, and proceeds arising from the sale or other taxable disposition of, Common Shares will generally be subject to information reporting and backup withholding tax, currently at a rate of 24%,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COMMON SHARES. U.S. HOLDERS SHOULD CONSULT THEIR OWN TAX ADVISORS AS TO THE TAX CONSIDERATIONS APPLICABLE TO THEM IN LIGHT OF THEIR OWN PARTICULAR CIRCUMSTANCES.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the Annual Information Form and the Interim MD&amp;A) and all of the other information in this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Investors who purchase Common Shares in this Offering at different times will likely pay different prices, and so may experience different outcomes in their investment results. The Corporation will have discretion, subject to market demand, to vary the timing, prices, and numbers of Common Shares sold, and there is no minimum or maximum sales price. Investors may experience a decline in the value of their Common Shares as a result of sales made at prices lower than the prices they paid.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Common Shares is Highly Speculative</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Discretion in the Use of Proceeds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Times New Roman" w:cs="Times New Roman" w:eastAsia="Times New Roman" w:hAnsi="Times New Roman"/>
          <w:sz w:val="22"/>
          <w:szCs w:val="22"/>
          <w:i w:val="1"/>
          <w:iCs w:val="1"/>
          <w:color w:val="auto"/>
        </w:rPr>
        <w:t>See "Risk Factors - Risks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Offering - Negative Operating Cash Flow"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 Risks Related to the Offering - Potential Dilution".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 Certainty of Net Proceeds from the Offering</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There is no certainty that US$100,000,000, or any amount, will be raised under the Offering. The Agents have agreed to use commercially reasonable efforts to sell the Common Shares when and to the extent requested by the Corporation, but the Corporation is not required to request the sale of the maximum amount offered or any amount and, if the Corporation requests a sale, the Corporation and the Agents are not obligated to purchase any Common Shares that are not sold. As a result of the Offering being made on a commercially reasonable efforts basis with no minimum, and only as requested by the Corporation, the Corporation may raise substantially less than the maximum total offering amount or nothing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Potential Dilution</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Common Shares.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Common Share, including as a result of issuances under the Corporation's equity incentive plan, convertible or exchangeable securities, or other corporate arrangements, including the Corporation's shareholder rights plan. See </w:t>
      </w:r>
      <w:r>
        <w:rPr>
          <w:rFonts w:ascii="Times New Roman" w:cs="Times New Roman" w:eastAsia="Times New Roman" w:hAnsi="Times New Roman"/>
          <w:sz w:val="22"/>
          <w:szCs w:val="22"/>
          <w:i w:val="1"/>
          <w:iCs w:val="1"/>
          <w:color w:val="auto"/>
        </w:rPr>
        <w:t>"Risk Factors - Risks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the Offering - Need for Additional Financing".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i w:val="1"/>
          <w:iCs w:val="1"/>
          <w:color w:val="auto"/>
        </w:rPr>
        <w:t>Trading Market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22"/>
          <w:szCs w:val="22"/>
          <w:i w:val="1"/>
          <w:iCs w:val="1"/>
          <w:color w:val="auto"/>
        </w:rPr>
        <w:t>"Risk Factors - Volatile Market Price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the Common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22"/>
          <w:szCs w:val="22"/>
          <w:i w:val="1"/>
          <w:iCs w:val="1"/>
          <w:color w:val="auto"/>
        </w:rPr>
        <w:t>"Risk Factors - Risks Related to the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Need for Additional Financing"</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jc w:val="both"/>
        <w:spacing w:after="0" w:line="262" w:lineRule="auto"/>
        <w:rPr>
          <w:sz w:val="20"/>
          <w:szCs w:val="20"/>
          <w:color w:val="auto"/>
        </w:rPr>
      </w:pPr>
      <w:r>
        <w:rPr>
          <w:rFonts w:ascii="Times New Roman" w:cs="Times New Roman" w:eastAsia="Times New Roman" w:hAnsi="Times New Roman"/>
          <w:sz w:val="22"/>
          <w:szCs w:val="22"/>
          <w:b w:val="1"/>
          <w:bCs w:val="1"/>
          <w:i w:val="1"/>
          <w:iCs w:val="1"/>
          <w:color w:val="auto"/>
        </w:rPr>
        <w:t>The Corporation expects to be a "passive foreign investment company", which may have adverse U.S. federal income tax consequences for U.S. Holders</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Based on current business plans and financial expectations, the Corporation expects to be a PFIC for its current tax year and may be a PFIC in future tax years. If the Corporation is a PFIC for any year during a U.S. taxpayer's holding period of Common Shares, then such U.S. taxpayer generally will be required to treat any gain realized upon a disposition of the Common Shares or any so-called "excess distribution" received on its Common Shares as ordinary income, and to pay an interest charge on a portion of such gain or distribution. In certain circumstances, the sum of the tax and the interest charge may exceed the total amount of proceeds realized on the disposition, or the amount of excess distribution received, by the U.S. taxpayer. Subject to certain limitations, these tax consequences may be mitigated if a U.S. taxpayer makes a timely and effective QEF Election or a Mark-to-Market Election. Subject to certain limitations, such elections may be made with respect to the Common Shares. A U.S. taxpayer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taxpayer who makes the Mark-to-Market Election generally must include as ordinary income each year the excess of the fair market value of the Common Shares over the taxpayer's adjusted basis therein. This paragraph is qualified in its entirety by the discussion above under the heading "</w:t>
      </w:r>
      <w:r>
        <w:rPr>
          <w:rFonts w:ascii="Times New Roman" w:cs="Times New Roman" w:eastAsia="Times New Roman" w:hAnsi="Times New Roman"/>
          <w:sz w:val="21"/>
          <w:szCs w:val="21"/>
          <w:i w:val="1"/>
          <w:iCs w:val="1"/>
          <w:color w:val="auto"/>
        </w:rPr>
        <w:t>Certain United States Federal Income Tax Considerations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Passive Foreign Investment Company Rules</w:t>
      </w:r>
      <w:r>
        <w:rPr>
          <w:rFonts w:ascii="Times New Roman" w:cs="Times New Roman" w:eastAsia="Times New Roman" w:hAnsi="Times New Roman"/>
          <w:sz w:val="21"/>
          <w:szCs w:val="21"/>
          <w:color w:val="auto"/>
        </w:rPr>
        <w:t>." Each potential investor who is a U.S. taxpayer should consult its own tax advisor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regarding the tax consequences of the PFIC rules and the acquisition, ownership, and disposition of the Common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Litigation Risk</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of the date of this Prospectus, no litigation or class proceedings have been commenced or certified. The Corporation is aware that certain U.S. plaintiff law firms have announced that they are investigating the Corporation following the Corporation's news release dated September 2, 2025, announcing the resignation of the Corporation's former chief executive officer. Should any litigation or class actions that the Corporation becomes involved in be unable to be resolved favourably or if any claims or litigation are determined against the Corporation, the Corporation's financial position, operating results and the trading price of the Common Shares could be materially adversely affected.</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be exposed to securities class action investigations or proceedings, especially following share price volatility or public disclosures. These proceedings could allege violations of securities laws or misrepresentations. Defending such claims are potentially costly and time-consuming and may lead to significant monetary judgments, settlements, or regulatory penalties. Any liability exceeding insurance coverage could materially and adversely affect the Corporation's business, financial condition, and results.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The matters referred to under </w:t>
      </w:r>
      <w:r>
        <w:rPr>
          <w:rFonts w:ascii="Times New Roman" w:cs="Times New Roman" w:eastAsia="Times New Roman" w:hAnsi="Times New Roman"/>
          <w:sz w:val="21"/>
          <w:szCs w:val="21"/>
          <w:i w:val="1"/>
          <w:iCs w:val="1"/>
          <w:color w:val="auto"/>
        </w:rPr>
        <w:t>“Certain Canadian Income Tax Considerations”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“Certain United States Federal Income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Considerations”</w:t>
      </w:r>
      <w:r>
        <w:rPr>
          <w:rFonts w:ascii="Times New Roman" w:cs="Times New Roman" w:eastAsia="Times New Roman" w:hAnsi="Times New Roman"/>
          <w:sz w:val="21"/>
          <w:szCs w:val="21"/>
          <w:color w:val="auto"/>
        </w:rPr>
        <w:t>, as well as certain other legal matters relating to the issue and sale of the Common Shares, will be passed upon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behalf of the Corporation by Aird &amp; Berlis LLP, with respect to Canadian legal matters, and by Dorsey &amp; Whitney LLP, with respect to United States legal matters, and certain legal matters on behalf of the Agents by Bennett Jones LLP, with respect to Canadian legal matters, and Mintz, Levin, Cohn, Ferris, Glovsky and Popeo, P.C., with respect to United States legal matters.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and Bennett Jones LLP, beneficially owned, directly or indirectly, less than 1% of the outstanding securities of the Corporation.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w:t>
      </w:r>
    </w:p>
    <w:p>
      <w:pPr>
        <w:spacing w:after="0" w:line="16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corporation existing under the OBCA. Other than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Common Shares who reside in the United States to effect service within the United States upon those directors, officers and experts who are not residents of the United States. It may also be difficult for holders of the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any such state securities or "Blue Sky" laws of any state within the United States.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Common Shares under this Prospectus Supplement and the accompanying Base Shelf Prospectus.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dated December 19, 2025 to the Short Form Base Shelf Prospectus dated September 17, 2025</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dated September 17, 2025, as amended by this amendment, has been filed under legislation in each of the provinces and the territories of Canada that permits certain information about these securities to be determined after the short form prospectus dated September 17, 2025,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The short form base shelf prospectus dated September 17, 2025, as amended by this amendment, constitutes a public offering of these securities only in those jurisdictions where they may be lawfully offered for sale and therein only by persons permitted to sell such securities.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122555</wp:posOffset>
            </wp:positionV>
            <wp:extent cx="1543050" cy="899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$1,700,000,000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short form base shelf prospectus dated September 17, 2025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1 to increase the aggregate amount of Securities that may be offered from time to time under the Prospectus from $800,000,000 to $1,700,000,000. Capitalized terms used but not otherwise defined in this Amendment No. 1 have the meanings ascribed thereto in the Prospectus.</w:t>
      </w:r>
    </w:p>
    <w:p>
      <w:pPr>
        <w:spacing w:after="0" w:line="1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5" w:name="page36"/>
    <w:bookmarkEnd w:id="35"/>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1.</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Note Regarding Forward-Looking Information</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32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"$800,000,000" contained on the face page of the Prospectus and substituting "$1,700,000,000" therefor. The first paragraph of the text on the face page of the Prospectus, as so amended, is deleted and replaced with the following:</w:t>
      </w:r>
    </w:p>
    <w:p>
      <w:pPr>
        <w:spacing w:after="0" w:line="12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1"/>
          <w:szCs w:val="21"/>
          <w:color w:val="auto"/>
        </w:rPr>
        <w:t>"This short form base shelf prospectus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relates to the offering for sale from time to time (each, an "</w:t>
      </w:r>
      <w:r>
        <w:rPr>
          <w:rFonts w:ascii="Times New Roman" w:cs="Times New Roman" w:eastAsia="Times New Roman" w:hAnsi="Times New Roman"/>
          <w:sz w:val="21"/>
          <w:szCs w:val="21"/>
          <w:b w:val="1"/>
          <w:bCs w:val="1"/>
          <w:color w:val="auto"/>
        </w:rPr>
        <w:t>Offering</w:t>
      </w:r>
      <w:r>
        <w:rPr>
          <w:rFonts w:ascii="Times New Roman" w:cs="Times New Roman" w:eastAsia="Times New Roman" w:hAnsi="Times New Roman"/>
          <w:sz w:val="21"/>
          <w:szCs w:val="21"/>
          <w:color w:val="auto"/>
        </w:rPr>
        <w:t>") by Cybin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during the 25-month period commencing on September 17, 2025, that this Prospectus, including any amendments thereto, remains valid, of up to $1,700,000,000 in the aggregate of:</w:t>
      </w:r>
    </w:p>
    <w:p>
      <w:pPr>
        <w:spacing w:after="0" w:line="2" w:lineRule="exact"/>
        <w:rPr>
          <w:sz w:val="20"/>
          <w:szCs w:val="20"/>
          <w:color w:val="auto"/>
        </w:rPr>
      </w:pPr>
    </w:p>
    <w:p>
      <w:pPr>
        <w:jc w:val="both"/>
        <w:ind w:left="660" w:hanging="4"/>
        <w:spacing w:after="0" w:line="232" w:lineRule="auto"/>
        <w:tabs>
          <w:tab w:leader="none" w:pos="93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comprised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fourth paragraph on page iii of the Prospectus, and replacing it with the following:</w:t>
      </w:r>
    </w:p>
    <w:p>
      <w:pPr>
        <w:spacing w:after="0" w:line="131"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commencing on September 17, 2025 that this Prospectus, including any amendments hereto, remains valid, up to $1,700,000,000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$238,407,547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Further, on October 31, 2025, the Corporation completed a registered direct offering of 22,277,750 Common Shares (the "</w:t>
      </w:r>
      <w:r>
        <w:rPr>
          <w:rFonts w:ascii="Times New Roman" w:cs="Times New Roman" w:eastAsia="Times New Roman" w:hAnsi="Times New Roman"/>
          <w:sz w:val="21"/>
          <w:szCs w:val="21"/>
          <w:b w:val="1"/>
          <w:bCs w:val="1"/>
          <w:color w:val="auto"/>
        </w:rPr>
        <w:t>Offered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and, in lieu of Common Shares to certain investors, 4,605,500 pre-funded Common Share purchase warrants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Pre-Funded Warrants</w:t>
      </w:r>
      <w:r>
        <w:rPr>
          <w:rFonts w:ascii="Times New Roman" w:cs="Times New Roman" w:eastAsia="Times New Roman" w:hAnsi="Times New Roman"/>
          <w:sz w:val="21"/>
          <w:szCs w:val="21"/>
          <w:color w:val="auto"/>
        </w:rPr>
        <w:t>") at a price of US$6.51 per Common Share and US$6.50999 per Pre-Funded Warrant (the "</w:t>
      </w:r>
      <w:r>
        <w:rPr>
          <w:rFonts w:ascii="Times New Roman" w:cs="Times New Roman" w:eastAsia="Times New Roman" w:hAnsi="Times New Roman"/>
          <w:sz w:val="21"/>
          <w:szCs w:val="21"/>
          <w:b w:val="1"/>
          <w:bCs w:val="1"/>
          <w:color w:val="auto"/>
        </w:rPr>
        <w:t>Registered Direct Offering</w:t>
      </w:r>
      <w:r>
        <w:rPr>
          <w:rFonts w:ascii="Times New Roman" w:cs="Times New Roman" w:eastAsia="Times New Roman" w:hAnsi="Times New Roman"/>
          <w:sz w:val="21"/>
          <w:szCs w:val="21"/>
          <w:color w:val="auto"/>
        </w:rPr>
        <w:t>"). Each Offered Share and Pre-Funded Warrant was accompanied by 0.35 of one Common Share purchase warrant (each whole warrant, an "</w:t>
      </w:r>
      <w:r>
        <w:rPr>
          <w:rFonts w:ascii="Times New Roman" w:cs="Times New Roman" w:eastAsia="Times New Roman" w:hAnsi="Times New Roman"/>
          <w:sz w:val="21"/>
          <w:szCs w:val="21"/>
          <w:b w:val="1"/>
          <w:bCs w:val="1"/>
          <w:color w:val="auto"/>
        </w:rPr>
        <w:t>October Warrant</w:t>
      </w:r>
      <w:r>
        <w:rPr>
          <w:rFonts w:ascii="Times New Roman" w:cs="Times New Roman" w:eastAsia="Times New Roman" w:hAnsi="Times New Roman"/>
          <w:sz w:val="21"/>
          <w:szCs w:val="21"/>
          <w:color w:val="auto"/>
        </w:rPr>
        <w:t>" and, together with the Offered Shares and Pre-Funded Warrants, the "</w:t>
      </w:r>
      <w:r>
        <w:rPr>
          <w:rFonts w:ascii="Times New Roman" w:cs="Times New Roman" w:eastAsia="Times New Roman" w:hAnsi="Times New Roman"/>
          <w:sz w:val="21"/>
          <w:szCs w:val="21"/>
          <w:b w:val="1"/>
          <w:bCs w:val="1"/>
          <w:color w:val="auto"/>
        </w:rPr>
        <w:t>Offered Securities</w:t>
      </w:r>
      <w:r>
        <w:rPr>
          <w:rFonts w:ascii="Times New Roman" w:cs="Times New Roman" w:eastAsia="Times New Roman" w:hAnsi="Times New Roman"/>
          <w:sz w:val="21"/>
          <w:szCs w:val="21"/>
          <w:color w:val="auto"/>
        </w:rPr>
        <w:t>"). Each October Warrant is exercisable to acquire one Common Share at a price of US$8.14 per Common Share. The Corporation qualified the Offered Securities in the United States pursuant to a prospectus supplement dated October 28, 2025 to the Corporation's registration statement on Form F-10, as amended (File No. 333-289139) (the "</w:t>
      </w:r>
      <w:r>
        <w:rPr>
          <w:rFonts w:ascii="Times New Roman" w:cs="Times New Roman" w:eastAsia="Times New Roman" w:hAnsi="Times New Roman"/>
          <w:sz w:val="21"/>
          <w:szCs w:val="21"/>
          <w:b w:val="1"/>
          <w:bCs w:val="1"/>
          <w:color w:val="auto"/>
        </w:rPr>
        <w:t>Registration Statement</w:t>
      </w:r>
      <w:r>
        <w:rPr>
          <w:rFonts w:ascii="Times New Roman" w:cs="Times New Roman" w:eastAsia="Times New Roman" w:hAnsi="Times New Roman"/>
          <w:sz w:val="21"/>
          <w:szCs w:val="21"/>
          <w:color w:val="auto"/>
        </w:rPr>
        <w:t>"), which was initially filed with the SEC, under the U.S. Securities Act, on July 31, 2025, as amended on September 17, 2025 concurrent with the filing of this Prospectus. Approximately $351,208,916 has been used to qualify the Offered Securities. Given the Commitment Amount and the closing of the Registered Direct Offering, as of December 19, 2025, the Corporation will have approximately $1,050,300,275 available under the Prospectus, which management of the Corporation reasonably expects to distribute during the 25-month period</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commencing on September 17, 2025 that this Prospectus, including any amendments hereto, remains valid.</w:t>
      </w:r>
      <w:r>
        <w:rPr>
          <w:rFonts w:ascii="Times New Roman" w:cs="Times New Roman" w:eastAsia="Times New Roman" w:hAnsi="Times New Roman"/>
          <w:sz w:val="35"/>
          <w:szCs w:val="35"/>
          <w:color w:val="auto"/>
          <w:vertAlign w:val="superscript"/>
        </w:rPr>
        <w:t>1</w:t>
      </w:r>
    </w:p>
    <w:p>
      <w:pPr>
        <w:sectPr>
          <w:pgSz w:w="11900" w:h="16838" w:orient="portrait"/>
          <w:cols w:equalWidth="0" w:num="1">
            <w:col w:w="11240"/>
          </w:cols>
          <w:pgMar w:left="320" w:top="108" w:right="339" w:bottom="406"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406" w:gutter="0" w:footer="0" w:header="0"/>
          <w:type w:val="continuous"/>
        </w:sectPr>
      </w:pPr>
    </w:p>
    <w:bookmarkStart w:id="36" w:name="page37"/>
    <w:bookmarkEnd w:id="36"/>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of the Common Shares underlying Warrants initially sold to, or for the account or benefit of, U.S. persons (as defined in 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w:t>
      </w:r>
    </w:p>
    <w:p>
      <w:pPr>
        <w:spacing w:after="0" w:line="143"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The Corporation's Registration Statement was filed with the SEC concurrent with the filing of this Prospectus, for the equivalent United States dollar value of this Prospectus, being US$1,234,209,379.99 (converted from $1,700,000,000 at an exchange rate of US$1.00=CAD$1.3774, which was the daily average exchange rate reported by the Bank of Canada on December 18, 2025)."</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"$800,000,000" contained in the first sentence of the first paragraph under the heading "Plan of Distribution" on page 31, so that such sentence, as so amended, reads as follows:</w:t>
      </w:r>
    </w:p>
    <w:p>
      <w:pPr>
        <w:spacing w:after="0" w:line="11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commencing on September 17, 2025, that this Prospectus, including any amendments and supplements hereto, remains valid, offer for sale and sell up to an aggregate of $1,700,000,000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55"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14" w:lineRule="exact"/>
        <w:rPr>
          <w:sz w:val="20"/>
          <w:szCs w:val="20"/>
          <w:color w:val="auto"/>
        </w:rPr>
      </w:pPr>
    </w:p>
    <w:p>
      <w:pPr>
        <w:ind w:left="1300" w:right="20" w:hanging="320"/>
        <w:spacing w:after="0" w:line="262"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ind w:left="1300" w:hanging="320"/>
        <w:spacing w:after="0" w:line="258"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8"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2025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relating to the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w:t>
      </w:r>
    </w:p>
    <w:p>
      <w:pPr>
        <w:spacing w:after="0" w:line="165"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7, 2025, relating to the Registered Direct Offering of the Offered Securities; and</w:t>
      </w:r>
    </w:p>
    <w:p>
      <w:pPr>
        <w:spacing w:after="0" w:line="117"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1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November 12, 2025, the date of the Interim Financial Statements and Interim MD&amp;A.</w:t>
      </w:r>
    </w:p>
    <w:p>
      <w:pPr>
        <w:spacing w:after="0" w:line="133"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On December 18, 2025, the Corporation announced that it will voluntarily transfer its U.S. stock exchange listing to the Nasdaq Global Market (“Nasdaq”) from the NYSE American. The Corporation expects that its Common Shares will cease trading on the NYSE American at market close on January 4, 2026 and commence trading on the Nasdaq at market open on January 5, 2026. Concurrent with the commencement of trading on Nasdaq, the Corporation will no longer trade under the ticker symbol “CYBN” and instead will trade under the ticker symbol “HELP”. The Corporation will continue to be listed on the CBOE Canada and will also trade under the new “HELP” ticker symbol commencing on January 5, 2025.”</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"Consolidated Capitalization" and replacing it with the following:</w:t>
      </w:r>
    </w:p>
    <w:p>
      <w:pPr>
        <w:spacing w:after="0" w:line="11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21"/>
          <w:szCs w:val="21"/>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94"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December 18,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18, 2025</w:t>
            </w:r>
          </w:p>
        </w:tc>
      </w:tr>
      <w:tr>
        <w:trPr>
          <w:trHeight w:val="250"/>
        </w:trPr>
        <w:tc>
          <w:tcPr>
            <w:tcW w:w="386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40" w:type="dxa"/>
            <w:vAlign w:val="bottom"/>
            <w:tcBorders>
              <w:top w:val="single" w:sz="8" w:color="E6EFFF"/>
            </w:tcBorders>
            <w:shd w:val="clear" w:color="auto" w:fill="E6EFFF"/>
          </w:tcPr>
          <w:p>
            <w:pPr>
              <w:spacing w:after="0"/>
              <w:rPr>
                <w:sz w:val="21"/>
                <w:szCs w:val="21"/>
                <w:color w:val="auto"/>
              </w:rPr>
            </w:pPr>
          </w:p>
        </w:tc>
        <w:tc>
          <w:tcPr>
            <w:tcW w:w="3860" w:type="dxa"/>
            <w:vAlign w:val="bottom"/>
            <w:tcBorders>
              <w:top w:val="single" w:sz="8" w:color="auto"/>
            </w:tcBorders>
            <w:shd w:val="clear" w:color="auto" w:fill="E6EFFF"/>
          </w:tcPr>
          <w:p>
            <w:pPr>
              <w:jc w:val="center"/>
              <w:ind w:right="90"/>
              <w:spacing w:after="0" w:line="250" w:lineRule="exact"/>
              <w:rPr>
                <w:sz w:val="20"/>
                <w:szCs w:val="20"/>
                <w:color w:val="auto"/>
              </w:rPr>
            </w:pPr>
            <w:r>
              <w:rPr>
                <w:rFonts w:ascii="Times New Roman" w:cs="Times New Roman" w:eastAsia="Times New Roman" w:hAnsi="Times New Roman"/>
                <w:sz w:val="17"/>
                <w:szCs w:val="17"/>
                <w:color w:val="auto"/>
                <w:w w:val="91"/>
              </w:rPr>
              <w:t>Nil</w:t>
            </w:r>
            <w:r>
              <w:rPr>
                <w:rFonts w:ascii="Times New Roman" w:cs="Times New Roman" w:eastAsia="Times New Roman" w:hAnsi="Times New Roman"/>
                <w:sz w:val="28"/>
                <w:szCs w:val="28"/>
                <w:color w:val="auto"/>
                <w:w w:val="91"/>
                <w:vertAlign w:val="superscript"/>
              </w:rPr>
              <w:t>(1)</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49,894,131</w:t>
            </w:r>
          </w:p>
        </w:tc>
      </w:tr>
      <w:tr>
        <w:trPr>
          <w:trHeight w:val="256"/>
        </w:trPr>
        <w:tc>
          <w:tcPr>
            <w:tcW w:w="40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860" w:type="dxa"/>
            <w:vAlign w:val="bottom"/>
            <w:shd w:val="clear" w:color="auto" w:fill="E6EFFF"/>
          </w:tcPr>
          <w:p>
            <w:pPr>
              <w:jc w:val="center"/>
              <w:ind w:right="70"/>
              <w:spacing w:after="0" w:line="256" w:lineRule="exact"/>
              <w:rPr>
                <w:sz w:val="20"/>
                <w:szCs w:val="20"/>
                <w:color w:val="auto"/>
              </w:rPr>
            </w:pPr>
            <w:r>
              <w:rPr>
                <w:rFonts w:ascii="Times New Roman" w:cs="Times New Roman" w:eastAsia="Times New Roman" w:hAnsi="Times New Roman"/>
                <w:sz w:val="18"/>
                <w:szCs w:val="18"/>
                <w:color w:val="auto"/>
                <w:w w:val="95"/>
              </w:rPr>
              <w:t>4,171,897</w:t>
            </w:r>
            <w:r>
              <w:rPr>
                <w:rFonts w:ascii="Times New Roman" w:cs="Times New Roman" w:eastAsia="Times New Roman" w:hAnsi="Times New Roman"/>
                <w:sz w:val="29"/>
                <w:szCs w:val="29"/>
                <w:color w:val="auto"/>
                <w:w w:val="95"/>
                <w:vertAlign w:val="superscript"/>
              </w:rPr>
              <w:t>(2)</w:t>
            </w:r>
          </w:p>
        </w:tc>
      </w:tr>
      <w:tr>
        <w:trPr>
          <w:trHeight w:val="25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3860" w:type="dxa"/>
            <w:vAlign w:val="bottom"/>
          </w:tcPr>
          <w:p>
            <w:pPr>
              <w:jc w:val="center"/>
              <w:ind w:right="70"/>
              <w:spacing w:after="0" w:line="256" w:lineRule="exact"/>
              <w:rPr>
                <w:sz w:val="20"/>
                <w:szCs w:val="20"/>
                <w:color w:val="auto"/>
              </w:rPr>
            </w:pPr>
            <w:r>
              <w:rPr>
                <w:rFonts w:ascii="Times New Roman" w:cs="Times New Roman" w:eastAsia="Times New Roman" w:hAnsi="Times New Roman"/>
                <w:sz w:val="18"/>
                <w:szCs w:val="18"/>
                <w:color w:val="auto"/>
                <w:w w:val="95"/>
              </w:rPr>
              <w:t>4,164,440</w:t>
            </w:r>
            <w:r>
              <w:rPr>
                <w:rFonts w:ascii="Times New Roman" w:cs="Times New Roman" w:eastAsia="Times New Roman" w:hAnsi="Times New Roman"/>
                <w:sz w:val="29"/>
                <w:szCs w:val="29"/>
                <w:color w:val="auto"/>
                <w:w w:val="95"/>
                <w:vertAlign w:val="superscript"/>
              </w:rPr>
              <w:t>(3)</w:t>
            </w:r>
          </w:p>
        </w:tc>
      </w:tr>
      <w:tr>
        <w:trPr>
          <w:trHeight w:val="257"/>
        </w:trPr>
        <w:tc>
          <w:tcPr>
            <w:tcW w:w="40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3860" w:type="dxa"/>
            <w:vAlign w:val="bottom"/>
            <w:shd w:val="clear" w:color="auto" w:fill="E6EFFF"/>
          </w:tcPr>
          <w:p>
            <w:pPr>
              <w:jc w:val="center"/>
              <w:ind w:right="70"/>
              <w:spacing w:after="0" w:line="256" w:lineRule="exact"/>
              <w:rPr>
                <w:sz w:val="20"/>
                <w:szCs w:val="20"/>
                <w:color w:val="auto"/>
              </w:rPr>
            </w:pPr>
            <w:r>
              <w:rPr>
                <w:rFonts w:ascii="Times New Roman" w:cs="Times New Roman" w:eastAsia="Times New Roman" w:hAnsi="Times New Roman"/>
                <w:sz w:val="18"/>
                <w:szCs w:val="18"/>
                <w:color w:val="auto"/>
                <w:w w:val="94"/>
              </w:rPr>
              <w:t>12,205,334</w:t>
            </w:r>
            <w:r>
              <w:rPr>
                <w:rFonts w:ascii="Times New Roman" w:cs="Times New Roman" w:eastAsia="Times New Roman" w:hAnsi="Times New Roman"/>
                <w:sz w:val="29"/>
                <w:szCs w:val="29"/>
                <w:color w:val="auto"/>
                <w:w w:val="94"/>
                <w:vertAlign w:val="superscript"/>
              </w:rPr>
              <w:t>(4)</w:t>
            </w:r>
          </w:p>
        </w:tc>
      </w:tr>
      <w:tr>
        <w:trPr>
          <w:trHeight w:val="39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4,605,500</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70" w:lineRule="exact"/>
        <w:rPr>
          <w:sz w:val="20"/>
          <w:szCs w:val="20"/>
          <w:color w:val="auto"/>
        </w:rPr>
      </w:pPr>
    </w:p>
    <w:p>
      <w:pPr>
        <w:jc w:val="both"/>
        <w:ind w:left="960" w:hanging="304"/>
        <w:spacing w:after="0" w:line="244" w:lineRule="auto"/>
        <w:tabs>
          <w:tab w:leader="none" w:pos="100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3, 2025, the Corporation used a portion of the net proceeds of the Registered Direct Offering to repay the remaining balance outstanding under the Convertible Debentures held by High Trail of US$20,150,000 and incurred early repayment fees of US$2,615,000, resulting in a total cash repayment of US$22,765,000.</w:t>
      </w:r>
    </w:p>
    <w:p>
      <w:pPr>
        <w:sectPr>
          <w:pgSz w:w="11900" w:h="16838" w:orient="portrait"/>
          <w:cols w:equalWidth="0" w:num="1">
            <w:col w:w="11240"/>
          </w:cols>
          <w:pgMar w:left="320" w:top="111" w:right="339" w:bottom="701"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701" w:gutter="0" w:footer="0" w:header="0"/>
          <w:type w:val="continuous"/>
        </w:sectPr>
      </w:pPr>
    </w:p>
    <w:bookmarkStart w:id="38" w:name="page39"/>
    <w:bookmarkEnd w:id="38"/>
    <w:p>
      <w:pPr>
        <w:ind w:left="960" w:hanging="304"/>
        <w:spacing w:after="0" w:line="242" w:lineRule="auto"/>
        <w:tabs>
          <w:tab w:leader="none" w:pos="101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14, 2025, options to purchase an aggregate of 48,240 Common Shares at an exercise price of $8.39 per Common Share were granted under the Corporation's equity incentive plan (the "Equity Incentive Plan").</w:t>
      </w:r>
    </w:p>
    <w:p>
      <w:pPr>
        <w:ind w:left="1000" w:hanging="344"/>
        <w:spacing w:after="0" w:line="230" w:lineRule="auto"/>
        <w:tabs>
          <w:tab w:leader="none" w:pos="10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November 3, 2025, 3,564,440 restricted share units were granted under the Equity Incentive Plan.</w:t>
      </w:r>
    </w:p>
    <w:p>
      <w:pPr>
        <w:jc w:val="both"/>
        <w:ind w:left="960" w:hanging="304"/>
        <w:spacing w:after="0" w:line="230" w:lineRule="auto"/>
        <w:tabs>
          <w:tab w:leader="none" w:pos="100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2"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Pre-Funded Warrants were issued pursuant to the Registered Direct Offering.</w:t>
      </w:r>
    </w:p>
    <w:p>
      <w:pPr>
        <w:spacing w:after="0" w:line="142"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16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83"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As at December 19, 2025, the Corporation had approximately US$202,000,000 in cash. As at December 19, 2025, the Corporation anticipates that it will require approximately US$202,000,000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3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520" w:type="dxa"/>
            <w:vAlign w:val="bottom"/>
          </w:tcPr>
          <w:p>
            <w:pPr>
              <w:jc w:val="center"/>
              <w:ind w:left="2893"/>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60" w:type="dxa"/>
            <w:vAlign w:val="bottom"/>
          </w:tcPr>
          <w:p>
            <w:pPr>
              <w:spacing w:after="0"/>
              <w:rPr>
                <w:sz w:val="19"/>
                <w:szCs w:val="19"/>
                <w:color w:val="auto"/>
              </w:rPr>
            </w:pPr>
          </w:p>
        </w:tc>
        <w:tc>
          <w:tcPr>
            <w:tcW w:w="4520" w:type="dxa"/>
            <w:vAlign w:val="bottom"/>
          </w:tcPr>
          <w:p>
            <w:pPr>
              <w:jc w:val="center"/>
              <w:ind w:left="2913"/>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8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4520" w:type="dxa"/>
            <w:vAlign w:val="bottom"/>
          </w:tcPr>
          <w:p>
            <w:pPr>
              <w:jc w:val="center"/>
              <w:ind w:left="2953"/>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60" w:type="dxa"/>
            <w:vAlign w:val="bottom"/>
            <w:vMerge w:val="continue"/>
          </w:tcPr>
          <w:p>
            <w:pPr>
              <w:spacing w:after="0"/>
              <w:rPr>
                <w:sz w:val="23"/>
                <w:szCs w:val="23"/>
                <w:color w:val="auto"/>
              </w:rPr>
            </w:pPr>
          </w:p>
        </w:tc>
        <w:tc>
          <w:tcPr>
            <w:tcW w:w="4520" w:type="dxa"/>
            <w:vAlign w:val="bottom"/>
          </w:tcPr>
          <w:p>
            <w:pPr>
              <w:jc w:val="center"/>
              <w:ind w:left="2953"/>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40" w:type="dxa"/>
            <w:vAlign w:val="bottom"/>
          </w:tcPr>
          <w:p>
            <w:pPr>
              <w:jc w:val="center"/>
              <w:ind w:left="110"/>
              <w:spacing w:after="0" w:line="271" w:lineRule="exact"/>
              <w:rPr>
                <w:sz w:val="20"/>
                <w:szCs w:val="20"/>
                <w:color w:val="auto"/>
              </w:rPr>
            </w:pPr>
            <w:r>
              <w:rPr>
                <w:rFonts w:ascii="Times New Roman" w:cs="Times New Roman" w:eastAsia="Times New Roman" w:hAnsi="Times New Roman"/>
                <w:sz w:val="18"/>
                <w:szCs w:val="18"/>
                <w:b w:val="1"/>
                <w:bCs w:val="1"/>
                <w:color w:val="auto"/>
                <w:w w:val="97"/>
              </w:rPr>
              <w:t>for Completion</w:t>
            </w:r>
            <w:r>
              <w:rPr>
                <w:rFonts w:ascii="Times New Roman" w:cs="Times New Roman" w:eastAsia="Times New Roman" w:hAnsi="Times New Roman"/>
                <w:sz w:val="29"/>
                <w:szCs w:val="29"/>
                <w:b w:val="1"/>
                <w:bCs w:val="1"/>
                <w:color w:val="auto"/>
                <w:w w:val="97"/>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72084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20840" cy="16319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ind w:left="660"/>
        <w:spacing w:after="0" w:line="184" w:lineRule="auto"/>
        <w:rPr>
          <w:sz w:val="20"/>
          <w:szCs w:val="20"/>
          <w:color w:val="auto"/>
        </w:rPr>
      </w:pPr>
      <w:r>
        <w:rPr>
          <w:rFonts w:ascii="Times New Roman" w:cs="Times New Roman" w:eastAsia="Times New Roman" w:hAnsi="Times New Roman"/>
          <w:sz w:val="18"/>
          <w:szCs w:val="18"/>
          <w:color w:val="auto"/>
        </w:rPr>
        <w:t>Deuterated Psilocin Program (CYB003)</w:t>
      </w:r>
      <w:r>
        <w:rPr>
          <w:rFonts w:ascii="Times New Roman" w:cs="Times New Roman" w:eastAsia="Times New Roman" w:hAnsi="Times New Roman"/>
          <w:sz w:val="29"/>
          <w:szCs w:val="29"/>
          <w:color w:val="auto"/>
          <w:vertAlign w:val="superscript"/>
        </w:rPr>
        <w:t>(5)</w:t>
      </w:r>
    </w:p>
    <w:p>
      <w:pPr>
        <w:spacing w:after="0" w:line="1" w:lineRule="exact"/>
        <w:rPr>
          <w:sz w:val="20"/>
          <w:szCs w:val="20"/>
          <w:color w:val="auto"/>
        </w:rPr>
      </w:pPr>
    </w:p>
    <w:p>
      <w:pPr>
        <w:ind w:left="920" w:right="680"/>
        <w:spacing w:after="0" w:line="249" w:lineRule="auto"/>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 Initiation of enrollment in the second Phase 3 study, EMBRACE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-135890</wp:posOffset>
            </wp:positionV>
            <wp:extent cx="672084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p>
      <w:pPr>
        <w:spacing w:after="0" w:line="45" w:lineRule="exact"/>
        <w:rPr>
          <w:sz w:val="20"/>
          <w:szCs w:val="20"/>
          <w:color w:val="auto"/>
        </w:rPr>
      </w:pPr>
    </w:p>
    <w:p>
      <w:pPr>
        <w:ind w:left="660" w:right="1980" w:firstLine="270"/>
        <w:spacing w:after="0" w:line="263" w:lineRule="auto"/>
        <w:rPr>
          <w:sz w:val="20"/>
          <w:szCs w:val="20"/>
          <w:color w:val="auto"/>
        </w:rPr>
      </w:pPr>
      <w:r>
        <w:rPr>
          <w:rFonts w:ascii="Times New Roman" w:cs="Times New Roman" w:eastAsia="Times New Roman" w:hAnsi="Times New Roman"/>
          <w:sz w:val="18"/>
          <w:szCs w:val="18"/>
          <w:color w:val="auto"/>
        </w:rPr>
        <w:t>Progression of the third Phase 3 study, EXTEND Deuterated Dimethyltryptamine Program (CYB004) Provide topline data readout from the Phase 2 GAD study Phenethylamine and Tryptamine Derivatives Program (CYB005)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-572135</wp:posOffset>
            </wp:positionV>
            <wp:extent cx="672084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20840" cy="16319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-272415</wp:posOffset>
            </wp:positionV>
            <wp:extent cx="672084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wp:posOffset>
            </wp:positionV>
            <wp:extent cx="672084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Deliver a drug development candidate</w:t>
      </w:r>
    </w:p>
    <w:p>
      <w:pPr>
        <w:ind w:left="660"/>
        <w:spacing w:after="0" w:line="192" w:lineRule="auto"/>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72084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16"/>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35,051,000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Q4 2026</w:t>
            </w:r>
          </w:p>
        </w:tc>
      </w:tr>
      <w:tr>
        <w:trPr>
          <w:trHeight w:val="216"/>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399,000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Q4 2025</w:t>
            </w:r>
          </w:p>
        </w:tc>
      </w:tr>
      <w:tr>
        <w:trPr>
          <w:trHeight w:val="257"/>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38,122,000</w:t>
            </w:r>
          </w:p>
        </w:tc>
        <w:tc>
          <w:tcPr>
            <w:tcW w:w="1160" w:type="dxa"/>
            <w:vAlign w:val="bottom"/>
          </w:tcPr>
          <w:p>
            <w:pPr>
              <w:jc w:val="center"/>
              <w:ind w:left="43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r>
      <w:tr>
        <w:trPr>
          <w:trHeight w:val="398"/>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25,995,000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r>
      <w:tr>
        <w:trPr>
          <w:trHeight w:val="309"/>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1,339,000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Q1 2026</w:t>
            </w:r>
          </w:p>
        </w:tc>
      </w:tr>
      <w:tr>
        <w:trPr>
          <w:trHeight w:val="414"/>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1,404,000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Q3 2026</w:t>
            </w:r>
          </w:p>
        </w:tc>
      </w:tr>
      <w:tr>
        <w:trPr>
          <w:trHeight w:val="234"/>
        </w:trPr>
        <w:tc>
          <w:tcPr>
            <w:tcW w:w="13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99,690,000</w:t>
            </w: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202,000,000</w:t>
      </w:r>
    </w:p>
    <w:p>
      <w:pPr>
        <w:spacing w:after="0" w:line="223" w:lineRule="exact"/>
        <w:rPr>
          <w:sz w:val="20"/>
          <w:szCs w:val="20"/>
          <w:color w:val="auto"/>
        </w:rPr>
      </w:pPr>
    </w:p>
    <w:p>
      <w:pPr>
        <w:sectPr>
          <w:pgSz w:w="11900" w:h="16838" w:orient="portrait"/>
          <w:cols w:equalWidth="0" w:num="2">
            <w:col w:w="7320" w:space="720"/>
            <w:col w:w="3200"/>
          </w:cols>
          <w:pgMar w:left="320" w:top="112" w:right="339" w:bottom="1440" w:gutter="0" w:footer="0" w:header="0"/>
          <w:type w:val="continuous"/>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520" w:hanging="262"/>
        <w:spacing w:after="0" w:line="241" w:lineRule="auto"/>
        <w:tabs>
          <w:tab w:leader="none" w:pos="56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520" w:hanging="262"/>
        <w:spacing w:after="0" w:line="230" w:lineRule="auto"/>
        <w:tabs>
          <w:tab w:leader="none" w:pos="56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560" w:hanging="302"/>
        <w:spacing w:after="0" w:line="230" w:lineRule="auto"/>
        <w:tabs>
          <w:tab w:leader="none" w:pos="5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520" w:hanging="262"/>
        <w:spacing w:after="0" w:line="230" w:lineRule="auto"/>
        <w:tabs>
          <w:tab w:leader="none" w:pos="56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There is no assurance that these timelines will be met or that the programs will advance. Drug development involves long lead times, is very expensive and involves many variables of uncertainty. Anticipated spending and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6" w:lineRule="exact"/>
        <w:rPr>
          <w:rFonts w:ascii="Times New Roman" w:cs="Times New Roman" w:eastAsia="Times New Roman" w:hAnsi="Times New Roman"/>
          <w:sz w:val="22"/>
          <w:szCs w:val="22"/>
          <w:color w:val="auto"/>
        </w:rPr>
      </w:pPr>
    </w:p>
    <w:p>
      <w:pPr>
        <w:jc w:val="both"/>
        <w:ind w:left="520" w:hanging="262"/>
        <w:spacing w:after="0" w:line="230" w:lineRule="auto"/>
        <w:tabs>
          <w:tab w:leader="none" w:pos="56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520" w:right="20" w:hanging="262"/>
        <w:spacing w:after="0" w:line="230" w:lineRule="auto"/>
        <w:tabs>
          <w:tab w:leader="none" w:pos="56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2" w:lineRule="exact"/>
        <w:rPr>
          <w:rFonts w:ascii="Times New Roman" w:cs="Times New Roman" w:eastAsia="Times New Roman" w:hAnsi="Times New Roman"/>
          <w:sz w:val="22"/>
          <w:szCs w:val="22"/>
          <w:color w:val="auto"/>
        </w:rPr>
      </w:pPr>
    </w:p>
    <w:p>
      <w:pPr>
        <w:ind w:left="520" w:hanging="262"/>
        <w:spacing w:after="0" w:line="237" w:lineRule="auto"/>
        <w:tabs>
          <w:tab w:leader="none" w:pos="57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spacing w:after="0" w:line="134" w:lineRule="exact"/>
        <w:rPr>
          <w:sz w:val="20"/>
          <w:szCs w:val="20"/>
          <w:color w:val="auto"/>
        </w:rPr>
      </w:pPr>
    </w:p>
    <w:p>
      <w:pPr>
        <w:jc w:val="both"/>
        <w:ind w:left="260"/>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ectPr>
          <w:pgSz w:w="11900" w:h="16838" w:orient="portrait"/>
          <w:cols w:equalWidth="0" w:num="1">
            <w:col w:w="10980"/>
          </w:cols>
          <w:pgMar w:left="580" w:top="527" w:right="339" w:bottom="404" w:gutter="0" w:footer="0" w:header="0"/>
        </w:sectPr>
      </w:pPr>
    </w:p>
    <w:p>
      <w:pPr>
        <w:spacing w:after="0" w:line="1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151130</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80"/>
          </w:cols>
          <w:pgMar w:left="580" w:top="527" w:right="339" w:bottom="404" w:gutter="0" w:footer="0" w:header="0"/>
          <w:type w:val="continuous"/>
        </w:sectPr>
      </w:pPr>
    </w:p>
    <w:bookmarkStart w:id="40" w:name="page41"/>
    <w:bookmarkEnd w:id="40"/>
    <w:p>
      <w:pPr>
        <w:jc w:val="both"/>
        <w:ind w:left="520"/>
        <w:spacing w:after="0" w:line="244" w:lineRule="auto"/>
        <w:rPr>
          <w:sz w:val="20"/>
          <w:szCs w:val="20"/>
          <w:color w:val="auto"/>
        </w:rPr>
      </w:pPr>
      <w:r>
        <w:rPr>
          <w:rFonts w:ascii="Times New Roman" w:cs="Times New Roman" w:eastAsia="Times New Roman" w:hAnsi="Times New Roman"/>
          <w:sz w:val="22"/>
          <w:szCs w:val="22"/>
          <w:color w:val="auto"/>
        </w:rPr>
        <w:t>As at December 19,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US$202,000,000.</w:t>
      </w:r>
    </w:p>
    <w:p>
      <w:pPr>
        <w:spacing w:after="0" w:line="129" w:lineRule="exact"/>
        <w:rPr>
          <w:sz w:val="20"/>
          <w:szCs w:val="20"/>
          <w:color w:val="auto"/>
        </w:rPr>
      </w:pPr>
    </w:p>
    <w:p>
      <w:pPr>
        <w:jc w:val="both"/>
        <w:ind w:left="520"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27"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or incorporated by reference in, this Prospectus.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US$537,755,000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 Negative Operating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Flow".</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19, 2025,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the Annual Information Form and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1"/>
          <w:szCs w:val="21"/>
          <w:color w:val="auto"/>
        </w:rPr>
        <w:t>Additional risk factors relating to a specific Offering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ectPr>
          <w:pgSz w:w="11900" w:h="16838" w:orient="portrait"/>
          <w:cols w:equalWidth="0" w:num="1">
            <w:col w:w="11240"/>
          </w:cols>
          <w:pgMar w:left="320" w:top="112" w:right="339" w:bottom="89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9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2" w:name="page43"/>
    <w:bookmarkEnd w:id="42"/>
    <w:p>
      <w:pPr>
        <w:jc w:val="both"/>
        <w:spacing w:after="0" w:line="237"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46"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125095</wp:posOffset>
            </wp:positionV>
            <wp:extent cx="1945640" cy="1183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456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w:t>
      </w:r>
      <w:r>
        <w:rPr>
          <w:rFonts w:ascii="Times New Roman" w:cs="Times New Roman" w:eastAsia="Times New Roman" w:hAnsi="Times New Roman"/>
          <w:sz w:val="22"/>
          <w:szCs w:val="22"/>
          <w:b w:val="1"/>
          <w:bCs w:val="1"/>
          <w:color w:val="auto"/>
        </w:rPr>
        <w:t>800,000,000</w:t>
      </w:r>
      <w:r>
        <w:rPr>
          <w:rFonts w:ascii="Times New Roman" w:cs="Times New Roman" w:eastAsia="Times New Roman" w:hAnsi="Times New Roman"/>
          <w:sz w:val="22"/>
          <w:szCs w:val="22"/>
          <w:color w:val="auto"/>
        </w:rPr>
        <w:t xml:space="preserve">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 offer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3" w:name="page44"/>
    <w:bookmarkEnd w:id="43"/>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Given the Commitment Amount, the Corporation will have approximately $473,917,796 available under the Prospectus, which management of the Corporation reasonably expects to distribute during the</w:t>
      </w:r>
    </w:p>
    <w:p>
      <w:pPr>
        <w:spacing w:after="0" w:line="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25-month period that this Prospectus, including any amendments hereto, remains valid.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of the Common Shares underlying Warrants initially sold to, or for the account or benefit of, U.S. persons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3571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97" w:lineRule="exact"/>
        <w:rPr>
          <w:sz w:val="20"/>
          <w:szCs w:val="20"/>
          <w:color w:val="auto"/>
        </w:rPr>
      </w:pPr>
    </w:p>
    <w:p>
      <w:pPr>
        <w:ind w:firstLine="8"/>
        <w:spacing w:after="0" w:line="189" w:lineRule="auto"/>
        <w:tabs>
          <w:tab w:leader="none" w:pos="172"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spacing w:after="0" w:line="239" w:lineRule="auto"/>
        <w:rPr>
          <w:sz w:val="20"/>
          <w:szCs w:val="20"/>
          <w:color w:val="auto"/>
        </w:rPr>
      </w:pPr>
      <w:r>
        <w:rPr>
          <w:rFonts w:ascii="Times New Roman" w:cs="Times New Roman" w:eastAsia="Times New Roman" w:hAnsi="Times New Roman"/>
          <w:sz w:val="22"/>
          <w:szCs w:val="22"/>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calculations are demonstrated in USD and CAD:</w:t>
      </w:r>
      <w:r>
        <w:rPr>
          <w:rFonts w:ascii="Times New Roman" w:cs="Times New Roman" w:eastAsia="Times New Roman" w:hAnsi="Times New Roman"/>
          <w:sz w:val="35"/>
          <w:szCs w:val="3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029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a Unit Distribution</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US$150,000,000</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C$207,720,000</w:t>
            </w:r>
            <w:r>
              <w:rPr>
                <w:rFonts w:ascii="Times New Roman" w:cs="Times New Roman" w:eastAsia="Times New Roman" w:hAnsi="Times New Roman"/>
                <w:sz w:val="29"/>
                <w:szCs w:val="29"/>
                <w:color w:val="auto"/>
                <w:vertAlign w:val="superscript"/>
              </w:rPr>
              <w:t>(1)</w:t>
            </w:r>
          </w:p>
        </w:tc>
      </w:tr>
      <w:tr>
        <w:trPr>
          <w:trHeight w:val="358"/>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the Underlying Warrant Shares</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US$172,500,000</w:t>
            </w:r>
            <w:r>
              <w:rPr>
                <w:rFonts w:ascii="Times New Roman" w:cs="Times New Roman" w:eastAsia="Times New Roman" w:hAnsi="Times New Roman"/>
                <w:sz w:val="29"/>
                <w:szCs w:val="29"/>
                <w:color w:val="auto"/>
                <w:vertAlign w:val="superscript"/>
              </w:rPr>
              <w:t>(2)</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C$238,878,000</w:t>
            </w:r>
          </w:p>
        </w:tc>
      </w:tr>
      <w:tr>
        <w:trPr>
          <w:trHeight w:val="26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Base Shelf Amount Used</w:t>
            </w:r>
          </w:p>
        </w:tc>
        <w:tc>
          <w:tcPr>
            <w:tcW w:w="3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US$322,500,000</w:t>
            </w:r>
          </w:p>
        </w:tc>
        <w:tc>
          <w:tcPr>
            <w:tcW w:w="2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C$446,598,000</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ind w:left="540" w:right="80" w:hanging="208"/>
        <w:spacing w:after="0" w:line="241" w:lineRule="auto"/>
        <w:tabs>
          <w:tab w:leader="none" w:pos="5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22"/>
          <w:szCs w:val="22"/>
          <w:color w:val="auto"/>
        </w:rPr>
      </w:pPr>
    </w:p>
    <w:p>
      <w:pPr>
        <w:ind w:left="540" w:right="480" w:hanging="208"/>
        <w:spacing w:after="0" w:line="237" w:lineRule="auto"/>
        <w:tabs>
          <w:tab w:leader="none" w:pos="5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a theoretical Unit purchase price (US$150,000,000) multiplied by 115% (representing the theoretical Warrant exercise price).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23571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70" w:lineRule="exact"/>
        <w:rPr>
          <w:sz w:val="20"/>
          <w:szCs w:val="20"/>
          <w:color w:val="auto"/>
        </w:rPr>
      </w:pPr>
    </w:p>
    <w:p>
      <w:pPr>
        <w:jc w:val="both"/>
        <w:ind w:firstLine="8"/>
        <w:spacing w:after="0" w:line="217" w:lineRule="auto"/>
        <w:tabs>
          <w:tab w:leader="none" w:pos="20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Enforcement of Civil Liabilities”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1375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224"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psilocin is currently a Schedule III drug. Under the CSA, psilocin is currently a Schedule I drug.</w:t>
      </w:r>
    </w:p>
    <w:p>
      <w:pPr>
        <w:spacing w:after="0" w:line="171"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57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128905</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203"/>
        </w:trPr>
        <w:tc>
          <w:tcPr>
            <w:tcW w:w="1720" w:type="dxa"/>
            <w:vAlign w:val="bottom"/>
            <w:gridSpan w:val="5"/>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GENERAL MATTERS</w:t>
            </w:r>
          </w:p>
        </w:tc>
        <w:tc>
          <w:tcPr>
            <w:tcW w:w="6660" w:type="dxa"/>
            <w:vAlign w:val="bottom"/>
            <w:gridSpan w:val="15"/>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14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MARKETING MATERIALS</w:t>
            </w:r>
          </w:p>
        </w:tc>
        <w:tc>
          <w:tcPr>
            <w:tcW w:w="5240" w:type="dxa"/>
            <w:vAlign w:val="bottom"/>
            <w:gridSpan w:val="7"/>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660" w:type="dxa"/>
            <w:vAlign w:val="bottom"/>
            <w:gridSpan w:val="11"/>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5720" w:type="dxa"/>
            <w:vAlign w:val="bottom"/>
            <w:gridSpan w:val="9"/>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2860" w:type="dxa"/>
            <w:vAlign w:val="bottom"/>
            <w:gridSpan w:val="2"/>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8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1160" w:type="dxa"/>
            <w:vAlign w:val="bottom"/>
            <w:tcBorders>
              <w:top w:val="single" w:sz="8" w:color="0000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THE CORPORATION</w:t>
            </w:r>
          </w:p>
        </w:tc>
        <w:tc>
          <w:tcPr>
            <w:tcW w:w="2860" w:type="dxa"/>
            <w:vAlign w:val="bottom"/>
            <w:gridSpan w:val="2"/>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6</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REGULATORY OVERVIEW</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1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COMPLIANCE PROGRAM</w:t>
            </w:r>
          </w:p>
        </w:tc>
        <w:tc>
          <w:tcPr>
            <w:tcW w:w="6200" w:type="dxa"/>
            <w:vAlign w:val="bottom"/>
            <w:gridSpan w:val="11"/>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23</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880" w:type="dxa"/>
            <w:vAlign w:val="bottom"/>
            <w:tcBorders>
              <w:bottom w:val="single" w:sz="8" w:color="0000EE"/>
            </w:tcBorders>
            <w:gridSpan w:val="12"/>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500" w:type="dxa"/>
            <w:vAlign w:val="bottom"/>
            <w:tcBorders>
              <w:bottom w:val="single" w:sz="8" w:color="EEEEEE"/>
            </w:tcBorders>
            <w:gridSpan w:val="8"/>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23</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520" w:type="dxa"/>
            <w:vAlign w:val="bottom"/>
            <w:tcBorders>
              <w:bottom w:val="single" w:sz="8" w:color="0000EE"/>
            </w:tcBorders>
            <w:gridSpan w:val="1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5860" w:type="dxa"/>
            <w:vAlign w:val="bottom"/>
            <w:tcBorders>
              <w:bottom w:val="single" w:sz="8" w:color="EEEEEE"/>
            </w:tcBorders>
            <w:gridSpan w:val="10"/>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40" w:type="dxa"/>
            <w:vAlign w:val="bottom"/>
            <w:tcBorders>
              <w:bottom w:val="single" w:sz="8" w:color="0000EE"/>
            </w:tcBorders>
            <w:gridSpan w:val="16"/>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4040" w:type="dxa"/>
            <w:vAlign w:val="bottom"/>
            <w:tcBorders>
              <w:bottom w:val="single" w:sz="8" w:color="EEEEEE"/>
            </w:tcBorders>
            <w:gridSpan w:val="4"/>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260" w:type="dxa"/>
            <w:vAlign w:val="bottom"/>
            <w:tcBorders>
              <w:bottom w:val="single" w:sz="8" w:color="0000EE"/>
            </w:tcBorders>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120" w:type="dxa"/>
            <w:vAlign w:val="bottom"/>
            <w:tcBorders>
              <w:bottom w:val="single" w:sz="8" w:color="EEEEEE"/>
            </w:tcBorders>
            <w:gridSpan w:val="19"/>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32</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395"/>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80" w:type="dxa"/>
            <w:vAlign w:val="bottom"/>
            <w:shd w:val="clear" w:color="auto" w:fill="000000"/>
          </w:tcPr>
          <w:p>
            <w:pPr>
              <w:spacing w:after="0"/>
              <w:rPr>
                <w:sz w:val="6"/>
                <w:szCs w:val="6"/>
                <w:color w:val="auto"/>
              </w:rPr>
            </w:pPr>
          </w:p>
        </w:tc>
        <w:tc>
          <w:tcPr>
            <w:tcW w:w="26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auto"/>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this Prospectus, unless stated otherwise or the context requires otherwise, all dollar amounts are expressed in Canadian dollars.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Original Base Prospectus</w:t>
      </w:r>
      <w:r>
        <w:rPr>
          <w:rFonts w:ascii="Times New Roman" w:cs="Times New Roman" w:eastAsia="Times New Roman" w:hAnsi="Times New Roman"/>
          <w:sz w:val="22"/>
          <w:szCs w:val="22"/>
          <w:color w:val="auto"/>
        </w:rPr>
        <w:t>”). The Corporation does not currently have any plans to initiate additional drawdowns under the Original Base Prospectus and intends to withdraw the Original Base Prospectus when this Prospectus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3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3" w:lineRule="exact"/>
        <w:rPr>
          <w:sz w:val="20"/>
          <w:szCs w:val="20"/>
          <w:color w:val="auto"/>
        </w:rPr>
      </w:pPr>
    </w:p>
    <w:p>
      <w:pPr>
        <w:ind w:left="660" w:hanging="328"/>
        <w:spacing w:after="0" w:line="241" w:lineRule="auto"/>
        <w:tabs>
          <w:tab w:leader="none" w:pos="6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48"/>
        <w:spacing w:after="0" w:line="230" w:lineRule="auto"/>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48"/>
        <w:spacing w:after="0" w:line="230" w:lineRule="auto"/>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48"/>
        <w:spacing w:after="0" w:line="230" w:lineRule="auto"/>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right="20" w:hanging="328"/>
        <w:spacing w:after="0" w:line="230" w:lineRule="auto"/>
        <w:tabs>
          <w:tab w:leader="none" w:pos="6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48"/>
        <w:spacing w:after="0" w:line="230" w:lineRule="auto"/>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48"/>
        <w:spacing w:after="0" w:line="230" w:lineRule="auto"/>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48"/>
        <w:spacing w:after="0"/>
        <w:tabs>
          <w:tab w:leader="none" w:pos="6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680" w:hanging="348"/>
        <w:spacing w:after="0"/>
        <w:tabs>
          <w:tab w:leader="none" w:pos="6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48"/>
        <w:spacing w:after="0" w:line="230" w:lineRule="auto"/>
        <w:tabs>
          <w:tab w:leader="none" w:pos="6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48"/>
        <w:spacing w:after="0" w:line="230" w:lineRule="auto"/>
        <w:tabs>
          <w:tab w:leader="none" w:pos="6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28"/>
        <w:spacing w:after="0" w:line="237" w:lineRule="auto"/>
        <w:tabs>
          <w:tab w:leader="none" w:pos="6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27" w:lineRule="exact"/>
        <w:rPr>
          <w:sz w:val="20"/>
          <w:szCs w:val="20"/>
          <w:color w:val="auto"/>
        </w:rPr>
      </w:pPr>
    </w:p>
    <w:p>
      <w:pPr>
        <w:ind w:left="520" w:right="20" w:hanging="256"/>
        <w:spacing w:after="0" w:line="262"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left="520" w:hanging="256"/>
        <w:spacing w:after="0" w:line="239"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and special meeting of shareholders of the Corporation to be held on August 18,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auto"/>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3</w:t>
      </w:r>
    </w:p>
    <w:p>
      <w:pPr>
        <w:spacing w:after="0" w:line="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Small Pharma completed a horizontal amalgamation with Cybin Corp., with Cybin Corp.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being the resulting entity. As a result of this amalgamation, Cybin UK Ltd is now a wholly-owned subsidiary of Cybin Corp.</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90 granted patents and over 230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administration.</w:t>
      </w:r>
      <w:r>
        <w:rPr>
          <w:rFonts w:ascii="Times New Roman" w:cs="Times New Roman" w:eastAsia="Times New Roman" w:hAnsi="Times New Roman"/>
          <w:sz w:val="35"/>
          <w:szCs w:val="3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20" w:lineRule="auto"/>
        <w:tabs>
          <w:tab w:leader="none" w:pos="164"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08" w:right="339"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20"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8</w:t>
      </w:r>
    </w:p>
    <w:p>
      <w:pPr>
        <w:spacing w:after="0" w:line="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3.</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See footnote 3.</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See footnote 3.</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See footnote 3.</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100965</wp:posOffset>
            </wp:positionV>
            <wp:extent cx="4251960" cy="2820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19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571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10" w:lineRule="exact"/>
        <w:rPr>
          <w:sz w:val="20"/>
          <w:szCs w:val="20"/>
          <w:color w:val="auto"/>
        </w:rPr>
      </w:pPr>
    </w:p>
    <w:p>
      <w:pPr>
        <w:ind w:left="5580" w:right="5280" w:hanging="5572"/>
        <w:spacing w:after="0" w:line="502" w:lineRule="auto"/>
        <w:tabs>
          <w:tab w:leader="none" w:pos="162"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There is no assurance that this timeline will be met. See footnote 3.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2005/387/JHA of May 10, 2005 (which applies only in certain limited situations)</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3571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8"/>
        <w:spacing w:after="0" w:line="211" w:lineRule="auto"/>
        <w:tabs>
          <w:tab w:leader="none" w:pos="278"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 "</w:t>
      </w:r>
      <w:r>
        <w:rPr>
          <w:rFonts w:ascii="Times New Roman" w:cs="Times New Roman" w:eastAsia="Times New Roman" w:hAnsi="Times New Roman"/>
          <w:sz w:val="22"/>
          <w:szCs w:val="22"/>
          <w:b w:val="1"/>
          <w:bCs w:val="1"/>
          <w:color w:val="auto"/>
        </w:rPr>
        <w:t>2010 Act</w:t>
      </w:r>
      <w:r>
        <w:rPr>
          <w:rFonts w:ascii="Times New Roman" w:cs="Times New Roman" w:eastAsia="Times New Roman" w:hAnsi="Times New Roman"/>
          <w:sz w:val="22"/>
          <w:szCs w:val="22"/>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44" w:lineRule="auto"/>
        <w:rPr>
          <w:sz w:val="20"/>
          <w:szCs w:val="20"/>
          <w:color w:val="auto"/>
        </w:rPr>
      </w:pPr>
      <w:r>
        <w:rPr>
          <w:rFonts w:ascii="Times New Roman" w:cs="Times New Roman" w:eastAsia="Times New Roman" w:hAnsi="Times New Roman"/>
          <w:sz w:val="22"/>
          <w:szCs w:val="22"/>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22"/>
          <w:szCs w:val="22"/>
          <w:i w:val="1"/>
          <w:iCs w:val="1"/>
          <w:color w:val="auto"/>
        </w:rPr>
        <w:t>substance, product, preparation, plant, fungus or natural organism</w:t>
      </w:r>
      <w:r>
        <w:rPr>
          <w:rFonts w:ascii="Times New Roman" w:cs="Times New Roman" w:eastAsia="Times New Roman" w:hAnsi="Times New Roman"/>
          <w:sz w:val="22"/>
          <w:szCs w:val="22"/>
          <w:color w:val="auto"/>
        </w:rPr>
        <w:t>" as specified in the order.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Irish Government's Legislative Programme for Summer 2025 does not contain any proposed amendments to the above-mentioned legislation which currently govern controlled substances.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UK controlled drugs legislation is the Misuse of Drugs Act 1971 (the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(the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11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5"/>
          <w:szCs w:val="35"/>
          <w:color w:val="auto"/>
          <w:vertAlign w:val="superscript"/>
        </w:rPr>
        <w:t>12</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13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23571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8"/>
        <w:spacing w:after="0" w:line="226" w:lineRule="auto"/>
        <w:tabs>
          <w:tab w:leader="none" w:pos="232" w:val="left"/>
        </w:tabs>
        <w:numPr>
          <w:ilvl w:val="0"/>
          <w:numId w:val="28"/>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 w:lineRule="exact"/>
        <w:rPr>
          <w:rFonts w:ascii="Times New Roman" w:cs="Times New Roman" w:eastAsia="Times New Roman" w:hAnsi="Times New Roman"/>
          <w:sz w:val="33"/>
          <w:szCs w:val="33"/>
          <w:color w:val="auto"/>
          <w:vertAlign w:val="superscript"/>
        </w:rPr>
      </w:pPr>
    </w:p>
    <w:p>
      <w:pPr>
        <w:jc w:val="both"/>
        <w:ind w:firstLine="8"/>
        <w:spacing w:after="0" w:line="208" w:lineRule="auto"/>
        <w:tabs>
          <w:tab w:leader="none" w:pos="252" w:val="left"/>
        </w:tabs>
        <w:numPr>
          <w:ilvl w:val="0"/>
          <w:numId w:val="28"/>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Home Office guidance; Security guidance for all existing or prospective Home Office Controlled Drug Licensees and/or Precursor Chemical Licensees or Registrants; 2022; https://assets.publishing.service.gov.uk/media/63a1b6c8e90e075874d91825/ Security_Guidance_for_all_Businesses_and_Other_Organisations_v1.5_Nov_2022.pdf.</w:t>
      </w:r>
    </w:p>
    <w:p>
      <w:pPr>
        <w:spacing w:after="0" w:line="15" w:lineRule="exact"/>
        <w:rPr>
          <w:rFonts w:ascii="Times New Roman" w:cs="Times New Roman" w:eastAsia="Times New Roman" w:hAnsi="Times New Roman"/>
          <w:sz w:val="35"/>
          <w:szCs w:val="35"/>
          <w:color w:val="auto"/>
          <w:vertAlign w:val="superscript"/>
        </w:rPr>
      </w:pPr>
    </w:p>
    <w:p>
      <w:pPr>
        <w:ind w:left="140" w:hanging="132"/>
        <w:spacing w:after="0" w:line="200" w:lineRule="auto"/>
        <w:tabs>
          <w:tab w:leader="none" w:pos="711" w:val="left"/>
        </w:tabs>
        <w:numPr>
          <w:ilvl w:val="0"/>
          <w:numId w:val="2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Guidelines for Standard Operating Procedures (SOPs); https://assets.publishing.service.gov.uk/government/uploads/ system/uploads/attachment_data/file/480572/StandardOpProcedure.pdf.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u w:val="single" w:color="auto"/>
          <w:color w:val="auto"/>
        </w:rPr>
        <w:t>Pharmaceutical Products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1"/>
          <w:szCs w:val="21"/>
          <w:b w:val="1"/>
          <w:bCs w:val="1"/>
          <w:color w:val="auto"/>
        </w:rPr>
        <w:t>GDP</w:t>
      </w:r>
      <w:r>
        <w:rPr>
          <w:rFonts w:ascii="Times New Roman" w:cs="Times New Roman" w:eastAsia="Times New Roman" w:hAnsi="Times New Roman"/>
          <w:sz w:val="21"/>
          <w:szCs w:val="21"/>
          <w:color w:val="auto"/>
        </w:rPr>
        <w:t>") and to hold a related licence from the MHRA.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How the API is subsequently processed will determine the licences (in addition to any applicable Home Office licenses as referred to above) that the UK-based facility must hold. In particular:</w:t>
      </w:r>
    </w:p>
    <w:p>
      <w:pPr>
        <w:spacing w:after="0" w:line="154"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if the API is just one 'ingredient' (i.e. active substance) of the investigational medicinal product (the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-730885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ectPr>
          <w:pgSz w:w="11900" w:h="16838" w:orient="portrait"/>
          <w:cols w:equalWidth="0" w:num="1">
            <w:col w:w="11240"/>
          </w:cols>
          <w:pgMar w:left="320" w:top="112"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3" w:name="page64"/>
    <w:bookmarkEnd w:id="6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P. </w:t>
      </w:r>
      <w:r>
        <w:rPr>
          <w:rFonts w:ascii="Times New Roman" w:cs="Times New Roman" w:eastAsia="Times New Roman" w:hAnsi="Times New Roman"/>
          <w:sz w:val="22"/>
          <w:szCs w:val="22"/>
          <w:i w:val="1"/>
          <w:iCs w:val="1"/>
          <w:color w:val="auto"/>
        </w:rPr>
        <w:t>azurescens</w:t>
      </w:r>
      <w:r>
        <w:rPr>
          <w:rFonts w:ascii="Times New Roman" w:cs="Times New Roman" w:eastAsia="Times New Roman" w:hAnsi="Times New Roman"/>
          <w:sz w:val="22"/>
          <w:szCs w:val="22"/>
          <w:color w:val="auto"/>
        </w:rPr>
        <w:t xml:space="preserve">, P. </w:t>
      </w:r>
      <w:r>
        <w:rPr>
          <w:rFonts w:ascii="Times New Roman" w:cs="Times New Roman" w:eastAsia="Times New Roman" w:hAnsi="Times New Roman"/>
          <w:sz w:val="22"/>
          <w:szCs w:val="22"/>
          <w:i w:val="1"/>
          <w:iCs w:val="1"/>
          <w:color w:val="auto"/>
        </w:rPr>
        <w:t>semilanceata</w:t>
      </w:r>
      <w:r>
        <w:rPr>
          <w:rFonts w:ascii="Times New Roman" w:cs="Times New Roman" w:eastAsia="Times New Roman" w:hAnsi="Times New Roman"/>
          <w:sz w:val="22"/>
          <w:szCs w:val="22"/>
          <w:color w:val="auto"/>
        </w:rPr>
        <w:t xml:space="preserve">, and P. </w:t>
      </w:r>
      <w:r>
        <w:rPr>
          <w:rFonts w:ascii="Times New Roman" w:cs="Times New Roman" w:eastAsia="Times New Roman" w:hAnsi="Times New Roman"/>
          <w:sz w:val="22"/>
          <w:szCs w:val="22"/>
          <w:i w:val="1"/>
          <w:iCs w:val="1"/>
          <w:color w:val="auto"/>
        </w:rPr>
        <w:t>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psilocin are well known and well characterized. In conjunction with psychotherapy, psilocin has been utilized broadly in phase II clinical trials.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Corporation has commenced research and development on the delivery of synthetic psilocin and other psychedelics through mechanisms such as sublingual film delivery, IV, and by way of inhalation.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is led by the Corporation's North American Chief Scientific Officer, Alex Nivorozhkin Ph.D., a seasoned medicinal chemist, drug delivery expert and founder of multiple biotech companies.</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79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2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submission to the FDA of an IND Application, which the FDA must approve before human clinical trials may begin; approval by 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7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794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-565785</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5" w:name="page66"/>
    <w:bookmarkEnd w:id="65"/>
    <w:p>
      <w:pPr>
        <w:jc w:val="both"/>
        <w:spacing w:after="0" w:line="235" w:lineRule="auto"/>
        <w:rPr>
          <w:sz w:val="20"/>
          <w:szCs w:val="20"/>
          <w:color w:val="auto"/>
        </w:rPr>
      </w:pPr>
      <w:r>
        <w:rPr>
          <w:rFonts w:ascii="Times New Roman" w:cs="Times New Roman" w:eastAsia="Times New Roman" w:hAnsi="Times New Roman"/>
          <w:sz w:val="22"/>
          <w:szCs w:val="22"/>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2"/>
          <w:szCs w:val="22"/>
          <w:i w:val="1"/>
          <w:iCs w:val="1"/>
          <w:color w:val="auto"/>
        </w:rPr>
        <w:t>False Claims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ectPr>
          <w:pgSz w:w="11900" w:h="16838" w:orient="portrait"/>
          <w:cols w:equalWidth="0" w:num="1">
            <w:col w:w="11240"/>
          </w:cols>
          <w:pgMar w:left="320" w:top="112" w:right="339" w:bottom="856"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56" w:gutter="0" w:footer="0" w:header="0"/>
          <w:type w:val="continuous"/>
        </w:sectPr>
      </w:pPr>
    </w:p>
    <w:bookmarkStart w:id="67" w:name="page68"/>
    <w:bookmarkEnd w:id="67"/>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 (Netherlands)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implementation of Good Clinical Practice in the conduct of clinical trials on medicinal products for human use.</w:t>
      </w:r>
      <w:r>
        <w:rPr>
          <w:rFonts w:ascii="Times New Roman" w:cs="Times New Roman" w:eastAsia="Times New Roman" w:hAnsi="Times New Roman"/>
          <w:sz w:val="35"/>
          <w:szCs w:val="35"/>
          <w:color w:val="auto"/>
          <w:vertAlign w:val="superscript"/>
        </w:rPr>
        <w:t>14</w:t>
      </w:r>
      <w:r>
        <w:rPr>
          <w:rFonts w:ascii="Times New Roman" w:cs="Times New Roman" w:eastAsia="Times New Roman" w:hAnsi="Times New Roman"/>
          <w:sz w:val="22"/>
          <w:szCs w:val="22"/>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22"/>
          <w:szCs w:val="22"/>
          <w:b w:val="1"/>
          <w:bCs w:val="1"/>
          <w:color w:val="auto"/>
        </w:rPr>
        <w:t>CTIS</w:t>
      </w:r>
      <w:r>
        <w:rPr>
          <w:rFonts w:ascii="Times New Roman" w:cs="Times New Roman" w:eastAsia="Times New Roman" w:hAnsi="Times New Roman"/>
          <w:sz w:val="22"/>
          <w:szCs w:val="22"/>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Further, the European Medicines Agency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11" w:lineRule="exact"/>
        <w:rPr>
          <w:sz w:val="20"/>
          <w:szCs w:val="20"/>
          <w:color w:val="auto"/>
        </w:rPr>
      </w:pPr>
    </w:p>
    <w:p>
      <w:pPr>
        <w:jc w:val="both"/>
        <w:ind w:firstLine="8"/>
        <w:spacing w:after="0" w:line="215" w:lineRule="auto"/>
        <w:tabs>
          <w:tab w:leader="none" w:pos="269" w:val="left"/>
        </w:tabs>
        <w:numPr>
          <w:ilvl w:val="0"/>
          <w:numId w:val="29"/>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both"/>
        <w:spacing w:after="0" w:line="248" w:lineRule="auto"/>
        <w:rPr>
          <w:sz w:val="20"/>
          <w:szCs w:val="20"/>
          <w:color w:val="auto"/>
        </w:rPr>
      </w:pPr>
      <w:r>
        <w:rPr>
          <w:rFonts w:ascii="Times New Roman" w:cs="Times New Roman" w:eastAsia="Times New Roman" w:hAnsi="Times New Roman"/>
          <w:sz w:val="21"/>
          <w:szCs w:val="21"/>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1"/>
          <w:szCs w:val="21"/>
          <w:b w:val="1"/>
          <w:bCs w:val="1"/>
          <w:color w:val="auto"/>
        </w:rPr>
        <w:t>CTAG</w:t>
      </w:r>
      <w:r>
        <w:rPr>
          <w:rFonts w:ascii="Times New Roman" w:cs="Times New Roman" w:eastAsia="Times New Roman" w:hAnsi="Times New Roman"/>
          <w:sz w:val="21"/>
          <w:szCs w:val="21"/>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Investigational Medicinal Product Dossier ("</w:t>
      </w:r>
      <w:r>
        <w:rPr>
          <w:rFonts w:ascii="Times New Roman" w:cs="Times New Roman" w:eastAsia="Times New Roman" w:hAnsi="Times New Roman"/>
          <w:sz w:val="22"/>
          <w:szCs w:val="22"/>
          <w:b w:val="1"/>
          <w:bCs w:val="1"/>
          <w:color w:val="auto"/>
        </w:rPr>
        <w:t>IMPD</w:t>
      </w:r>
      <w:r>
        <w:rPr>
          <w:rFonts w:ascii="Times New Roman" w:cs="Times New Roman" w:eastAsia="Times New Roman" w:hAnsi="Times New Roman"/>
          <w:sz w:val="22"/>
          <w:szCs w:val="22"/>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2"/>
          <w:szCs w:val="22"/>
          <w:b w:val="1"/>
          <w:bCs w:val="1"/>
          <w:color w:val="auto"/>
        </w:rPr>
        <w:t>Clinical Trials Directive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87" w:orient="portrait"/>
          <w:cols w:equalWidth="0" w:num="1">
            <w:col w:w="11240"/>
          </w:cols>
          <w:pgMar w:left="320" w:top="110" w:right="339" w:bottom="0" w:gutter="0" w:footer="0" w:header="0"/>
          <w:type w:val="continuous"/>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1"/>
          <w:szCs w:val="21"/>
          <w:b w:val="1"/>
          <w:bCs w:val="1"/>
          <w:color w:val="auto"/>
        </w:rPr>
        <w:t>RMS</w:t>
      </w:r>
      <w:r>
        <w:rPr>
          <w:rFonts w:ascii="Times New Roman" w:cs="Times New Roman" w:eastAsia="Times New Roman" w:hAnsi="Times New Roman"/>
          <w:sz w:val="21"/>
          <w:szCs w:val="21"/>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tbl>
      <w:tblPr>
        <w:tblLayout w:type="fixed"/>
        <w:tblInd w:w="114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44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September 16, 2025</w:t>
            </w:r>
          </w:p>
        </w:tc>
      </w:tr>
      <w:tr>
        <w:trPr>
          <w:trHeight w:val="250"/>
        </w:trPr>
        <w:tc>
          <w:tcPr>
            <w:tcW w:w="432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tcBorders>
              <w:top w:val="single" w:sz="8" w:color="E6EFFF"/>
            </w:tcBorders>
            <w:shd w:val="clear" w:color="auto" w:fill="E6EFFF"/>
          </w:tcPr>
          <w:p>
            <w:pPr>
              <w:spacing w:after="0"/>
              <w:rPr>
                <w:sz w:val="21"/>
                <w:szCs w:val="21"/>
                <w:color w:val="auto"/>
              </w:rPr>
            </w:pPr>
          </w:p>
        </w:tc>
        <w:tc>
          <w:tcPr>
            <w:tcW w:w="4480" w:type="dxa"/>
            <w:vAlign w:val="bottom"/>
            <w:tcBorders>
              <w:top w:val="single" w:sz="8" w:color="auto"/>
            </w:tcBorders>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9"/>
              </w:rPr>
              <w:t>$34,750,000</w:t>
            </w:r>
            <w:r>
              <w:rPr>
                <w:rFonts w:ascii="Times New Roman" w:cs="Times New Roman" w:eastAsia="Times New Roman" w:hAnsi="Times New Roman"/>
                <w:sz w:val="28"/>
                <w:szCs w:val="28"/>
                <w:color w:val="auto"/>
                <w:w w:val="99"/>
                <w:vertAlign w:val="superscript"/>
              </w:rPr>
              <w:t>(2)</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25,188,217</w:t>
            </w:r>
            <w:r>
              <w:rPr>
                <w:rFonts w:ascii="Times New Roman" w:cs="Times New Roman" w:eastAsia="Times New Roman" w:hAnsi="Times New Roman"/>
                <w:sz w:val="29"/>
                <w:szCs w:val="29"/>
                <w:color w:val="auto"/>
                <w:w w:val="94"/>
                <w:vertAlign w:val="superscript"/>
              </w:rPr>
              <w:t>(3)</w:t>
            </w:r>
          </w:p>
        </w:tc>
      </w:tr>
      <w:tr>
        <w:trPr>
          <w:trHeight w:val="257"/>
        </w:trPr>
        <w:tc>
          <w:tcPr>
            <w:tcW w:w="45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3,994,716</w:t>
            </w:r>
            <w:r>
              <w:rPr>
                <w:rFonts w:ascii="Times New Roman" w:cs="Times New Roman" w:eastAsia="Times New Roman" w:hAnsi="Times New Roman"/>
                <w:sz w:val="29"/>
                <w:szCs w:val="29"/>
                <w:color w:val="auto"/>
                <w:w w:val="95"/>
                <w:vertAlign w:val="superscript"/>
              </w:rPr>
              <w:t>(4)</w:t>
            </w:r>
          </w:p>
        </w:tc>
      </w:tr>
      <w:tr>
        <w:trPr>
          <w:trHeight w:val="39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900" w:hanging="460"/>
        <w:spacing w:after="0"/>
        <w:tabs>
          <w:tab w:leader="none" w:pos="9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amount of Convertible Debentures issued and outstanding.</w:t>
      </w:r>
    </w:p>
    <w:p>
      <w:pPr>
        <w:spacing w:after="0" w:line="14"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On August 29, 2025, options to purchase an aggregate of 15,000 Common Shares at an exercise price of $11.00 per Common Share were granted under the Equity Incentive Plan.</w:t>
      </w:r>
    </w:p>
    <w:p>
      <w:pPr>
        <w:spacing w:after="0" w:line="2" w:lineRule="exact"/>
        <w:rPr>
          <w:rFonts w:ascii="Times New Roman" w:cs="Times New Roman" w:eastAsia="Times New Roman" w:hAnsi="Times New Roman"/>
          <w:sz w:val="22"/>
          <w:szCs w:val="22"/>
          <w:color w:val="auto"/>
        </w:rPr>
      </w:pPr>
    </w:p>
    <w:p>
      <w:pPr>
        <w:jc w:val="both"/>
        <w:ind w:left="880" w:hanging="440"/>
        <w:spacing w:after="0" w:line="234" w:lineRule="auto"/>
        <w:tabs>
          <w:tab w:leader="none" w:pos="9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 The Corporation will not receive any proceeds from any sale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by a Selling Securityholder.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660" w:type="dxa"/>
            <w:vAlign w:val="bottom"/>
            <w:gridSpan w:val="2"/>
          </w:tcPr>
          <w:p>
            <w:pPr>
              <w:jc w:val="center"/>
              <w:ind w:right="1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vMerge w:val="continue"/>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37"/>
        </w:trPr>
        <w:tc>
          <w:tcPr>
            <w:tcW w:w="7620" w:type="dxa"/>
            <w:vAlign w:val="bottom"/>
            <w:tcBorders>
              <w:top w:val="single" w:sz="8" w:color="E6EFFF"/>
            </w:tcBorders>
            <w:shd w:val="clear" w:color="auto" w:fill="E6EFFF"/>
          </w:tcPr>
          <w:p>
            <w:pPr>
              <w:spacing w:after="0" w:line="236"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7"/>
                <w:szCs w:val="27"/>
                <w:color w:val="auto"/>
                <w:vertAlign w:val="superscript"/>
              </w:rPr>
              <w:t>(5)</w:t>
            </w:r>
          </w:p>
        </w:tc>
        <w:tc>
          <w:tcPr>
            <w:tcW w:w="14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17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27,717,000</w:t>
            </w:r>
          </w:p>
        </w:tc>
        <w:tc>
          <w:tcPr>
            <w:tcW w:w="22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w w:val="98"/>
              </w:rPr>
              <w:t>24,368,000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Progression of the third Phase 3 study, EXTEND</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23,923,000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 (CYB004)</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the Phase 2 GAD study</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1,548,000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December 2025</w:t>
            </w:r>
            <w:r>
              <w:rPr>
                <w:rFonts w:ascii="Times New Roman" w:cs="Times New Roman" w:eastAsia="Times New Roman" w:hAnsi="Times New Roman"/>
                <w:sz w:val="29"/>
                <w:szCs w:val="29"/>
                <w:color w:val="auto"/>
                <w:w w:val="96"/>
                <w:vertAlign w:val="superscript"/>
              </w:rPr>
              <w:t>(8)</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readout from the Phase 2 GAD study</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594,000</w:t>
            </w:r>
          </w:p>
        </w:tc>
        <w:tc>
          <w:tcPr>
            <w:tcW w:w="220" w:type="dxa"/>
            <w:vAlign w:val="bottom"/>
            <w:shd w:val="clear" w:color="auto" w:fill="E6EFFF"/>
          </w:tcPr>
          <w:p>
            <w:pPr>
              <w:spacing w:after="0"/>
              <w:rPr>
                <w:sz w:val="18"/>
                <w:szCs w:val="18"/>
                <w:color w:val="auto"/>
              </w:rPr>
            </w:pPr>
          </w:p>
        </w:tc>
        <w:tc>
          <w:tcPr>
            <w:tcW w:w="196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Phenethylamine and Tryptamine Derivatives Program (CYB005)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Deliver a drug development candidate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346,000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4"/>
              </w:rPr>
              <w:t>Q3 2026</w:t>
            </w:r>
            <w:r>
              <w:rPr>
                <w:rFonts w:ascii="Times New Roman" w:cs="Times New Roman" w:eastAsia="Times New Roman" w:hAnsi="Times New Roman"/>
                <w:sz w:val="29"/>
                <w:szCs w:val="29"/>
                <w:color w:val="auto"/>
                <w:w w:val="94"/>
                <w:vertAlign w:val="superscript"/>
              </w:rPr>
              <w:t>(9)</w:t>
            </w:r>
          </w:p>
        </w:tc>
        <w:tc>
          <w:tcPr>
            <w:tcW w:w="0" w:type="dxa"/>
            <w:vAlign w:val="bottom"/>
          </w:tcPr>
          <w:p>
            <w:pPr>
              <w:spacing w:after="0"/>
              <w:rPr>
                <w:sz w:val="1"/>
                <w:szCs w:val="1"/>
                <w:color w:val="auto"/>
              </w:rPr>
            </w:pPr>
          </w:p>
        </w:tc>
      </w:tr>
      <w:tr>
        <w:trPr>
          <w:trHeight w:val="257"/>
        </w:trPr>
        <w:tc>
          <w:tcPr>
            <w:tcW w:w="7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13,704,000</w:t>
            </w:r>
          </w:p>
        </w:tc>
        <w:tc>
          <w:tcPr>
            <w:tcW w:w="2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92,200,000</w:t>
            </w: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660" w:hanging="436"/>
        <w:spacing w:after="0" w:line="241" w:lineRule="auto"/>
        <w:tabs>
          <w:tab w:leader="none" w:pos="6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700" w:hanging="476"/>
        <w:spacing w:after="0" w:line="230" w:lineRule="auto"/>
        <w:tabs>
          <w:tab w:leader="none" w:pos="7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660" w:hanging="436"/>
        <w:spacing w:after="0" w:line="230" w:lineRule="auto"/>
        <w:tabs>
          <w:tab w:leader="none" w:pos="6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660" w:hanging="436"/>
        <w:spacing w:after="0" w:line="234" w:lineRule="auto"/>
        <w:tabs>
          <w:tab w:leader="none" w:pos="6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ectPr>
          <w:pgSz w:w="11900" w:h="16838" w:orient="portrait"/>
          <w:cols w:equalWidth="0" w:num="1">
            <w:col w:w="11240"/>
          </w:cols>
          <w:pgMar w:left="320" w:top="360" w:right="339" w:bottom="424"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424" w:gutter="0" w:footer="0" w:header="0"/>
          <w:type w:val="continuous"/>
        </w:sectPr>
      </w:pPr>
    </w:p>
    <w:bookmarkStart w:id="75" w:name="page76"/>
    <w:bookmarkEnd w:id="75"/>
    <w:p>
      <w:pPr>
        <w:ind w:left="660" w:hanging="436"/>
        <w:spacing w:after="0" w:line="242" w:lineRule="auto"/>
        <w:tabs>
          <w:tab w:leader="none" w:pos="6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jc w:val="both"/>
        <w:ind w:left="660" w:hanging="436"/>
        <w:spacing w:after="0" w:line="230" w:lineRule="auto"/>
        <w:tabs>
          <w:tab w:leader="none" w:pos="6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2" w:lineRule="exact"/>
        <w:rPr>
          <w:rFonts w:ascii="Times New Roman" w:cs="Times New Roman" w:eastAsia="Times New Roman" w:hAnsi="Times New Roman"/>
          <w:sz w:val="22"/>
          <w:szCs w:val="22"/>
          <w:color w:val="auto"/>
        </w:rPr>
      </w:pPr>
    </w:p>
    <w:p>
      <w:pPr>
        <w:jc w:val="both"/>
        <w:ind w:left="660" w:hanging="436"/>
        <w:spacing w:after="0" w:line="233" w:lineRule="auto"/>
        <w:tabs>
          <w:tab w:leader="none" w:pos="6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Negative Operating Cash Flow”.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Prospectus may also from time to time, relate to the Offering of Securities by way of a secondary offering (each, a "</w:t>
      </w:r>
      <w:r>
        <w:rPr>
          <w:rFonts w:ascii="Times New Roman" w:cs="Times New Roman" w:eastAsia="Times New Roman" w:hAnsi="Times New Roman"/>
          <w:sz w:val="22"/>
          <w:szCs w:val="22"/>
          <w:b w:val="1"/>
          <w:bCs w:val="1"/>
          <w:color w:val="auto"/>
        </w:rPr>
        <w:t>Secondary Offering</w:t>
      </w:r>
      <w:r>
        <w:rPr>
          <w:rFonts w:ascii="Times New Roman" w:cs="Times New Roman" w:eastAsia="Times New Roman" w:hAnsi="Times New Roman"/>
          <w:sz w:val="22"/>
          <w:szCs w:val="22"/>
          <w:color w:val="auto"/>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p>
      <w:pPr>
        <w:ind w:left="540"/>
        <w:spacing w:after="0" w:line="259"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-280670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right="2460"/>
        <w:spacing w:after="0" w:line="420" w:lineRule="auto"/>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-496570</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-222250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79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98" w:lineRule="exact"/>
        <w:rPr>
          <w:sz w:val="20"/>
          <w:szCs w:val="20"/>
          <w:color w:val="auto"/>
        </w:rPr>
      </w:pPr>
    </w:p>
    <w:p>
      <w:pPr>
        <w:jc w:val="both"/>
        <w:ind w:left="540" w:right="40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6"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right="60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ind w:left="540"/>
        <w:spacing w:after="0" w:line="259"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-280670</wp:posOffset>
            </wp:positionV>
            <wp:extent cx="685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0"/>
        <w:spacing w:after="0" w:line="414" w:lineRule="auto"/>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-765810</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-491490</wp:posOffset>
            </wp:positionV>
            <wp:extent cx="68580"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-226060</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jc w:val="both"/>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ectPr>
          <w:pgSz w:w="11900" w:h="16838" w:orient="portrait"/>
          <w:cols w:equalWidth="0" w:num="1">
            <w:col w:w="11240"/>
          </w:cols>
          <w:pgMar w:left="320" w:top="111" w:right="339" w:bottom="923"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923" w:gutter="0" w:footer="0" w:header="0"/>
          <w:type w:val="continuous"/>
        </w:sectPr>
      </w:pPr>
    </w:p>
    <w:bookmarkStart w:id="82" w:name="page83"/>
    <w:bookmarkEnd w:id="82"/>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4" w:name="page85"/>
    <w:bookmarkEnd w:id="8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5940" w:firstLine="8"/>
        <w:spacing w:after="0" w:line="404" w:lineRule="auto"/>
        <w:tabs>
          <w:tab w:leader="none" w:pos="126" w:val="left"/>
        </w:tabs>
        <w:numPr>
          <w:ilvl w:val="0"/>
          <w:numId w:val="3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Negative Operating Cash Flow"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CBOE Canada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jc w:val="both"/>
        <w:spacing w:after="0" w:line="231" w:lineRule="auto"/>
        <w:rPr>
          <w:sz w:val="20"/>
          <w:szCs w:val="20"/>
          <w:color w:val="auto"/>
        </w:rPr>
      </w:pPr>
      <w:r>
        <w:rPr>
          <w:rFonts w:ascii="Times New Roman" w:cs="Times New Roman" w:eastAsia="Times New Roman" w:hAnsi="Times New Roman"/>
          <w:sz w:val="22"/>
          <w:szCs w:val="22"/>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 Registrable Common Shares</w:t>
      </w:r>
      <w:r>
        <w:rPr>
          <w:rFonts w:ascii="Times New Roman" w:cs="Times New Roman" w:eastAsia="Times New Roman" w:hAnsi="Times New Roman"/>
          <w:sz w:val="22"/>
          <w:szCs w:val="22"/>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ectPr>
          <w:pgSz w:w="11900" w:h="16838" w:orient="portrait"/>
          <w:cols w:equalWidth="0" w:num="1">
            <w:col w:w="11240"/>
          </w:cols>
          <w:pgMar w:left="320" w:top="111"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6" w:name="page87"/>
    <w:bookmarkEnd w:id="86"/>
    <w:p>
      <w:pPr>
        <w:jc w:val="both"/>
        <w:spacing w:after="0" w:line="259"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36" w:lineRule="exact"/>
        <w:rPr>
          <w:sz w:val="20"/>
          <w:szCs w:val="20"/>
          <w:color w:val="auto"/>
        </w:rPr>
      </w:pPr>
    </w:p>
    <w:p>
      <w:pPr>
        <w:jc w:val="center"/>
        <w:ind w:right="500"/>
        <w:spacing w:after="0" w:line="424"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53275"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1"/>
      <w:numFmt w:val="bullet"/>
      <w:start w:val="1"/>
    </w:lvl>
  </w:abstractNum>
  <w:abstractNum w:abstractNumId="5">
    <w:nsid w:val="257130A3"/>
    <w:multiLevelType w:val="hybridMultilevel"/>
    <w:lvl w:ilvl="0">
      <w:lvlJc w:val="left"/>
      <w:lvlText w:val="6"/>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lowerRoman"/>
      <w:start w:val="1"/>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2"/>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3"/>
      <w:numFmt w:val="bullet"/>
      <w:start w:val="1"/>
    </w:lvl>
  </w:abstractNum>
  <w:abstractNum w:abstractNumId="24">
    <w:nsid w:val="2901D82"/>
    <w:multiLevelType w:val="hybridMultilevel"/>
    <w:lvl w:ilvl="0">
      <w:lvlJc w:val="left"/>
      <w:lvlText w:val="5"/>
      <w:numFmt w:val="bullet"/>
      <w:start w:val="1"/>
    </w:lvl>
  </w:abstractNum>
  <w:abstractNum w:abstractNumId="25">
    <w:nsid w:val="3A95F874"/>
    <w:multiLevelType w:val="hybridMultilevel"/>
    <w:lvl w:ilvl="0">
      <w:lvlJc w:val="left"/>
      <w:lvlText w:val="9"/>
      <w:numFmt w:val="bullet"/>
      <w:start w:val="1"/>
    </w:lvl>
  </w:abstractNum>
  <w:abstractNum w:abstractNumId="26">
    <w:nsid w:val="8138641"/>
    <w:multiLevelType w:val="hybridMultilevel"/>
    <w:lvl w:ilvl="0">
      <w:lvlJc w:val="left"/>
      <w:lvlText w:val="%1"/>
      <w:numFmt w:val="decimal"/>
      <w:start w:val="10"/>
    </w:lvl>
  </w:abstractNum>
  <w:abstractNum w:abstractNumId="27">
    <w:nsid w:val="1E7FF521"/>
    <w:multiLevelType w:val="hybridMultilevel"/>
    <w:lvl w:ilvl="0">
      <w:lvlJc w:val="left"/>
      <w:lvlText w:val="%1"/>
      <w:numFmt w:val="decimal"/>
      <w:start w:val="11"/>
    </w:lvl>
  </w:abstractNum>
  <w:abstractNum w:abstractNumId="28">
    <w:nsid w:val="7C3DBD3D"/>
    <w:multiLevelType w:val="hybridMultilevel"/>
    <w:lvl w:ilvl="0">
      <w:lvlJc w:val="left"/>
      <w:lvlText w:val="%1"/>
      <w:numFmt w:val="decimal"/>
      <w:start w:val="14"/>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7"/>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2025-12-30T16:14:51Z</dcterms:created>
  <dcterms:modified xsi:type="dcterms:W3CDTF">2025-12-30T16:14:51Z</dcterms:modified>
</cp:coreProperties>
</file>