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6-K</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REPORT OF FOREIGN PRIVATE ISSUER PURSUANT TO RULE 13a-16 OR 15d-16</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color w:val="auto"/>
        </w:rPr>
        <w:t>For the month of November, 2022.</w:t>
      </w:r>
    </w:p>
    <w:p>
      <w:pPr>
        <w:spacing w:after="0" w:line="8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001-40673</w:t>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Cybin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Charter)</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100 King Street West, Suite 5600, Toronto, Ontario, M5X 1C9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6" w:lineRule="exact"/>
        <w:rPr>
          <w:sz w:val="24"/>
          <w:szCs w:val="24"/>
          <w:color w:val="auto"/>
        </w:rPr>
      </w:pPr>
    </w:p>
    <w:p>
      <w:pPr>
        <w:spacing w:after="0" w:line="253" w:lineRule="exact"/>
        <w:rPr>
          <w:sz w:val="20"/>
          <w:szCs w:val="20"/>
          <w:color w:val="auto"/>
        </w:rPr>
      </w:pPr>
      <w:r>
        <w:rPr>
          <w:rFonts w:ascii="Arial" w:cs="Arial" w:eastAsia="Arial" w:hAnsi="Arial"/>
          <w:sz w:val="16"/>
          <w:szCs w:val="16"/>
          <w:color w:val="auto"/>
        </w:rPr>
        <w:t xml:space="preserve">Form 20-F </w:t>
      </w:r>
      <w:r>
        <w:rPr>
          <w:rFonts w:ascii="Arial" w:cs="Arial" w:eastAsia="Arial" w:hAnsi="Arial"/>
          <w:sz w:val="22"/>
          <w:szCs w:val="22"/>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0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Note</w:t>
      </w:r>
      <w:r>
        <w:rPr>
          <w:rFonts w:ascii="Arial" w:cs="Arial" w:eastAsia="Arial" w:hAnsi="Arial"/>
          <w:sz w:val="15"/>
          <w:szCs w:val="15"/>
          <w:color w:val="auto"/>
        </w:rPr>
        <w:t>: Regulation S-T Rule 101(b)(1) only permits the submission in paper of a Form 6-K if submitted solely to provide an attached annual report to security holders.</w:t>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3" w:lineRule="exact"/>
        <w:rPr>
          <w:sz w:val="24"/>
          <w:szCs w:val="24"/>
          <w:color w:val="auto"/>
        </w:rPr>
      </w:pPr>
    </w:p>
    <w:p>
      <w:pPr>
        <w:ind w:right="20"/>
        <w:spacing w:after="0" w:line="251"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 registrant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INCORPORATION BY REFERENCE</w:t>
      </w:r>
    </w:p>
    <w:p>
      <w:pPr>
        <w:spacing w:after="0" w:line="8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Exhibits 99.1 - 99.2 of this Form 6-K of Cybin Inc. (the "Company") are hereby incorporated by reference into the Registration Statement on Form F-10 (File No.</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479"/>
        <w:spacing w:after="0"/>
        <w:rPr>
          <w:sz w:val="20"/>
          <w:szCs w:val="20"/>
          <w:color w:val="auto"/>
        </w:rPr>
      </w:pPr>
      <w:r>
        <w:rPr>
          <w:rFonts w:ascii="Arial" w:cs="Arial" w:eastAsia="Arial" w:hAnsi="Arial"/>
          <w:sz w:val="16"/>
          <w:szCs w:val="16"/>
          <w:b w:val="1"/>
          <w:bCs w:val="1"/>
          <w:color w:val="auto"/>
        </w:rPr>
        <w:t>SIGNATURE</w:t>
      </w:r>
    </w:p>
    <w:p>
      <w:pPr>
        <w:spacing w:after="0" w:line="89" w:lineRule="exact"/>
        <w:rPr>
          <w:sz w:val="20"/>
          <w:szCs w:val="20"/>
          <w:color w:val="auto"/>
        </w:rPr>
      </w:pPr>
    </w:p>
    <w:p>
      <w:pPr>
        <w:ind w:firstLine="586"/>
        <w:spacing w:after="0" w:line="26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6"/>
                <w:szCs w:val="16"/>
                <w:b w:val="1"/>
                <w:bCs w:val="1"/>
                <w:color w:val="auto"/>
              </w:rPr>
              <w:t>CYBIN INC.</w:t>
            </w:r>
          </w:p>
        </w:tc>
      </w:tr>
      <w:tr>
        <w:trPr>
          <w:trHeight w:val="232"/>
        </w:trPr>
        <w:tc>
          <w:tcPr>
            <w:tcW w:w="5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6"/>
                <w:szCs w:val="16"/>
                <w:color w:val="auto"/>
              </w:rPr>
              <w:t>(Registrant)</w:t>
            </w:r>
          </w:p>
        </w:tc>
      </w:tr>
      <w:tr>
        <w:trPr>
          <w:trHeight w:val="471"/>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5100" w:type="dxa"/>
            <w:vAlign w:val="bottom"/>
          </w:tcPr>
          <w:p>
            <w:pPr>
              <w:ind w:left="160"/>
              <w:spacing w:after="0"/>
              <w:rPr>
                <w:sz w:val="20"/>
                <w:szCs w:val="20"/>
                <w:color w:val="auto"/>
              </w:rPr>
            </w:pPr>
            <w:r>
              <w:rPr>
                <w:rFonts w:ascii="Arial" w:cs="Arial" w:eastAsia="Arial" w:hAnsi="Arial"/>
                <w:sz w:val="16"/>
                <w:szCs w:val="16"/>
                <w:color w:val="auto"/>
              </w:rPr>
              <w:t>November 14, 2022</w:t>
            </w: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By:</w:t>
            </w:r>
          </w:p>
        </w:tc>
        <w:tc>
          <w:tcPr>
            <w:tcW w:w="404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/s/ Doug Drysdale</w:t>
            </w:r>
          </w:p>
        </w:tc>
      </w:tr>
      <w:tr>
        <w:trPr>
          <w:trHeight w:val="218"/>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4040" w:type="dxa"/>
            <w:vAlign w:val="bottom"/>
          </w:tcPr>
          <w:p>
            <w:pPr>
              <w:ind w:left="160"/>
              <w:spacing w:after="0"/>
              <w:rPr>
                <w:sz w:val="20"/>
                <w:szCs w:val="20"/>
                <w:color w:val="auto"/>
              </w:rPr>
            </w:pPr>
            <w:r>
              <w:rPr>
                <w:rFonts w:ascii="Arial" w:cs="Arial" w:eastAsia="Arial" w:hAnsi="Arial"/>
                <w:sz w:val="16"/>
                <w:szCs w:val="16"/>
                <w:color w:val="auto"/>
              </w:rPr>
              <w:t>Doug Drysdale</w:t>
            </w:r>
          </w:p>
        </w:tc>
      </w:tr>
      <w:tr>
        <w:trPr>
          <w:trHeight w:val="232"/>
        </w:trPr>
        <w:tc>
          <w:tcPr>
            <w:tcW w:w="5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4040" w:type="dxa"/>
            <w:vAlign w:val="bottom"/>
          </w:tcPr>
          <w:p>
            <w:pPr>
              <w:ind w:left="16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0760"/>
          </w:cols>
          <w:pgMar w:left="320" w:top="1296" w:right="8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EXHIBIT INDEX</w:t>
            </w:r>
          </w:p>
        </w:tc>
        <w:tc>
          <w:tcPr>
            <w:tcW w:w="1300" w:type="dxa"/>
            <w:vAlign w:val="bottom"/>
            <w:gridSpan w:val="2"/>
          </w:tcPr>
          <w:p>
            <w:pPr>
              <w:spacing w:after="0"/>
              <w:rPr>
                <w:sz w:val="16"/>
                <w:szCs w:val="16"/>
                <w:color w:val="auto"/>
              </w:rPr>
            </w:pPr>
          </w:p>
        </w:tc>
      </w:tr>
      <w:tr>
        <w:trPr>
          <w:trHeight w:val="518"/>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99.1</w:t>
            </w:r>
          </w:p>
        </w:tc>
        <w:tc>
          <w:tcPr>
            <w:tcW w:w="64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1"/>
              </w:rPr>
              <w:t>Interim Consolidated Financial Statements for the three and six months ended September 30, 2022</w:t>
            </w:r>
          </w:p>
        </w:tc>
      </w:tr>
      <w:tr>
        <w:trPr>
          <w:trHeight w:val="212"/>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99.2</w:t>
            </w:r>
          </w:p>
        </w:tc>
        <w:tc>
          <w:tcPr>
            <w:tcW w:w="62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1"/>
              </w:rPr>
              <w:t>Management’s Discussion and Analysis for the three and six months ended September 30, 2022</w:t>
            </w:r>
          </w:p>
        </w:tc>
        <w:tc>
          <w:tcPr>
            <w:tcW w:w="180" w:type="dxa"/>
            <w:vAlign w:val="bottom"/>
          </w:tcPr>
          <w:p>
            <w:pPr>
              <w:spacing w:after="0"/>
              <w:rPr>
                <w:sz w:val="18"/>
                <w:szCs w:val="18"/>
                <w:color w:val="auto"/>
              </w:rPr>
            </w:pPr>
          </w:p>
        </w:tc>
      </w:tr>
      <w:tr>
        <w:trPr>
          <w:trHeight w:val="212"/>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99.3</w:t>
            </w:r>
          </w:p>
        </w:tc>
        <w:tc>
          <w:tcPr>
            <w:tcW w:w="6420" w:type="dxa"/>
            <w:vAlign w:val="bottom"/>
            <w:gridSpan w:val="7"/>
          </w:tcPr>
          <w:p>
            <w:pPr>
              <w:spacing w:after="0"/>
              <w:rPr>
                <w:sz w:val="20"/>
                <w:szCs w:val="20"/>
                <w:color w:val="auto"/>
              </w:rPr>
            </w:pPr>
            <w:r>
              <w:rPr>
                <w:rFonts w:ascii="Arial" w:cs="Arial" w:eastAsia="Arial" w:hAnsi="Arial"/>
                <w:sz w:val="16"/>
                <w:szCs w:val="16"/>
                <w:color w:val="0000FF"/>
              </w:rPr>
              <w:t>Certification of Interim Filings by CFO dated November 14, 2022</w:t>
            </w:r>
          </w:p>
        </w:tc>
      </w:tr>
      <w:tr>
        <w:trPr>
          <w:trHeight w:val="20"/>
        </w:trPr>
        <w:tc>
          <w:tcPr>
            <w:tcW w:w="112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12"/>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99.4</w:t>
            </w:r>
          </w:p>
        </w:tc>
        <w:tc>
          <w:tcPr>
            <w:tcW w:w="43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4"/>
              </w:rPr>
              <w:t>Certification of Interim Filings by CEO dated November 14, 2022</w:t>
            </w:r>
          </w:p>
        </w:tc>
        <w:tc>
          <w:tcPr>
            <w:tcW w:w="2100" w:type="dxa"/>
            <w:vAlign w:val="bottom"/>
            <w:gridSpan w:val="3"/>
          </w:tcPr>
          <w:p>
            <w:pPr>
              <w:spacing w:after="0"/>
              <w:rPr>
                <w:sz w:val="18"/>
                <w:szCs w:val="18"/>
                <w:color w:val="auto"/>
              </w:rPr>
            </w:pPr>
          </w:p>
        </w:tc>
      </w:tr>
      <w:tr>
        <w:trPr>
          <w:trHeight w:val="212"/>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99.5</w:t>
            </w:r>
          </w:p>
        </w:tc>
        <w:tc>
          <w:tcPr>
            <w:tcW w:w="6420" w:type="dxa"/>
            <w:vAlign w:val="bottom"/>
            <w:gridSpan w:val="7"/>
          </w:tcPr>
          <w:p>
            <w:pPr>
              <w:spacing w:after="0"/>
              <w:rPr>
                <w:sz w:val="20"/>
                <w:szCs w:val="20"/>
                <w:color w:val="auto"/>
              </w:rPr>
            </w:pPr>
            <w:r>
              <w:rPr>
                <w:rFonts w:ascii="Arial" w:cs="Arial" w:eastAsia="Arial" w:hAnsi="Arial"/>
                <w:sz w:val="16"/>
                <w:szCs w:val="16"/>
                <w:color w:val="0000FF"/>
              </w:rPr>
              <w:t>News Release dated November 14, 2022</w:t>
            </w:r>
          </w:p>
        </w:tc>
      </w:tr>
      <w:tr>
        <w:trPr>
          <w:trHeight w:val="20"/>
        </w:trPr>
        <w:tc>
          <w:tcPr>
            <w:tcW w:w="112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0119"/>
          </w:cols>
          <w:pgMar w:left="340" w:top="128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3080385</wp:posOffset>
            </wp:positionH>
            <wp:positionV relativeFrom="page">
              <wp:posOffset>2610485</wp:posOffset>
            </wp:positionV>
            <wp:extent cx="1396365" cy="8686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96365" cy="868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auto"/>
        </w:rPr>
        <w:t>CYBIN INC.</w:t>
      </w:r>
    </w:p>
    <w:p>
      <w:pPr>
        <w:spacing w:after="0" w:line="198" w:lineRule="exact"/>
        <w:rPr>
          <w:sz w:val="20"/>
          <w:szCs w:val="20"/>
          <w:color w:val="auto"/>
        </w:rPr>
      </w:pPr>
    </w:p>
    <w:p>
      <w:pPr>
        <w:jc w:val="center"/>
        <w:ind w:left="900" w:right="919"/>
        <w:spacing w:after="0" w:line="410" w:lineRule="auto"/>
        <w:rPr>
          <w:sz w:val="20"/>
          <w:szCs w:val="20"/>
          <w:color w:val="auto"/>
        </w:rPr>
      </w:pPr>
      <w:r>
        <w:rPr>
          <w:rFonts w:ascii="Arial" w:cs="Arial" w:eastAsia="Arial" w:hAnsi="Arial"/>
          <w:sz w:val="23"/>
          <w:szCs w:val="23"/>
          <w:b w:val="1"/>
          <w:bCs w:val="1"/>
          <w:color w:val="auto"/>
        </w:rPr>
        <w:t>CONDENSED INTERIM CONSOLIDATED FINANCIAL STATEMENTS FOR THE THREE AND SIX MONTHS ENDED SEPTEMBER 30, 2022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OUR SHAREHOLDERS</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The accompanying unaudited condensed interim consolidated financial statements of Cybin Inc. ("Cybin") have been prepared by and are the responsibility of Cybin's management in accordance with International Accounting Standards (“IAS”) 34, Interim Financial Reporting as issued by the International Accounting Standards Board ("IASB''). These unaudited condensed interim consolidated financial statements do not include all the information and notes required by International Financial Reporting Standards ("IFRS'') for annual financial statements and should be read in conjunction with Cybin’s annual financial statements and notes for the year ended March 31, 2022, which are available on SEDAR at </w:t>
      </w:r>
      <w:r>
        <w:rPr>
          <w:rFonts w:ascii="Arial" w:cs="Arial" w:eastAsia="Arial" w:hAnsi="Arial"/>
          <w:sz w:val="20"/>
          <w:szCs w:val="20"/>
          <w:u w:val="single" w:color="auto"/>
          <w:color w:val="0000E1"/>
        </w:rPr>
        <w:t>www.sedar.com</w:t>
      </w:r>
      <w:r>
        <w:rPr>
          <w:rFonts w:ascii="Arial" w:cs="Arial" w:eastAsia="Arial" w:hAnsi="Arial"/>
          <w:sz w:val="20"/>
          <w:szCs w:val="20"/>
          <w:color w:val="auto"/>
        </w:rPr>
        <w:t>.</w:t>
      </w:r>
    </w:p>
    <w:p>
      <w:pPr>
        <w:sectPr>
          <w:pgSz w:w="11900" w:h="16838" w:orient="portrait"/>
          <w:cols w:equalWidth="0" w:num="1">
            <w:col w:w="11260"/>
          </w:cols>
          <w:pgMar w:left="320" w:top="1440" w:right="319" w:bottom="1440" w:gutter="0" w:footer="0" w:header="0"/>
        </w:sectPr>
      </w:pPr>
    </w:p>
    <w:bookmarkStart w:id="5" w:name="page6"/>
    <w:bookmarkEnd w:id="5"/>
    <w:p>
      <w:pPr>
        <w:ind w:left="60"/>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0" w:right="3720"/>
        <w:spacing w:after="0" w:line="243" w:lineRule="auto"/>
        <w:rPr>
          <w:sz w:val="20"/>
          <w:szCs w:val="20"/>
          <w:color w:val="auto"/>
        </w:rPr>
      </w:pPr>
      <w:r>
        <w:rPr>
          <w:rFonts w:ascii="Arial" w:cs="Arial" w:eastAsia="Arial" w:hAnsi="Arial"/>
          <w:sz w:val="20"/>
          <w:szCs w:val="20"/>
          <w:b w:val="1"/>
          <w:bCs w:val="1"/>
          <w:color w:val="auto"/>
        </w:rPr>
        <w:t>CONDENSED INTERIM CONSOLIDATED STATEMENTS OF FINANCIAL POSITION (All amounts expressed in thousands of Canadian dollars)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71456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As at</w:t>
            </w:r>
          </w:p>
        </w:tc>
        <w:tc>
          <w:tcPr>
            <w:tcW w:w="2260" w:type="dxa"/>
            <w:vAlign w:val="bottom"/>
            <w:tcBorders>
              <w:bottom w:val="single" w:sz="8" w:color="auto"/>
            </w:tcBorders>
          </w:tcPr>
          <w:p>
            <w:pPr>
              <w:jc w:val="center"/>
              <w:ind w:left="967"/>
              <w:spacing w:after="0"/>
              <w:rPr>
                <w:sz w:val="20"/>
                <w:szCs w:val="20"/>
                <w:color w:val="auto"/>
              </w:rPr>
            </w:pPr>
            <w:r>
              <w:rPr>
                <w:rFonts w:ascii="Arial" w:cs="Arial" w:eastAsia="Arial" w:hAnsi="Arial"/>
                <w:sz w:val="15"/>
                <w:szCs w:val="15"/>
                <w:i w:val="1"/>
                <w:iCs w:val="1"/>
                <w:color w:val="auto"/>
                <w:w w:val="96"/>
              </w:rPr>
              <w:t>Notes</w:t>
            </w:r>
          </w:p>
        </w:tc>
        <w:tc>
          <w:tcPr>
            <w:tcW w:w="22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September 30, 2022</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March 31, 2022</w:t>
            </w:r>
          </w:p>
        </w:tc>
      </w:tr>
      <w:tr>
        <w:trPr>
          <w:trHeight w:val="381"/>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ASSETS</w:t>
            </w:r>
          </w:p>
        </w:tc>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8"/>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Cash</w:t>
            </w:r>
          </w:p>
        </w:tc>
        <w:tc>
          <w:tcPr>
            <w:tcW w:w="2260" w:type="dxa"/>
            <w:vAlign w:val="bottom"/>
          </w:tcPr>
          <w:p>
            <w:pPr>
              <w:spacing w:after="0"/>
              <w:rPr>
                <w:sz w:val="20"/>
                <w:szCs w:val="20"/>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29,937</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53,641</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2260" w:type="dxa"/>
            <w:vAlign w:val="bottom"/>
          </w:tcPr>
          <w:p>
            <w:pPr>
              <w:spacing w:after="0"/>
              <w:rPr>
                <w:sz w:val="19"/>
                <w:szCs w:val="19"/>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2,839</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2,102</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Prepaid expenses</w:t>
            </w:r>
          </w:p>
        </w:tc>
        <w:tc>
          <w:tcPr>
            <w:tcW w:w="2260" w:type="dxa"/>
            <w:vAlign w:val="bottom"/>
          </w:tcPr>
          <w:p>
            <w:pPr>
              <w:spacing w:after="0"/>
              <w:rPr>
                <w:sz w:val="19"/>
                <w:szCs w:val="19"/>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3,169</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1,271</w:t>
            </w:r>
          </w:p>
        </w:tc>
      </w:tr>
      <w:tr>
        <w:trPr>
          <w:trHeight w:val="220"/>
        </w:trPr>
        <w:tc>
          <w:tcPr>
            <w:tcW w:w="5260" w:type="dxa"/>
            <w:vAlign w:val="bottom"/>
          </w:tcPr>
          <w:p>
            <w:pPr>
              <w:ind w:left="620"/>
              <w:spacing w:after="0"/>
              <w:rPr>
                <w:sz w:val="20"/>
                <w:szCs w:val="20"/>
                <w:color w:val="auto"/>
              </w:rPr>
            </w:pPr>
            <w:r>
              <w:rPr>
                <w:rFonts w:ascii="Arial" w:cs="Arial" w:eastAsia="Arial" w:hAnsi="Arial"/>
                <w:sz w:val="15"/>
                <w:szCs w:val="15"/>
                <w:color w:val="auto"/>
              </w:rPr>
              <w:t>Other current assets</w:t>
            </w:r>
          </w:p>
        </w:tc>
        <w:tc>
          <w:tcPr>
            <w:tcW w:w="2260" w:type="dxa"/>
            <w:vAlign w:val="bottom"/>
          </w:tcPr>
          <w:p>
            <w:pPr>
              <w:spacing w:after="0"/>
              <w:rPr>
                <w:sz w:val="19"/>
                <w:szCs w:val="19"/>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2,073</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1,341</w:t>
            </w:r>
          </w:p>
        </w:tc>
      </w:tr>
      <w:tr>
        <w:trPr>
          <w:trHeight w:val="195"/>
        </w:trPr>
        <w:tc>
          <w:tcPr>
            <w:tcW w:w="5260" w:type="dxa"/>
            <w:vAlign w:val="bottom"/>
          </w:tcPr>
          <w:p>
            <w:pPr>
              <w:ind w:left="520"/>
              <w:spacing w:after="0"/>
              <w:rPr>
                <w:sz w:val="20"/>
                <w:szCs w:val="20"/>
                <w:color w:val="auto"/>
              </w:rPr>
            </w:pPr>
            <w:r>
              <w:rPr>
                <w:rFonts w:ascii="Arial" w:cs="Arial" w:eastAsia="Arial" w:hAnsi="Arial"/>
                <w:sz w:val="15"/>
                <w:szCs w:val="15"/>
                <w:color w:val="auto"/>
              </w:rPr>
              <w:t>Investments</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3</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278</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115"/>
        </w:trPr>
        <w:tc>
          <w:tcPr>
            <w:tcW w:w="526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18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Current Assets</w:t>
            </w:r>
          </w:p>
        </w:tc>
        <w:tc>
          <w:tcPr>
            <w:tcW w:w="2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38,296</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58,355</w:t>
            </w:r>
          </w:p>
        </w:tc>
      </w:tr>
      <w:tr>
        <w:trPr>
          <w:trHeight w:val="354"/>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Non-current</w:t>
            </w:r>
          </w:p>
        </w:tc>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Investments</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3</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242</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Equipment</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4</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565</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491</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Intangible assets</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5</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5,141</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2,083</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Goodwill</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6</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25,111</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22,892</w:t>
            </w:r>
          </w:p>
        </w:tc>
      </w:tr>
      <w:tr>
        <w:trPr>
          <w:trHeight w:val="115"/>
        </w:trPr>
        <w:tc>
          <w:tcPr>
            <w:tcW w:w="526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18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Non-Current Assets</w:t>
            </w:r>
          </w:p>
        </w:tc>
        <w:tc>
          <w:tcPr>
            <w:tcW w:w="2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30,817</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25,708</w:t>
            </w:r>
          </w:p>
        </w:tc>
      </w:tr>
      <w:tr>
        <w:trPr>
          <w:trHeight w:val="29"/>
        </w:trPr>
        <w:tc>
          <w:tcPr>
            <w:tcW w:w="5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ASSETS</w:t>
            </w:r>
          </w:p>
        </w:tc>
        <w:tc>
          <w:tcPr>
            <w:tcW w:w="2260" w:type="dxa"/>
            <w:vAlign w:val="bottom"/>
            <w:tcBorders>
              <w:bottom w:val="single" w:sz="8" w:color="auto"/>
            </w:tcBorders>
            <w:shd w:val="clear" w:color="auto" w:fill="D9D9D9"/>
          </w:tcPr>
          <w:p>
            <w:pPr>
              <w:spacing w:after="0"/>
              <w:rPr>
                <w:sz w:val="16"/>
                <w:szCs w:val="16"/>
                <w:color w:val="auto"/>
              </w:rPr>
            </w:pPr>
          </w:p>
        </w:tc>
        <w:tc>
          <w:tcPr>
            <w:tcW w:w="22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69,113</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84,063</w:t>
            </w: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LIABILITIES</w:t>
            </w:r>
          </w:p>
        </w:tc>
        <w:tc>
          <w:tcPr>
            <w:tcW w:w="22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8"/>
        </w:trPr>
        <w:tc>
          <w:tcPr>
            <w:tcW w:w="526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2"/>
        </w:trPr>
        <w:tc>
          <w:tcPr>
            <w:tcW w:w="5260" w:type="dxa"/>
            <w:vAlign w:val="bottom"/>
          </w:tcPr>
          <w:p>
            <w:pPr>
              <w:ind w:left="500"/>
              <w:spacing w:after="0"/>
              <w:rPr>
                <w:sz w:val="20"/>
                <w:szCs w:val="20"/>
                <w:color w:val="auto"/>
              </w:rPr>
            </w:pPr>
            <w:r>
              <w:rPr>
                <w:rFonts w:ascii="Arial" w:cs="Arial" w:eastAsia="Arial" w:hAnsi="Arial"/>
                <w:sz w:val="15"/>
                <w:szCs w:val="15"/>
                <w:color w:val="auto"/>
              </w:rPr>
              <w:t>Accounts payable and accrued liabilities</w:t>
            </w:r>
          </w:p>
        </w:tc>
        <w:tc>
          <w:tcPr>
            <w:tcW w:w="2260" w:type="dxa"/>
            <w:vAlign w:val="bottom"/>
          </w:tcPr>
          <w:p>
            <w:pPr>
              <w:spacing w:after="0"/>
              <w:rPr>
                <w:sz w:val="20"/>
                <w:szCs w:val="20"/>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4,882</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5,262</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Current portion of contingent consideration payable</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7</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2,646</w:t>
            </w:r>
          </w:p>
        </w:tc>
      </w:tr>
      <w:tr>
        <w:trPr>
          <w:trHeight w:val="115"/>
        </w:trPr>
        <w:tc>
          <w:tcPr>
            <w:tcW w:w="526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18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Current Liabilities</w:t>
            </w:r>
          </w:p>
        </w:tc>
        <w:tc>
          <w:tcPr>
            <w:tcW w:w="2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4,882</w:t>
            </w: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7,908</w:t>
            </w:r>
          </w:p>
        </w:tc>
      </w:tr>
      <w:tr>
        <w:trPr>
          <w:trHeight w:val="164"/>
        </w:trPr>
        <w:tc>
          <w:tcPr>
            <w:tcW w:w="5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w:t>
            </w:r>
          </w:p>
        </w:tc>
        <w:tc>
          <w:tcPr>
            <w:tcW w:w="2260" w:type="dxa"/>
            <w:vAlign w:val="bottom"/>
            <w:tcBorders>
              <w:bottom w:val="single" w:sz="8" w:color="auto"/>
            </w:tcBorders>
            <w:shd w:val="clear" w:color="auto" w:fill="D9D9D9"/>
          </w:tcPr>
          <w:p>
            <w:pPr>
              <w:spacing w:after="0"/>
              <w:rPr>
                <w:sz w:val="16"/>
                <w:szCs w:val="16"/>
                <w:color w:val="auto"/>
              </w:rPr>
            </w:pPr>
          </w:p>
        </w:tc>
        <w:tc>
          <w:tcPr>
            <w:tcW w:w="22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4,882</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7,908</w:t>
            </w: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SHAREHOLDERS' EQUITY</w:t>
            </w:r>
          </w:p>
        </w:tc>
        <w:tc>
          <w:tcPr>
            <w:tcW w:w="22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Share capital</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8</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149,558</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141,451</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Contributed surplus</w:t>
            </w:r>
          </w:p>
        </w:tc>
        <w:tc>
          <w:tcPr>
            <w:tcW w:w="2260" w:type="dxa"/>
            <w:vAlign w:val="bottom"/>
          </w:tcPr>
          <w:p>
            <w:pPr>
              <w:spacing w:after="0"/>
              <w:rPr>
                <w:sz w:val="19"/>
                <w:szCs w:val="19"/>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694</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525</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Options reserve</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8</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26,835</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23,783</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Warrants reserve</w:t>
            </w:r>
          </w:p>
        </w:tc>
        <w:tc>
          <w:tcPr>
            <w:tcW w:w="2260" w:type="dxa"/>
            <w:vAlign w:val="bottom"/>
          </w:tcPr>
          <w:p>
            <w:pPr>
              <w:jc w:val="center"/>
              <w:ind w:left="947"/>
              <w:spacing w:after="0"/>
              <w:rPr>
                <w:sz w:val="20"/>
                <w:szCs w:val="20"/>
                <w:color w:val="auto"/>
              </w:rPr>
            </w:pPr>
            <w:r>
              <w:rPr>
                <w:rFonts w:ascii="Arial" w:cs="Arial" w:eastAsia="Arial" w:hAnsi="Arial"/>
                <w:sz w:val="15"/>
                <w:szCs w:val="15"/>
                <w:i w:val="1"/>
                <w:iCs w:val="1"/>
                <w:color w:val="auto"/>
                <w:w w:val="95"/>
              </w:rPr>
              <w:t>8</w:t>
            </w: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11,270</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11,423</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Accumulated other comprehensive loss</w:t>
            </w:r>
          </w:p>
        </w:tc>
        <w:tc>
          <w:tcPr>
            <w:tcW w:w="2260" w:type="dxa"/>
            <w:vAlign w:val="bottom"/>
          </w:tcPr>
          <w:p>
            <w:pPr>
              <w:spacing w:after="0"/>
              <w:rPr>
                <w:sz w:val="19"/>
                <w:szCs w:val="19"/>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(437)</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(366)</w:t>
            </w:r>
          </w:p>
        </w:tc>
      </w:tr>
      <w:tr>
        <w:trPr>
          <w:trHeight w:val="220"/>
        </w:trPr>
        <w:tc>
          <w:tcPr>
            <w:tcW w:w="5260" w:type="dxa"/>
            <w:vAlign w:val="bottom"/>
          </w:tcPr>
          <w:p>
            <w:pPr>
              <w:ind w:left="500"/>
              <w:spacing w:after="0"/>
              <w:rPr>
                <w:sz w:val="20"/>
                <w:szCs w:val="20"/>
                <w:color w:val="auto"/>
              </w:rPr>
            </w:pPr>
            <w:r>
              <w:rPr>
                <w:rFonts w:ascii="Arial" w:cs="Arial" w:eastAsia="Arial" w:hAnsi="Arial"/>
                <w:sz w:val="15"/>
                <w:szCs w:val="15"/>
                <w:color w:val="auto"/>
              </w:rPr>
              <w:t>Deficit</w:t>
            </w:r>
          </w:p>
        </w:tc>
        <w:tc>
          <w:tcPr>
            <w:tcW w:w="2260" w:type="dxa"/>
            <w:vAlign w:val="bottom"/>
          </w:tcPr>
          <w:p>
            <w:pPr>
              <w:spacing w:after="0"/>
              <w:rPr>
                <w:sz w:val="19"/>
                <w:szCs w:val="19"/>
                <w:color w:val="auto"/>
              </w:rPr>
            </w:pPr>
          </w:p>
        </w:tc>
        <w:tc>
          <w:tcPr>
            <w:tcW w:w="2200" w:type="dxa"/>
            <w:vAlign w:val="bottom"/>
          </w:tcPr>
          <w:p>
            <w:pPr>
              <w:jc w:val="right"/>
              <w:ind w:right="387"/>
              <w:spacing w:after="0"/>
              <w:rPr>
                <w:sz w:val="20"/>
                <w:szCs w:val="20"/>
                <w:color w:val="auto"/>
              </w:rPr>
            </w:pPr>
            <w:r>
              <w:rPr>
                <w:rFonts w:ascii="Arial" w:cs="Arial" w:eastAsia="Arial" w:hAnsi="Arial"/>
                <w:sz w:val="15"/>
                <w:szCs w:val="15"/>
                <w:b w:val="1"/>
                <w:bCs w:val="1"/>
                <w:color w:val="auto"/>
              </w:rPr>
              <w:t>(123,689)</w:t>
            </w: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(100,661)</w:t>
            </w:r>
          </w:p>
        </w:tc>
      </w:tr>
      <w:tr>
        <w:trPr>
          <w:trHeight w:val="115"/>
        </w:trPr>
        <w:tc>
          <w:tcPr>
            <w:tcW w:w="526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187"/>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SHAREHOLDERS' EQUITY</w:t>
            </w:r>
          </w:p>
        </w:tc>
        <w:tc>
          <w:tcPr>
            <w:tcW w:w="2260" w:type="dxa"/>
            <w:vAlign w:val="bottom"/>
            <w:tcBorders>
              <w:bottom w:val="single" w:sz="8" w:color="auto"/>
            </w:tcBorders>
            <w:shd w:val="clear" w:color="auto" w:fill="D9D9D9"/>
          </w:tcPr>
          <w:p>
            <w:pPr>
              <w:spacing w:after="0"/>
              <w:rPr>
                <w:sz w:val="16"/>
                <w:szCs w:val="16"/>
                <w:color w:val="auto"/>
              </w:rPr>
            </w:pPr>
          </w:p>
        </w:tc>
        <w:tc>
          <w:tcPr>
            <w:tcW w:w="22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64,231</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76,155</w:t>
            </w:r>
          </w:p>
        </w:tc>
      </w:tr>
      <w:tr>
        <w:trPr>
          <w:trHeight w:val="29"/>
        </w:trPr>
        <w:tc>
          <w:tcPr>
            <w:tcW w:w="5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5"/>
        </w:trPr>
        <w:tc>
          <w:tcPr>
            <w:tcW w:w="526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 AND SHAREHOLDERS' EQUITY</w:t>
            </w:r>
          </w:p>
        </w:tc>
        <w:tc>
          <w:tcPr>
            <w:tcW w:w="2260" w:type="dxa"/>
            <w:vAlign w:val="bottom"/>
            <w:tcBorders>
              <w:bottom w:val="single" w:sz="8" w:color="auto"/>
            </w:tcBorders>
            <w:shd w:val="clear" w:color="auto" w:fill="D9D9D9"/>
          </w:tcPr>
          <w:p>
            <w:pPr>
              <w:spacing w:after="0"/>
              <w:rPr>
                <w:sz w:val="16"/>
                <w:szCs w:val="16"/>
                <w:color w:val="auto"/>
              </w:rPr>
            </w:pPr>
          </w:p>
        </w:tc>
        <w:tc>
          <w:tcPr>
            <w:tcW w:w="2200" w:type="dxa"/>
            <w:vAlign w:val="bottom"/>
            <w:tcBorders>
              <w:bottom w:val="single" w:sz="8" w:color="auto"/>
            </w:tcBorders>
            <w:shd w:val="clear" w:color="auto" w:fill="D9D9D9"/>
          </w:tcPr>
          <w:p>
            <w:pPr>
              <w:jc w:val="right"/>
              <w:ind w:right="387"/>
              <w:spacing w:after="0"/>
              <w:rPr>
                <w:sz w:val="20"/>
                <w:szCs w:val="20"/>
                <w:color w:val="auto"/>
              </w:rPr>
            </w:pPr>
            <w:r>
              <w:rPr>
                <w:rFonts w:ascii="Arial" w:cs="Arial" w:eastAsia="Arial" w:hAnsi="Arial"/>
                <w:sz w:val="15"/>
                <w:szCs w:val="15"/>
                <w:b w:val="1"/>
                <w:bCs w:val="1"/>
                <w:color w:val="auto"/>
              </w:rPr>
              <w:t>69,113</w:t>
            </w:r>
          </w:p>
        </w:tc>
        <w:tc>
          <w:tcPr>
            <w:tcW w:w="154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84,063</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Corporate information (note 1)</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Contracts and commitments (note 12)</w:t>
      </w:r>
    </w:p>
    <w:p>
      <w:pPr>
        <w:spacing w:after="0"/>
        <w:rPr>
          <w:sz w:val="20"/>
          <w:szCs w:val="20"/>
          <w:color w:val="auto"/>
        </w:rPr>
      </w:pPr>
      <w:r>
        <w:rPr>
          <w:rFonts w:ascii="Arial" w:cs="Arial" w:eastAsia="Arial" w:hAnsi="Arial"/>
          <w:sz w:val="15"/>
          <w:szCs w:val="15"/>
          <w:i w:val="1"/>
          <w:iCs w:val="1"/>
          <w:color w:val="auto"/>
        </w:rPr>
        <w:t>Subsequent events (note 16)</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condensed interim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These consolidation financial statements were approved for issue on November 14, 2022 by the board of directors and signed on its behalf by:</w:t>
      </w:r>
    </w:p>
    <w:p>
      <w:pPr>
        <w:spacing w:after="0" w:line="105" w:lineRule="exact"/>
        <w:rPr>
          <w:sz w:val="20"/>
          <w:szCs w:val="20"/>
          <w:color w:val="auto"/>
        </w:rPr>
      </w:pPr>
    </w:p>
    <w:p>
      <w:pPr>
        <w:spacing w:after="0"/>
        <w:tabs>
          <w:tab w:leader="none" w:pos="3220" w:val="left"/>
        </w:tabs>
        <w:rPr>
          <w:sz w:val="20"/>
          <w:szCs w:val="20"/>
          <w:color w:val="auto"/>
        </w:rPr>
      </w:pPr>
      <w:r>
        <w:rPr>
          <w:rFonts w:ascii="Arial" w:cs="Arial" w:eastAsia="Arial" w:hAnsi="Arial"/>
          <w:sz w:val="16"/>
          <w:szCs w:val="16"/>
          <w:i w:val="1"/>
          <w:iCs w:val="1"/>
          <w:color w:val="auto"/>
        </w:rPr>
        <w:t xml:space="preserve">/s/ Paul Glavine </w:t>
      </w:r>
      <w:r>
        <w:rPr>
          <w:rFonts w:ascii="Arial" w:cs="Arial" w:eastAsia="Arial" w:hAnsi="Arial"/>
          <w:sz w:val="16"/>
          <w:szCs w:val="16"/>
          <w:color w:val="auto"/>
        </w:rPr>
        <w:t>Director</w:t>
      </w:r>
      <w:r>
        <w:rPr>
          <w:sz w:val="20"/>
          <w:szCs w:val="20"/>
          <w:color w:val="auto"/>
        </w:rPr>
        <w:tab/>
      </w:r>
      <w:r>
        <w:rPr>
          <w:rFonts w:ascii="Arial" w:cs="Arial" w:eastAsia="Arial" w:hAnsi="Arial"/>
          <w:sz w:val="16"/>
          <w:szCs w:val="16"/>
          <w:i w:val="1"/>
          <w:iCs w:val="1"/>
          <w:color w:val="auto"/>
        </w:rPr>
        <w:t xml:space="preserve">/s/ Eric So </w:t>
      </w:r>
      <w:r>
        <w:rPr>
          <w:rFonts w:ascii="Arial" w:cs="Arial" w:eastAsia="Arial" w:hAnsi="Arial"/>
          <w:sz w:val="16"/>
          <w:szCs w:val="16"/>
          <w:color w:val="auto"/>
        </w:rPr>
        <w:t>Director</w:t>
      </w:r>
    </w:p>
    <w:p>
      <w:pPr>
        <w:sectPr>
          <w:pgSz w:w="11900" w:h="16838" w:orient="portrait"/>
          <w:cols w:equalWidth="0" w:num="1">
            <w:col w:w="11260"/>
          </w:cols>
          <w:pgMar w:left="320" w:top="171" w:right="319" w:bottom="1440" w:gutter="0" w:footer="0" w:header="0"/>
        </w:sectPr>
      </w:pPr>
    </w:p>
    <w:bookmarkStart w:id="6" w:name="page7"/>
    <w:bookmarkEnd w:id="6"/>
    <w:p>
      <w:pPr>
        <w:ind w:left="60"/>
        <w:spacing w:after="0"/>
        <w:rPr>
          <w:sz w:val="20"/>
          <w:szCs w:val="20"/>
          <w:color w:val="auto"/>
        </w:rPr>
      </w:pPr>
      <w:r>
        <w:rPr>
          <w:rFonts w:ascii="Arial" w:cs="Arial" w:eastAsia="Arial" w:hAnsi="Arial"/>
          <w:sz w:val="16"/>
          <w:szCs w:val="16"/>
          <w:b w:val="1"/>
          <w:bCs w:val="1"/>
          <w:color w:val="auto"/>
        </w:rPr>
        <w:t>CYBIN INC.</w:t>
      </w:r>
    </w:p>
    <w:p>
      <w:pPr>
        <w:spacing w:after="0" w:line="31" w:lineRule="exact"/>
        <w:rPr>
          <w:sz w:val="20"/>
          <w:szCs w:val="20"/>
          <w:color w:val="auto"/>
        </w:rPr>
      </w:pPr>
    </w:p>
    <w:p>
      <w:pPr>
        <w:jc w:val="both"/>
        <w:ind w:left="60" w:right="3780"/>
        <w:spacing w:after="0" w:line="262" w:lineRule="auto"/>
        <w:rPr>
          <w:sz w:val="20"/>
          <w:szCs w:val="20"/>
          <w:color w:val="auto"/>
        </w:rPr>
      </w:pPr>
      <w:r>
        <w:rPr>
          <w:rFonts w:ascii="Arial" w:cs="Arial" w:eastAsia="Arial" w:hAnsi="Arial"/>
          <w:sz w:val="16"/>
          <w:szCs w:val="16"/>
          <w:b w:val="1"/>
          <w:bCs w:val="1"/>
          <w:color w:val="auto"/>
        </w:rPr>
        <w:t>CONDENSED INTERIM CONSOLIDATED STATEMENTS OF LOSS AND COMPREHENSIVE LOSS (All amounts expressed in thousands of Canadian dollars, except share and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145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300" w:type="dxa"/>
            <w:vAlign w:val="bottom"/>
            <w:gridSpan w:val="2"/>
          </w:tcPr>
          <w:p>
            <w:pPr>
              <w:jc w:val="right"/>
              <w:ind w:right="347"/>
              <w:spacing w:after="0"/>
              <w:rPr>
                <w:sz w:val="20"/>
                <w:szCs w:val="20"/>
                <w:color w:val="auto"/>
              </w:rPr>
            </w:pPr>
            <w:r>
              <w:rPr>
                <w:rFonts w:ascii="Arial" w:cs="Arial" w:eastAsia="Arial" w:hAnsi="Arial"/>
                <w:sz w:val="16"/>
                <w:szCs w:val="16"/>
                <w:b w:val="1"/>
                <w:bCs w:val="1"/>
                <w:color w:val="auto"/>
              </w:rPr>
              <w:t>Three months ended</w:t>
            </w:r>
          </w:p>
        </w:tc>
        <w:tc>
          <w:tcPr>
            <w:tcW w:w="242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Six months ended September</w:t>
            </w:r>
          </w:p>
        </w:tc>
        <w:tc>
          <w:tcPr>
            <w:tcW w:w="0" w:type="dxa"/>
            <w:vAlign w:val="bottom"/>
          </w:tcPr>
          <w:p>
            <w:pPr>
              <w:spacing w:after="0"/>
              <w:rPr>
                <w:sz w:val="1"/>
                <w:szCs w:val="1"/>
                <w:color w:val="auto"/>
              </w:rPr>
            </w:pPr>
          </w:p>
        </w:tc>
      </w:tr>
      <w:tr>
        <w:trPr>
          <w:trHeight w:val="218"/>
        </w:trPr>
        <w:tc>
          <w:tcPr>
            <w:tcW w:w="5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ind w:right="587"/>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560"/>
              <w:spacing w:after="0"/>
              <w:rPr>
                <w:sz w:val="20"/>
                <w:szCs w:val="20"/>
                <w:color w:val="auto"/>
              </w:rPr>
            </w:pPr>
            <w:r>
              <w:rPr>
                <w:rFonts w:ascii="Arial" w:cs="Arial" w:eastAsia="Arial" w:hAnsi="Arial"/>
                <w:sz w:val="15"/>
                <w:szCs w:val="15"/>
                <w:i w:val="1"/>
                <w:iCs w:val="1"/>
                <w:color w:val="auto"/>
              </w:rPr>
              <w:t>Notes</w:t>
            </w: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2022</w:t>
            </w: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2021</w:t>
            </w:r>
          </w:p>
        </w:tc>
        <w:tc>
          <w:tcPr>
            <w:tcW w:w="14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2022</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403"/>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200"/>
              <w:spacing w:after="0"/>
              <w:rPr>
                <w:sz w:val="20"/>
                <w:szCs w:val="20"/>
                <w:color w:val="auto"/>
              </w:rPr>
            </w:pPr>
            <w:r>
              <w:rPr>
                <w:rFonts w:ascii="Arial" w:cs="Arial" w:eastAsia="Arial" w:hAnsi="Arial"/>
                <w:sz w:val="15"/>
                <w:szCs w:val="15"/>
                <w:color w:val="auto"/>
              </w:rPr>
              <w:t>Research</w:t>
            </w:r>
          </w:p>
        </w:tc>
        <w:tc>
          <w:tcPr>
            <w:tcW w:w="1140" w:type="dxa"/>
            <w:vAlign w:val="bottom"/>
          </w:tcPr>
          <w:p>
            <w:pPr>
              <w:jc w:val="center"/>
              <w:ind w:right="107"/>
              <w:spacing w:after="0"/>
              <w:rPr>
                <w:sz w:val="20"/>
                <w:szCs w:val="20"/>
                <w:color w:val="auto"/>
              </w:rPr>
            </w:pPr>
            <w:r>
              <w:rPr>
                <w:rFonts w:ascii="Arial" w:cs="Arial" w:eastAsia="Arial" w:hAnsi="Arial"/>
                <w:sz w:val="15"/>
                <w:szCs w:val="15"/>
                <w:i w:val="1"/>
                <w:iCs w:val="1"/>
                <w:color w:val="auto"/>
                <w:w w:val="95"/>
              </w:rPr>
              <w:t>11</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5,141</w:t>
            </w:r>
          </w:p>
        </w:tc>
        <w:tc>
          <w:tcPr>
            <w:tcW w:w="1080" w:type="dxa"/>
            <w:vAlign w:val="bottom"/>
          </w:tcPr>
          <w:p>
            <w:pPr>
              <w:jc w:val="right"/>
              <w:spacing w:after="0"/>
              <w:rPr>
                <w:sz w:val="20"/>
                <w:szCs w:val="20"/>
                <w:color w:val="auto"/>
              </w:rPr>
            </w:pPr>
            <w:r>
              <w:rPr>
                <w:rFonts w:ascii="Arial" w:cs="Arial" w:eastAsia="Arial" w:hAnsi="Arial"/>
                <w:sz w:val="15"/>
                <w:szCs w:val="15"/>
                <w:color w:val="auto"/>
              </w:rPr>
              <w:t>3,818</w:t>
            </w:r>
          </w:p>
        </w:tc>
        <w:tc>
          <w:tcPr>
            <w:tcW w:w="1420" w:type="dxa"/>
            <w:vAlign w:val="bottom"/>
          </w:tcPr>
          <w:p>
            <w:pPr>
              <w:jc w:val="right"/>
              <w:ind w:right="206"/>
              <w:spacing w:after="0"/>
              <w:rPr>
                <w:sz w:val="20"/>
                <w:szCs w:val="20"/>
                <w:color w:val="auto"/>
              </w:rPr>
            </w:pPr>
            <w:r>
              <w:rPr>
                <w:rFonts w:ascii="Arial" w:cs="Arial" w:eastAsia="Arial" w:hAnsi="Arial"/>
                <w:sz w:val="15"/>
                <w:szCs w:val="15"/>
                <w:b w:val="1"/>
                <w:bCs w:val="1"/>
                <w:color w:val="auto"/>
              </w:rPr>
              <w:t>11,189</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6,794</w:t>
            </w:r>
          </w:p>
        </w:tc>
        <w:tc>
          <w:tcPr>
            <w:tcW w:w="0" w:type="dxa"/>
            <w:vAlign w:val="bottom"/>
          </w:tcPr>
          <w:p>
            <w:pPr>
              <w:spacing w:after="0"/>
              <w:rPr>
                <w:sz w:val="1"/>
                <w:szCs w:val="1"/>
                <w:color w:val="auto"/>
              </w:rPr>
            </w:pPr>
          </w:p>
        </w:tc>
      </w:tr>
      <w:tr>
        <w:trPr>
          <w:trHeight w:val="220"/>
        </w:trPr>
        <w:tc>
          <w:tcPr>
            <w:tcW w:w="5400" w:type="dxa"/>
            <w:vAlign w:val="bottom"/>
          </w:tcPr>
          <w:p>
            <w:pPr>
              <w:ind w:left="200"/>
              <w:spacing w:after="0"/>
              <w:rPr>
                <w:sz w:val="20"/>
                <w:szCs w:val="20"/>
                <w:color w:val="auto"/>
              </w:rPr>
            </w:pPr>
            <w:r>
              <w:rPr>
                <w:rFonts w:ascii="Arial" w:cs="Arial" w:eastAsia="Arial" w:hAnsi="Arial"/>
                <w:sz w:val="15"/>
                <w:szCs w:val="15"/>
                <w:color w:val="auto"/>
              </w:rPr>
              <w:t>General and administrative costs</w:t>
            </w:r>
          </w:p>
        </w:tc>
        <w:tc>
          <w:tcPr>
            <w:tcW w:w="1140" w:type="dxa"/>
            <w:vAlign w:val="bottom"/>
          </w:tcPr>
          <w:p>
            <w:pPr>
              <w:jc w:val="center"/>
              <w:ind w:right="107"/>
              <w:spacing w:after="0"/>
              <w:rPr>
                <w:sz w:val="20"/>
                <w:szCs w:val="20"/>
                <w:color w:val="auto"/>
              </w:rPr>
            </w:pPr>
            <w:r>
              <w:rPr>
                <w:rFonts w:ascii="Arial" w:cs="Arial" w:eastAsia="Arial" w:hAnsi="Arial"/>
                <w:sz w:val="15"/>
                <w:szCs w:val="15"/>
                <w:i w:val="1"/>
                <w:iCs w:val="1"/>
                <w:color w:val="auto"/>
                <w:w w:val="95"/>
              </w:rPr>
              <w:t>10</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6,114</w:t>
            </w:r>
          </w:p>
        </w:tc>
        <w:tc>
          <w:tcPr>
            <w:tcW w:w="1080" w:type="dxa"/>
            <w:vAlign w:val="bottom"/>
          </w:tcPr>
          <w:p>
            <w:pPr>
              <w:jc w:val="right"/>
              <w:spacing w:after="0"/>
              <w:rPr>
                <w:sz w:val="20"/>
                <w:szCs w:val="20"/>
                <w:color w:val="auto"/>
              </w:rPr>
            </w:pPr>
            <w:r>
              <w:rPr>
                <w:rFonts w:ascii="Arial" w:cs="Arial" w:eastAsia="Arial" w:hAnsi="Arial"/>
                <w:sz w:val="15"/>
                <w:szCs w:val="15"/>
                <w:color w:val="auto"/>
              </w:rPr>
              <w:t>7,831</w:t>
            </w:r>
          </w:p>
        </w:tc>
        <w:tc>
          <w:tcPr>
            <w:tcW w:w="1420" w:type="dxa"/>
            <w:vAlign w:val="bottom"/>
          </w:tcPr>
          <w:p>
            <w:pPr>
              <w:jc w:val="right"/>
              <w:ind w:right="206"/>
              <w:spacing w:after="0"/>
              <w:rPr>
                <w:sz w:val="20"/>
                <w:szCs w:val="20"/>
                <w:color w:val="auto"/>
              </w:rPr>
            </w:pPr>
            <w:r>
              <w:rPr>
                <w:rFonts w:ascii="Arial" w:cs="Arial" w:eastAsia="Arial" w:hAnsi="Arial"/>
                <w:sz w:val="15"/>
                <w:szCs w:val="15"/>
                <w:b w:val="1"/>
                <w:bCs w:val="1"/>
                <w:color w:val="auto"/>
              </w:rPr>
              <w:t>11,306</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14,021</w:t>
            </w:r>
          </w:p>
        </w:tc>
        <w:tc>
          <w:tcPr>
            <w:tcW w:w="0" w:type="dxa"/>
            <w:vAlign w:val="bottom"/>
          </w:tcPr>
          <w:p>
            <w:pPr>
              <w:spacing w:after="0"/>
              <w:rPr>
                <w:sz w:val="1"/>
                <w:szCs w:val="1"/>
                <w:color w:val="auto"/>
              </w:rPr>
            </w:pPr>
          </w:p>
        </w:tc>
      </w:tr>
      <w:tr>
        <w:trPr>
          <w:trHeight w:val="220"/>
        </w:trPr>
        <w:tc>
          <w:tcPr>
            <w:tcW w:w="540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1140" w:type="dxa"/>
            <w:vAlign w:val="bottom"/>
          </w:tcPr>
          <w:p>
            <w:pPr>
              <w:jc w:val="center"/>
              <w:ind w:right="107"/>
              <w:spacing w:after="0"/>
              <w:rPr>
                <w:sz w:val="20"/>
                <w:szCs w:val="20"/>
                <w:color w:val="auto"/>
              </w:rPr>
            </w:pPr>
            <w:r>
              <w:rPr>
                <w:rFonts w:ascii="Arial" w:cs="Arial" w:eastAsia="Arial" w:hAnsi="Arial"/>
                <w:sz w:val="15"/>
                <w:szCs w:val="15"/>
                <w:i w:val="1"/>
                <w:iCs w:val="1"/>
                <w:color w:val="auto"/>
                <w:w w:val="95"/>
              </w:rPr>
              <w:t>8, 9</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1,072</w:t>
            </w:r>
          </w:p>
        </w:tc>
        <w:tc>
          <w:tcPr>
            <w:tcW w:w="1080" w:type="dxa"/>
            <w:vAlign w:val="bottom"/>
          </w:tcPr>
          <w:p>
            <w:pPr>
              <w:jc w:val="right"/>
              <w:spacing w:after="0"/>
              <w:rPr>
                <w:sz w:val="20"/>
                <w:szCs w:val="20"/>
                <w:color w:val="auto"/>
              </w:rPr>
            </w:pPr>
            <w:r>
              <w:rPr>
                <w:rFonts w:ascii="Arial" w:cs="Arial" w:eastAsia="Arial" w:hAnsi="Arial"/>
                <w:sz w:val="15"/>
                <w:szCs w:val="15"/>
                <w:color w:val="auto"/>
              </w:rPr>
              <w:t>5,457</w:t>
            </w:r>
          </w:p>
        </w:tc>
        <w:tc>
          <w:tcPr>
            <w:tcW w:w="1420" w:type="dxa"/>
            <w:vAlign w:val="bottom"/>
          </w:tcPr>
          <w:p>
            <w:pPr>
              <w:jc w:val="right"/>
              <w:ind w:right="206"/>
              <w:spacing w:after="0"/>
              <w:rPr>
                <w:sz w:val="20"/>
                <w:szCs w:val="20"/>
                <w:color w:val="auto"/>
              </w:rPr>
            </w:pPr>
            <w:r>
              <w:rPr>
                <w:rFonts w:ascii="Arial" w:cs="Arial" w:eastAsia="Arial" w:hAnsi="Arial"/>
                <w:sz w:val="15"/>
                <w:szCs w:val="15"/>
                <w:b w:val="1"/>
                <w:bCs w:val="1"/>
                <w:color w:val="auto"/>
              </w:rPr>
              <w:t>3,227</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10,230</w:t>
            </w:r>
          </w:p>
        </w:tc>
        <w:tc>
          <w:tcPr>
            <w:tcW w:w="0" w:type="dxa"/>
            <w:vAlign w:val="bottom"/>
          </w:tcPr>
          <w:p>
            <w:pPr>
              <w:spacing w:after="0"/>
              <w:rPr>
                <w:sz w:val="1"/>
                <w:szCs w:val="1"/>
                <w:color w:val="auto"/>
              </w:rPr>
            </w:pPr>
          </w:p>
        </w:tc>
      </w:tr>
      <w:tr>
        <w:trPr>
          <w:trHeight w:val="237"/>
        </w:trPr>
        <w:tc>
          <w:tcPr>
            <w:tcW w:w="5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4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EXPENSES</w:t>
            </w:r>
          </w:p>
        </w:tc>
        <w:tc>
          <w:tcPr>
            <w:tcW w:w="1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12,327</w:t>
            </w: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17,106</w:t>
            </w:r>
          </w:p>
        </w:tc>
        <w:tc>
          <w:tcPr>
            <w:tcW w:w="14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25,722</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31,045</w:t>
            </w:r>
          </w:p>
        </w:tc>
        <w:tc>
          <w:tcPr>
            <w:tcW w:w="0" w:type="dxa"/>
            <w:vAlign w:val="bottom"/>
          </w:tcPr>
          <w:p>
            <w:pPr>
              <w:spacing w:after="0"/>
              <w:rPr>
                <w:sz w:val="1"/>
                <w:szCs w:val="1"/>
                <w:color w:val="auto"/>
              </w:rPr>
            </w:pPr>
          </w:p>
        </w:tc>
      </w:tr>
      <w:tr>
        <w:trPr>
          <w:trHeight w:val="403"/>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200"/>
              <w:spacing w:after="0"/>
              <w:rPr>
                <w:sz w:val="20"/>
                <w:szCs w:val="20"/>
                <w:color w:val="auto"/>
              </w:rPr>
            </w:pPr>
            <w:r>
              <w:rPr>
                <w:rFonts w:ascii="Arial" w:cs="Arial" w:eastAsia="Arial" w:hAnsi="Arial"/>
                <w:sz w:val="15"/>
                <w:szCs w:val="15"/>
                <w:color w:val="auto"/>
              </w:rPr>
              <w:t>Foreign currency translation gain</w:t>
            </w:r>
          </w:p>
        </w:tc>
        <w:tc>
          <w:tcPr>
            <w:tcW w:w="1140" w:type="dxa"/>
            <w:vAlign w:val="bottom"/>
          </w:tcPr>
          <w:p>
            <w:pPr>
              <w:spacing w:after="0"/>
              <w:rPr>
                <w:sz w:val="19"/>
                <w:szCs w:val="19"/>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2,189</w:t>
            </w: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155</w:t>
            </w:r>
          </w:p>
        </w:tc>
        <w:tc>
          <w:tcPr>
            <w:tcW w:w="1420" w:type="dxa"/>
            <w:vAlign w:val="bottom"/>
          </w:tcPr>
          <w:p>
            <w:pPr>
              <w:jc w:val="right"/>
              <w:ind w:right="206"/>
              <w:spacing w:after="0"/>
              <w:rPr>
                <w:sz w:val="20"/>
                <w:szCs w:val="20"/>
                <w:color w:val="auto"/>
              </w:rPr>
            </w:pPr>
            <w:r>
              <w:rPr>
                <w:rFonts w:ascii="Arial" w:cs="Arial" w:eastAsia="Arial" w:hAnsi="Arial"/>
                <w:sz w:val="15"/>
                <w:szCs w:val="15"/>
                <w:b w:val="1"/>
                <w:bCs w:val="1"/>
                <w:color w:val="auto"/>
              </w:rPr>
              <w:t>2,714</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20"/>
        </w:trPr>
        <w:tc>
          <w:tcPr>
            <w:tcW w:w="540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1140" w:type="dxa"/>
            <w:vAlign w:val="bottom"/>
          </w:tcPr>
          <w:p>
            <w:pPr>
              <w:spacing w:after="0"/>
              <w:rPr>
                <w:sz w:val="19"/>
                <w:szCs w:val="19"/>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174</w:t>
            </w: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51</w:t>
            </w:r>
          </w:p>
        </w:tc>
        <w:tc>
          <w:tcPr>
            <w:tcW w:w="1420" w:type="dxa"/>
            <w:vAlign w:val="bottom"/>
          </w:tcPr>
          <w:p>
            <w:pPr>
              <w:jc w:val="right"/>
              <w:ind w:right="206"/>
              <w:spacing w:after="0"/>
              <w:rPr>
                <w:sz w:val="20"/>
                <w:szCs w:val="20"/>
                <w:color w:val="auto"/>
              </w:rPr>
            </w:pPr>
            <w:r>
              <w:rPr>
                <w:rFonts w:ascii="Arial" w:cs="Arial" w:eastAsia="Arial" w:hAnsi="Arial"/>
                <w:sz w:val="15"/>
                <w:szCs w:val="15"/>
                <w:b w:val="1"/>
                <w:bCs w:val="1"/>
                <w:color w:val="auto"/>
              </w:rPr>
              <w:t>298</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65"/>
        </w:trPr>
        <w:tc>
          <w:tcPr>
            <w:tcW w:w="5400" w:type="dxa"/>
            <w:vAlign w:val="bottom"/>
          </w:tcPr>
          <w:p>
            <w:pPr>
              <w:ind w:left="200"/>
              <w:spacing w:after="0" w:line="166" w:lineRule="exact"/>
              <w:rPr>
                <w:sz w:val="20"/>
                <w:szCs w:val="20"/>
                <w:color w:val="auto"/>
              </w:rPr>
            </w:pPr>
            <w:r>
              <w:rPr>
                <w:rFonts w:ascii="Arial" w:cs="Arial" w:eastAsia="Arial" w:hAnsi="Arial"/>
                <w:sz w:val="15"/>
                <w:szCs w:val="15"/>
                <w:color w:val="auto"/>
              </w:rPr>
              <w:t>Change in fair value of investments measured at fair value through profit or</w:t>
            </w:r>
          </w:p>
        </w:tc>
        <w:tc>
          <w:tcPr>
            <w:tcW w:w="1140" w:type="dxa"/>
            <w:vAlign w:val="bottom"/>
          </w:tcPr>
          <w:p>
            <w:pPr>
              <w:jc w:val="center"/>
              <w:ind w:right="107"/>
              <w:spacing w:after="0" w:line="166" w:lineRule="exact"/>
              <w:rPr>
                <w:sz w:val="20"/>
                <w:szCs w:val="20"/>
                <w:color w:val="auto"/>
              </w:rPr>
            </w:pPr>
            <w:r>
              <w:rPr>
                <w:rFonts w:ascii="Arial" w:cs="Arial" w:eastAsia="Arial" w:hAnsi="Arial"/>
                <w:sz w:val="15"/>
                <w:szCs w:val="15"/>
                <w:i w:val="1"/>
                <w:iCs w:val="1"/>
                <w:color w:val="auto"/>
                <w:w w:val="95"/>
              </w:rPr>
              <w:t>3, 14</w:t>
            </w:r>
          </w:p>
        </w:tc>
        <w:tc>
          <w:tcPr>
            <w:tcW w:w="122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12</w:t>
            </w:r>
          </w:p>
        </w:tc>
        <w:tc>
          <w:tcPr>
            <w:tcW w:w="1080" w:type="dxa"/>
            <w:vAlign w:val="bottom"/>
          </w:tcPr>
          <w:p>
            <w:pPr>
              <w:spacing w:after="0"/>
              <w:rPr>
                <w:sz w:val="14"/>
                <w:szCs w:val="14"/>
                <w:color w:val="auto"/>
              </w:rPr>
            </w:pPr>
          </w:p>
        </w:tc>
        <w:tc>
          <w:tcPr>
            <w:tcW w:w="1420" w:type="dxa"/>
            <w:vAlign w:val="bottom"/>
            <w:vMerge w:val="restart"/>
          </w:tcPr>
          <w:p>
            <w:pPr>
              <w:jc w:val="right"/>
              <w:ind w:right="206"/>
              <w:spacing w:after="0"/>
              <w:rPr>
                <w:sz w:val="20"/>
                <w:szCs w:val="20"/>
                <w:color w:val="auto"/>
              </w:rPr>
            </w:pPr>
            <w:r>
              <w:rPr>
                <w:rFonts w:ascii="Arial" w:cs="Arial" w:eastAsia="Arial" w:hAnsi="Arial"/>
                <w:sz w:val="15"/>
                <w:szCs w:val="15"/>
                <w:b w:val="1"/>
                <w:bCs w:val="1"/>
                <w:color w:val="auto"/>
              </w:rPr>
              <w:t>24</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400" w:type="dxa"/>
            <w:vAlign w:val="bottom"/>
          </w:tcPr>
          <w:p>
            <w:pPr>
              <w:ind w:left="240"/>
              <w:spacing w:after="0"/>
              <w:rPr>
                <w:sz w:val="20"/>
                <w:szCs w:val="20"/>
                <w:color w:val="auto"/>
              </w:rPr>
            </w:pPr>
            <w:r>
              <w:rPr>
                <w:rFonts w:ascii="Arial" w:cs="Arial" w:eastAsia="Arial" w:hAnsi="Arial"/>
                <w:sz w:val="15"/>
                <w:szCs w:val="15"/>
                <w:color w:val="auto"/>
              </w:rPr>
              <w:t>loss</w:t>
            </w:r>
          </w:p>
        </w:tc>
        <w:tc>
          <w:tcPr>
            <w:tcW w:w="1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420" w:type="dxa"/>
            <w:vAlign w:val="bottom"/>
            <w:vMerge w:val="continue"/>
          </w:tcPr>
          <w:p>
            <w:pPr>
              <w:spacing w:after="0"/>
              <w:rPr>
                <w:sz w:val="15"/>
                <w:szCs w:val="15"/>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5400" w:type="dxa"/>
            <w:vAlign w:val="bottom"/>
          </w:tcPr>
          <w:p>
            <w:pPr>
              <w:ind w:left="260"/>
              <w:spacing w:after="0"/>
              <w:rPr>
                <w:sz w:val="20"/>
                <w:szCs w:val="20"/>
                <w:color w:val="auto"/>
              </w:rPr>
            </w:pPr>
            <w:r>
              <w:rPr>
                <w:rFonts w:ascii="Arial" w:cs="Arial" w:eastAsia="Arial" w:hAnsi="Arial"/>
                <w:sz w:val="15"/>
                <w:szCs w:val="15"/>
                <w:color w:val="auto"/>
              </w:rPr>
              <w:t>Contingent consideration accretion</w:t>
            </w:r>
          </w:p>
        </w:tc>
        <w:tc>
          <w:tcPr>
            <w:tcW w:w="1140" w:type="dxa"/>
            <w:vAlign w:val="bottom"/>
          </w:tcPr>
          <w:p>
            <w:pPr>
              <w:jc w:val="center"/>
              <w:ind w:right="107"/>
              <w:spacing w:after="0"/>
              <w:rPr>
                <w:sz w:val="20"/>
                <w:szCs w:val="20"/>
                <w:color w:val="auto"/>
              </w:rPr>
            </w:pPr>
            <w:r>
              <w:rPr>
                <w:rFonts w:ascii="Arial" w:cs="Arial" w:eastAsia="Arial" w:hAnsi="Arial"/>
                <w:sz w:val="15"/>
                <w:szCs w:val="15"/>
                <w:i w:val="1"/>
                <w:iCs w:val="1"/>
                <w:color w:val="auto"/>
                <w:w w:val="95"/>
              </w:rPr>
              <w:t>7</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(70)</w:t>
            </w:r>
          </w:p>
        </w:tc>
        <w:tc>
          <w:tcPr>
            <w:tcW w:w="1420" w:type="dxa"/>
            <w:vAlign w:val="bottom"/>
          </w:tcPr>
          <w:p>
            <w:pPr>
              <w:jc w:val="right"/>
              <w:ind w:right="206"/>
              <w:spacing w:after="0"/>
              <w:rPr>
                <w:sz w:val="20"/>
                <w:szCs w:val="20"/>
                <w:color w:val="auto"/>
              </w:rPr>
            </w:pPr>
            <w:r>
              <w:rPr>
                <w:rFonts w:ascii="Arial" w:cs="Arial" w:eastAsia="Arial" w:hAnsi="Arial"/>
                <w:sz w:val="15"/>
                <w:szCs w:val="15"/>
                <w:b w:val="1"/>
                <w:bCs w:val="1"/>
                <w:color w:val="auto"/>
              </w:rPr>
              <w:t>(13)</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08"/>
        </w:trPr>
        <w:tc>
          <w:tcPr>
            <w:tcW w:w="5400" w:type="dxa"/>
            <w:vAlign w:val="bottom"/>
          </w:tcPr>
          <w:p>
            <w:pPr>
              <w:ind w:left="200"/>
              <w:spacing w:after="0"/>
              <w:rPr>
                <w:sz w:val="20"/>
                <w:szCs w:val="20"/>
                <w:color w:val="auto"/>
              </w:rPr>
            </w:pPr>
            <w:r>
              <w:rPr>
                <w:rFonts w:ascii="Arial" w:cs="Arial" w:eastAsia="Arial" w:hAnsi="Arial"/>
                <w:sz w:val="15"/>
                <w:szCs w:val="15"/>
                <w:color w:val="auto"/>
              </w:rPr>
              <w:t>Change in fair value of contingent consideration</w:t>
            </w:r>
          </w:p>
        </w:tc>
        <w:tc>
          <w:tcPr>
            <w:tcW w:w="1140" w:type="dxa"/>
            <w:vAlign w:val="bottom"/>
          </w:tcPr>
          <w:p>
            <w:pPr>
              <w:jc w:val="center"/>
              <w:ind w:right="107"/>
              <w:spacing w:after="0"/>
              <w:rPr>
                <w:sz w:val="20"/>
                <w:szCs w:val="20"/>
                <w:color w:val="auto"/>
              </w:rPr>
            </w:pPr>
            <w:r>
              <w:rPr>
                <w:rFonts w:ascii="Arial" w:cs="Arial" w:eastAsia="Arial" w:hAnsi="Arial"/>
                <w:sz w:val="15"/>
                <w:szCs w:val="15"/>
                <w:i w:val="1"/>
                <w:iCs w:val="1"/>
                <w:color w:val="auto"/>
                <w:w w:val="95"/>
              </w:rPr>
              <w:t>7</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(21)</w:t>
            </w:r>
          </w:p>
        </w:tc>
        <w:tc>
          <w:tcPr>
            <w:tcW w:w="1080" w:type="dxa"/>
            <w:vAlign w:val="bottom"/>
          </w:tcPr>
          <w:p>
            <w:pPr>
              <w:jc w:val="right"/>
              <w:spacing w:after="0"/>
              <w:rPr>
                <w:sz w:val="20"/>
                <w:szCs w:val="20"/>
                <w:color w:val="auto"/>
              </w:rPr>
            </w:pPr>
            <w:r>
              <w:rPr>
                <w:rFonts w:ascii="Arial" w:cs="Arial" w:eastAsia="Arial" w:hAnsi="Arial"/>
                <w:sz w:val="15"/>
                <w:szCs w:val="15"/>
                <w:color w:val="auto"/>
              </w:rPr>
              <w:t>(637)</w:t>
            </w:r>
          </w:p>
        </w:tc>
        <w:tc>
          <w:tcPr>
            <w:tcW w:w="1420" w:type="dxa"/>
            <w:vAlign w:val="bottom"/>
          </w:tcPr>
          <w:p>
            <w:pPr>
              <w:jc w:val="right"/>
              <w:ind w:right="206"/>
              <w:spacing w:after="0"/>
              <w:rPr>
                <w:sz w:val="20"/>
                <w:szCs w:val="20"/>
                <w:color w:val="auto"/>
              </w:rPr>
            </w:pPr>
            <w:r>
              <w:rPr>
                <w:rFonts w:ascii="Arial" w:cs="Arial" w:eastAsia="Arial" w:hAnsi="Arial"/>
                <w:sz w:val="15"/>
                <w:szCs w:val="15"/>
                <w:b w:val="1"/>
                <w:bCs w:val="1"/>
                <w:color w:val="auto"/>
              </w:rPr>
              <w:t>(329)</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(1,249)</w:t>
            </w:r>
          </w:p>
        </w:tc>
        <w:tc>
          <w:tcPr>
            <w:tcW w:w="0" w:type="dxa"/>
            <w:vAlign w:val="bottom"/>
          </w:tcPr>
          <w:p>
            <w:pPr>
              <w:spacing w:after="0"/>
              <w:rPr>
                <w:sz w:val="1"/>
                <w:szCs w:val="1"/>
                <w:color w:val="auto"/>
              </w:rPr>
            </w:pPr>
          </w:p>
        </w:tc>
      </w:tr>
      <w:tr>
        <w:trPr>
          <w:trHeight w:val="249"/>
        </w:trPr>
        <w:tc>
          <w:tcPr>
            <w:tcW w:w="5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4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OTHER INCOME (EXPENSES)</w:t>
            </w:r>
          </w:p>
        </w:tc>
        <w:tc>
          <w:tcPr>
            <w:tcW w:w="1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2,354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(501)</w:t>
            </w:r>
          </w:p>
        </w:tc>
        <w:tc>
          <w:tcPr>
            <w:tcW w:w="14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2,694</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(1,279)</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4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1140" w:type="dxa"/>
            <w:vAlign w:val="bottom"/>
            <w:tcBorders>
              <w:bottom w:val="single" w:sz="8" w:color="auto"/>
            </w:tcBorders>
            <w:shd w:val="clear" w:color="auto" w:fill="D9D9D9"/>
          </w:tcPr>
          <w:p>
            <w:pPr>
              <w:spacing w:after="0"/>
              <w:rPr>
                <w:sz w:val="16"/>
                <w:szCs w:val="16"/>
                <w:color w:val="auto"/>
              </w:rPr>
            </w:pPr>
          </w:p>
        </w:tc>
        <w:tc>
          <w:tcPr>
            <w:tcW w:w="1220" w:type="dxa"/>
            <w:vAlign w:val="bottom"/>
            <w:tcBorders>
              <w:bottom w:val="single" w:sz="8" w:color="auto"/>
            </w:tcBorders>
            <w:shd w:val="clear" w:color="auto" w:fill="D9D9D9"/>
          </w:tcPr>
          <w:p>
            <w:pPr>
              <w:jc w:val="right"/>
              <w:ind w:right="126"/>
              <w:spacing w:after="0"/>
              <w:rPr>
                <w:sz w:val="20"/>
                <w:szCs w:val="20"/>
                <w:color w:val="auto"/>
              </w:rPr>
            </w:pPr>
            <w:r>
              <w:rPr>
                <w:rFonts w:ascii="Arial" w:cs="Arial" w:eastAsia="Arial" w:hAnsi="Arial"/>
                <w:sz w:val="15"/>
                <w:szCs w:val="15"/>
                <w:b w:val="1"/>
                <w:bCs w:val="1"/>
                <w:color w:val="auto"/>
              </w:rPr>
              <w:t>(9,973)</w:t>
            </w:r>
          </w:p>
        </w:tc>
        <w:tc>
          <w:tcPr>
            <w:tcW w:w="108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(17,607)</w:t>
            </w:r>
          </w:p>
        </w:tc>
        <w:tc>
          <w:tcPr>
            <w:tcW w:w="1420" w:type="dxa"/>
            <w:vAlign w:val="bottom"/>
            <w:tcBorders>
              <w:bottom w:val="single" w:sz="8" w:color="auto"/>
            </w:tcBorders>
            <w:shd w:val="clear" w:color="auto" w:fill="D9D9D9"/>
          </w:tcPr>
          <w:p>
            <w:pPr>
              <w:jc w:val="right"/>
              <w:ind w:right="206"/>
              <w:spacing w:after="0"/>
              <w:rPr>
                <w:sz w:val="20"/>
                <w:szCs w:val="20"/>
                <w:color w:val="auto"/>
              </w:rPr>
            </w:pPr>
            <w:r>
              <w:rPr>
                <w:rFonts w:ascii="Arial" w:cs="Arial" w:eastAsia="Arial" w:hAnsi="Arial"/>
                <w:sz w:val="15"/>
                <w:szCs w:val="15"/>
                <w:b w:val="1"/>
                <w:bCs w:val="1"/>
                <w:color w:val="auto"/>
              </w:rPr>
              <w:t>(23,028)</w:t>
            </w:r>
          </w:p>
        </w:tc>
        <w:tc>
          <w:tcPr>
            <w:tcW w:w="100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(32,324)</w:t>
            </w:r>
          </w:p>
        </w:tc>
        <w:tc>
          <w:tcPr>
            <w:tcW w:w="0" w:type="dxa"/>
            <w:vAlign w:val="bottom"/>
          </w:tcPr>
          <w:p>
            <w:pPr>
              <w:spacing w:after="0"/>
              <w:rPr>
                <w:sz w:val="1"/>
                <w:szCs w:val="1"/>
                <w:color w:val="auto"/>
              </w:rPr>
            </w:pPr>
          </w:p>
        </w:tc>
      </w:tr>
      <w:tr>
        <w:trPr>
          <w:trHeight w:val="403"/>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OTHER COMPREHENSIVE INCOME (LOSS)</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Foreign currency translation differences for foreign operations</w:t>
            </w:r>
          </w:p>
        </w:tc>
        <w:tc>
          <w:tcPr>
            <w:tcW w:w="1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(187)</w:t>
            </w: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515</w:t>
            </w:r>
          </w:p>
        </w:tc>
        <w:tc>
          <w:tcPr>
            <w:tcW w:w="14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(71)</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190"/>
        </w:trPr>
        <w:tc>
          <w:tcPr>
            <w:tcW w:w="540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COMPREHENSIVE LOSS FOR THE PERIOD</w:t>
            </w:r>
          </w:p>
        </w:tc>
        <w:tc>
          <w:tcPr>
            <w:tcW w:w="1140" w:type="dxa"/>
            <w:vAlign w:val="bottom"/>
            <w:tcBorders>
              <w:bottom w:val="single" w:sz="8" w:color="auto"/>
            </w:tcBorders>
            <w:shd w:val="clear" w:color="auto" w:fill="D9D9D9"/>
          </w:tcPr>
          <w:p>
            <w:pPr>
              <w:spacing w:after="0"/>
              <w:rPr>
                <w:sz w:val="16"/>
                <w:szCs w:val="16"/>
                <w:color w:val="auto"/>
              </w:rPr>
            </w:pPr>
          </w:p>
        </w:tc>
        <w:tc>
          <w:tcPr>
            <w:tcW w:w="1220" w:type="dxa"/>
            <w:vAlign w:val="bottom"/>
            <w:tcBorders>
              <w:bottom w:val="single" w:sz="8" w:color="auto"/>
            </w:tcBorders>
            <w:shd w:val="clear" w:color="auto" w:fill="D9D9D9"/>
          </w:tcPr>
          <w:p>
            <w:pPr>
              <w:jc w:val="right"/>
              <w:ind w:right="126"/>
              <w:spacing w:after="0"/>
              <w:rPr>
                <w:sz w:val="20"/>
                <w:szCs w:val="20"/>
                <w:color w:val="auto"/>
              </w:rPr>
            </w:pPr>
            <w:r>
              <w:rPr>
                <w:rFonts w:ascii="Arial" w:cs="Arial" w:eastAsia="Arial" w:hAnsi="Arial"/>
                <w:sz w:val="15"/>
                <w:szCs w:val="15"/>
                <w:b w:val="1"/>
                <w:bCs w:val="1"/>
                <w:color w:val="auto"/>
              </w:rPr>
              <w:t>(10,160)</w:t>
            </w:r>
          </w:p>
        </w:tc>
        <w:tc>
          <w:tcPr>
            <w:tcW w:w="108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(17,092)</w:t>
            </w:r>
          </w:p>
        </w:tc>
        <w:tc>
          <w:tcPr>
            <w:tcW w:w="1420" w:type="dxa"/>
            <w:vAlign w:val="bottom"/>
            <w:tcBorders>
              <w:bottom w:val="single" w:sz="8" w:color="auto"/>
            </w:tcBorders>
            <w:shd w:val="clear" w:color="auto" w:fill="D9D9D9"/>
          </w:tcPr>
          <w:p>
            <w:pPr>
              <w:jc w:val="right"/>
              <w:ind w:right="206"/>
              <w:spacing w:after="0"/>
              <w:rPr>
                <w:sz w:val="20"/>
                <w:szCs w:val="20"/>
                <w:color w:val="auto"/>
              </w:rPr>
            </w:pPr>
            <w:r>
              <w:rPr>
                <w:rFonts w:ascii="Arial" w:cs="Arial" w:eastAsia="Arial" w:hAnsi="Arial"/>
                <w:sz w:val="15"/>
                <w:szCs w:val="15"/>
                <w:b w:val="1"/>
                <w:bCs w:val="1"/>
                <w:color w:val="auto"/>
              </w:rPr>
              <w:t>(23,099)</w:t>
            </w:r>
          </w:p>
        </w:tc>
        <w:tc>
          <w:tcPr>
            <w:tcW w:w="1000" w:type="dxa"/>
            <w:vAlign w:val="bottom"/>
            <w:tcBorders>
              <w:bottom w:val="single" w:sz="8" w:color="auto"/>
            </w:tcBorders>
            <w:shd w:val="clear" w:color="auto" w:fill="D9D9D9"/>
          </w:tcPr>
          <w:p>
            <w:pPr>
              <w:jc w:val="right"/>
              <w:ind w:right="7"/>
              <w:spacing w:after="0"/>
              <w:rPr>
                <w:sz w:val="20"/>
                <w:szCs w:val="20"/>
                <w:color w:val="auto"/>
              </w:rPr>
            </w:pPr>
            <w:r>
              <w:rPr>
                <w:rFonts w:ascii="Arial" w:cs="Arial" w:eastAsia="Arial" w:hAnsi="Arial"/>
                <w:sz w:val="15"/>
                <w:szCs w:val="15"/>
                <w:color w:val="auto"/>
              </w:rPr>
              <w:t>(32,501)</w:t>
            </w:r>
          </w:p>
        </w:tc>
        <w:tc>
          <w:tcPr>
            <w:tcW w:w="0" w:type="dxa"/>
            <w:vAlign w:val="bottom"/>
          </w:tcPr>
          <w:p>
            <w:pPr>
              <w:spacing w:after="0"/>
              <w:rPr>
                <w:sz w:val="1"/>
                <w:szCs w:val="1"/>
                <w:color w:val="auto"/>
              </w:rPr>
            </w:pPr>
          </w:p>
        </w:tc>
      </w:tr>
      <w:tr>
        <w:trPr>
          <w:trHeight w:val="406"/>
        </w:trPr>
        <w:tc>
          <w:tcPr>
            <w:tcW w:w="54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Basic loss per share for the period attributable to common shareholders</w:t>
            </w:r>
          </w:p>
        </w:tc>
        <w:tc>
          <w:tcPr>
            <w:tcW w:w="1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(0.06)</w:t>
            </w: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(0.11)</w:t>
            </w:r>
          </w:p>
        </w:tc>
        <w:tc>
          <w:tcPr>
            <w:tcW w:w="14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(0.13)</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190"/>
        </w:trPr>
        <w:tc>
          <w:tcPr>
            <w:tcW w:w="54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Weighted average number of common shares outstanding - basic</w:t>
            </w:r>
          </w:p>
        </w:tc>
        <w:tc>
          <w:tcPr>
            <w:tcW w:w="1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180,837,176</w:t>
            </w: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165,783,294</w:t>
            </w:r>
          </w:p>
        </w:tc>
        <w:tc>
          <w:tcPr>
            <w:tcW w:w="14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178,372,616</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161,750,053</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financial statements.</w:t>
      </w:r>
    </w:p>
    <w:p>
      <w:pPr>
        <w:sectPr>
          <w:pgSz w:w="11900" w:h="16838" w:orient="portrait"/>
          <w:cols w:equalWidth="0" w:num="1">
            <w:col w:w="11260"/>
          </w:cols>
          <w:pgMar w:left="320" w:top="168" w:right="319" w:bottom="1440" w:gutter="0" w:footer="0" w:header="0"/>
        </w:sectPr>
      </w:pPr>
    </w:p>
    <w:bookmarkStart w:id="7" w:name="page8"/>
    <w:bookmarkEnd w:id="7"/>
    <w:p>
      <w:pPr>
        <w:ind w:left="60"/>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0" w:right="2000"/>
        <w:spacing w:after="0" w:line="243" w:lineRule="auto"/>
        <w:rPr>
          <w:sz w:val="20"/>
          <w:szCs w:val="20"/>
          <w:color w:val="auto"/>
        </w:rPr>
      </w:pPr>
      <w:r>
        <w:rPr>
          <w:rFonts w:ascii="Arial" w:cs="Arial" w:eastAsia="Arial" w:hAnsi="Arial"/>
          <w:sz w:val="20"/>
          <w:szCs w:val="20"/>
          <w:b w:val="1"/>
          <w:bCs w:val="1"/>
          <w:color w:val="auto"/>
        </w:rPr>
        <w:t>CONDENSED INTERIM CONSOLIDATED STATEMENTS OF CHANGES IN SHAREHOLDERS’ EQUITY For the six months ended September 30, 2022 and 2021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(All amounts expressed in thousands of Canadian dollars, except share amounts)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bottom w:val="single" w:sz="8" w:color="auto"/>
            </w:tcBorders>
            <w:gridSpan w:val="2"/>
          </w:tcPr>
          <w:p>
            <w:pPr>
              <w:jc w:val="right"/>
              <w:ind w:right="375"/>
              <w:spacing w:after="0"/>
              <w:rPr>
                <w:sz w:val="20"/>
                <w:szCs w:val="20"/>
                <w:color w:val="auto"/>
              </w:rPr>
            </w:pPr>
            <w:r>
              <w:rPr>
                <w:rFonts w:ascii="Arial" w:cs="Arial" w:eastAsia="Arial" w:hAnsi="Arial"/>
                <w:sz w:val="13"/>
                <w:szCs w:val="13"/>
                <w:b w:val="1"/>
                <w:bCs w:val="1"/>
                <w:color w:val="auto"/>
              </w:rPr>
              <w:t>Share capital</w:t>
            </w: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Reserves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Number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Contributed</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220" w:type="dxa"/>
            <w:vAlign w:val="bottom"/>
          </w:tcPr>
          <w:p>
            <w:pPr>
              <w:spacing w:after="0"/>
              <w:rPr>
                <w:sz w:val="11"/>
                <w:szCs w:val="11"/>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Note</w:t>
            </w: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8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3"/>
                <w:szCs w:val="13"/>
                <w:b w:val="1"/>
                <w:bCs w:val="1"/>
                <w:color w:val="auto"/>
              </w:rPr>
              <w:t>Warrants</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Options</w:t>
            </w: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155"/>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10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1"/>
                <w:szCs w:val="11"/>
                <w:color w:val="auto"/>
              </w:rPr>
            </w:pPr>
          </w:p>
        </w:tc>
        <w:tc>
          <w:tcPr>
            <w:tcW w:w="880" w:type="dxa"/>
            <w:vAlign w:val="bottom"/>
            <w:vMerge w:val="restart"/>
          </w:tcPr>
          <w:p>
            <w:pPr>
              <w:jc w:val="right"/>
              <w:ind w:right="23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shares</w:t>
            </w: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surplus</w:t>
            </w:r>
          </w:p>
        </w:tc>
        <w:tc>
          <w:tcPr>
            <w:tcW w:w="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w:t>
            </w:r>
          </w:p>
        </w:tc>
        <w:tc>
          <w:tcPr>
            <w:tcW w:w="78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right"/>
              <w:ind w:right="335"/>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right"/>
              <w:ind w:right="31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1040" w:type="dxa"/>
            <w:vAlign w:val="bottom"/>
          </w:tcPr>
          <w:p>
            <w:pPr>
              <w:jc w:val="right"/>
              <w:ind w:right="374"/>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355"/>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3220" w:type="dxa"/>
            <w:vAlign w:val="bottom"/>
            <w:tcBorders>
              <w:top w:val="single" w:sz="8" w:color="auto"/>
              <w:bottom w:val="single" w:sz="8" w:color="929292"/>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March 31, 2021</w:t>
            </w:r>
          </w:p>
        </w:tc>
        <w:tc>
          <w:tcPr>
            <w:tcW w:w="580" w:type="dxa"/>
            <w:vAlign w:val="bottom"/>
            <w:tcBorders>
              <w:top w:val="single" w:sz="8" w:color="auto"/>
              <w:bottom w:val="single" w:sz="8" w:color="929292"/>
            </w:tcBorders>
            <w:shd w:val="clear" w:color="auto" w:fill="D9D9D9"/>
          </w:tcPr>
          <w:p>
            <w:pPr>
              <w:spacing w:after="0"/>
              <w:rPr>
                <w:sz w:val="14"/>
                <w:szCs w:val="14"/>
                <w:color w:val="auto"/>
              </w:rPr>
            </w:pPr>
          </w:p>
        </w:tc>
        <w:tc>
          <w:tcPr>
            <w:tcW w:w="80" w:type="dxa"/>
            <w:vAlign w:val="bottom"/>
            <w:tcBorders>
              <w:bottom w:val="single" w:sz="8" w:color="929292"/>
            </w:tcBorders>
          </w:tcPr>
          <w:p>
            <w:pPr>
              <w:spacing w:after="0"/>
              <w:rPr>
                <w:sz w:val="14"/>
                <w:szCs w:val="14"/>
                <w:color w:val="auto"/>
              </w:rPr>
            </w:pPr>
          </w:p>
        </w:tc>
        <w:tc>
          <w:tcPr>
            <w:tcW w:w="920" w:type="dxa"/>
            <w:vAlign w:val="bottom"/>
            <w:tcBorders>
              <w:top w:val="single" w:sz="8" w:color="auto"/>
              <w:bottom w:val="single" w:sz="8" w:color="929292"/>
            </w:tcBorders>
            <w:shd w:val="clear" w:color="auto" w:fill="D9D9D9"/>
          </w:tcPr>
          <w:p>
            <w:pPr>
              <w:jc w:val="right"/>
              <w:ind w:right="55"/>
              <w:spacing w:after="0"/>
              <w:rPr>
                <w:sz w:val="20"/>
                <w:szCs w:val="20"/>
                <w:color w:val="auto"/>
              </w:rPr>
            </w:pPr>
            <w:r>
              <w:rPr>
                <w:rFonts w:ascii="Arial" w:cs="Arial" w:eastAsia="Arial" w:hAnsi="Arial"/>
                <w:sz w:val="13"/>
                <w:szCs w:val="13"/>
                <w:b w:val="1"/>
                <w:bCs w:val="1"/>
                <w:color w:val="auto"/>
              </w:rPr>
              <w:t>157,454,415</w:t>
            </w:r>
          </w:p>
        </w:tc>
        <w:tc>
          <w:tcPr>
            <w:tcW w:w="78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100,676</w:t>
            </w:r>
          </w:p>
        </w:tc>
        <w:tc>
          <w:tcPr>
            <w:tcW w:w="80" w:type="dxa"/>
            <w:vAlign w:val="bottom"/>
            <w:tcBorders>
              <w:top w:val="single" w:sz="8" w:color="auto"/>
              <w:bottom w:val="single" w:sz="8" w:color="929292"/>
            </w:tcBorders>
          </w:tcPr>
          <w:p>
            <w:pPr>
              <w:spacing w:after="0"/>
              <w:rPr>
                <w:sz w:val="14"/>
                <w:szCs w:val="14"/>
                <w:color w:val="auto"/>
              </w:rPr>
            </w:pPr>
          </w:p>
        </w:tc>
        <w:tc>
          <w:tcPr>
            <w:tcW w:w="860" w:type="dxa"/>
            <w:vAlign w:val="bottom"/>
            <w:tcBorders>
              <w:top w:val="single" w:sz="8" w:color="auto"/>
              <w:bottom w:val="single" w:sz="8" w:color="929292"/>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11,166</w:t>
            </w:r>
          </w:p>
        </w:tc>
        <w:tc>
          <w:tcPr>
            <w:tcW w:w="84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7,158</w:t>
            </w:r>
          </w:p>
        </w:tc>
        <w:tc>
          <w:tcPr>
            <w:tcW w:w="84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Borders>
              <w:bottom w:val="single" w:sz="8" w:color="929292"/>
            </w:tcBorders>
          </w:tcPr>
          <w:p>
            <w:pPr>
              <w:spacing w:after="0"/>
              <w:rPr>
                <w:sz w:val="14"/>
                <w:szCs w:val="14"/>
                <w:color w:val="auto"/>
              </w:rPr>
            </w:pPr>
          </w:p>
        </w:tc>
        <w:tc>
          <w:tcPr>
            <w:tcW w:w="84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(33,030)</w:t>
            </w:r>
          </w:p>
        </w:tc>
        <w:tc>
          <w:tcPr>
            <w:tcW w:w="100" w:type="dxa"/>
            <w:vAlign w:val="bottom"/>
            <w:tcBorders>
              <w:top w:val="single" w:sz="8" w:color="auto"/>
              <w:bottom w:val="single" w:sz="8" w:color="929292"/>
            </w:tcBorders>
          </w:tcPr>
          <w:p>
            <w:pPr>
              <w:spacing w:after="0"/>
              <w:rPr>
                <w:sz w:val="14"/>
                <w:szCs w:val="14"/>
                <w:color w:val="auto"/>
              </w:rPr>
            </w:pPr>
          </w:p>
        </w:tc>
        <w:tc>
          <w:tcPr>
            <w:tcW w:w="1040" w:type="dxa"/>
            <w:vAlign w:val="bottom"/>
            <w:tcBorders>
              <w:top w:val="single" w:sz="8" w:color="auto"/>
              <w:bottom w:val="single" w:sz="8" w:color="929292"/>
            </w:tcBorders>
            <w:shd w:val="clear" w:color="auto" w:fill="D9D9D9"/>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top w:val="single" w:sz="8" w:color="auto"/>
              <w:bottom w:val="single" w:sz="8" w:color="929292"/>
            </w:tcBorders>
          </w:tcPr>
          <w:p>
            <w:pPr>
              <w:spacing w:after="0"/>
              <w:rPr>
                <w:sz w:val="14"/>
                <w:szCs w:val="14"/>
                <w:color w:val="auto"/>
              </w:rPr>
            </w:pPr>
          </w:p>
        </w:tc>
        <w:tc>
          <w:tcPr>
            <w:tcW w:w="880" w:type="dxa"/>
            <w:vAlign w:val="bottom"/>
            <w:tcBorders>
              <w:top w:val="single" w:sz="8" w:color="auto"/>
              <w:bottom w:val="single" w:sz="8" w:color="929292"/>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86,118</w:t>
            </w:r>
          </w:p>
        </w:tc>
        <w:tc>
          <w:tcPr>
            <w:tcW w:w="0" w:type="dxa"/>
            <w:vAlign w:val="bottom"/>
          </w:tcPr>
          <w:p>
            <w:pPr>
              <w:spacing w:after="0"/>
              <w:rPr>
                <w:sz w:val="1"/>
                <w:szCs w:val="1"/>
                <w:color w:val="auto"/>
              </w:rPr>
            </w:pPr>
          </w:p>
        </w:tc>
      </w:tr>
      <w:tr>
        <w:trPr>
          <w:trHeight w:val="149"/>
        </w:trPr>
        <w:tc>
          <w:tcPr>
            <w:tcW w:w="3220" w:type="dxa"/>
            <w:vAlign w:val="bottom"/>
          </w:tcPr>
          <w:p>
            <w:pPr>
              <w:ind w:left="60"/>
              <w:spacing w:after="0"/>
              <w:rPr>
                <w:sz w:val="20"/>
                <w:szCs w:val="20"/>
                <w:color w:val="auto"/>
              </w:rPr>
            </w:pPr>
            <w:r>
              <w:rPr>
                <w:rFonts w:ascii="Arial" w:cs="Arial" w:eastAsia="Arial" w:hAnsi="Arial"/>
                <w:sz w:val="13"/>
                <w:szCs w:val="13"/>
                <w:color w:val="auto"/>
              </w:rPr>
              <w:t>Bought deal share offering - net of share issuance</w:t>
            </w:r>
          </w:p>
        </w:tc>
        <w:tc>
          <w:tcPr>
            <w:tcW w:w="580" w:type="dxa"/>
            <w:vAlign w:val="bottom"/>
          </w:tcPr>
          <w:p>
            <w:pPr>
              <w:spacing w:after="0"/>
              <w:rPr>
                <w:sz w:val="12"/>
                <w:szCs w:val="12"/>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3"/>
                <w:szCs w:val="13"/>
                <w:color w:val="auto"/>
              </w:rPr>
              <w:t>10,147,600</w:t>
            </w:r>
          </w:p>
        </w:tc>
        <w:tc>
          <w:tcPr>
            <w:tcW w:w="780" w:type="dxa"/>
            <w:vAlign w:val="bottom"/>
          </w:tcPr>
          <w:p>
            <w:pPr>
              <w:jc w:val="right"/>
              <w:spacing w:after="0"/>
              <w:rPr>
                <w:sz w:val="20"/>
                <w:szCs w:val="20"/>
                <w:color w:val="auto"/>
              </w:rPr>
            </w:pPr>
            <w:r>
              <w:rPr>
                <w:rFonts w:ascii="Arial" w:cs="Arial" w:eastAsia="Arial" w:hAnsi="Arial"/>
                <w:sz w:val="13"/>
                <w:szCs w:val="13"/>
                <w:color w:val="auto"/>
              </w:rPr>
              <w:t>31,508</w:t>
            </w:r>
          </w:p>
        </w:tc>
        <w:tc>
          <w:tcPr>
            <w:tcW w:w="80" w:type="dxa"/>
            <w:vAlign w:val="bottom"/>
          </w:tcPr>
          <w:p>
            <w:pPr>
              <w:spacing w:after="0"/>
              <w:rPr>
                <w:sz w:val="12"/>
                <w:szCs w:val="12"/>
                <w:color w:val="auto"/>
              </w:rPr>
            </w:pPr>
          </w:p>
        </w:tc>
        <w:tc>
          <w:tcPr>
            <w:tcW w:w="86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5"/>
              <w:spacing w:after="0"/>
              <w:rPr>
                <w:sz w:val="20"/>
                <w:szCs w:val="20"/>
                <w:color w:val="auto"/>
              </w:rPr>
            </w:pPr>
            <w:r>
              <w:rPr>
                <w:rFonts w:ascii="Arial" w:cs="Arial" w:eastAsia="Arial" w:hAnsi="Arial"/>
                <w:sz w:val="13"/>
                <w:szCs w:val="13"/>
                <w:color w:val="auto"/>
              </w:rPr>
              <w:t>31,508</w:t>
            </w:r>
          </w:p>
        </w:tc>
        <w:tc>
          <w:tcPr>
            <w:tcW w:w="0" w:type="dxa"/>
            <w:vAlign w:val="bottom"/>
          </w:tcPr>
          <w:p>
            <w:pPr>
              <w:spacing w:after="0"/>
              <w:rPr>
                <w:sz w:val="1"/>
                <w:szCs w:val="1"/>
                <w:color w:val="auto"/>
              </w:rPr>
            </w:pPr>
          </w:p>
        </w:tc>
      </w:tr>
      <w:tr>
        <w:trPr>
          <w:trHeight w:val="83"/>
        </w:trPr>
        <w:tc>
          <w:tcPr>
            <w:tcW w:w="3220" w:type="dxa"/>
            <w:vAlign w:val="bottom"/>
            <w:vMerge w:val="restart"/>
          </w:tcPr>
          <w:p>
            <w:pPr>
              <w:ind w:left="60"/>
              <w:spacing w:after="0"/>
              <w:rPr>
                <w:sz w:val="20"/>
                <w:szCs w:val="20"/>
                <w:color w:val="auto"/>
              </w:rPr>
            </w:pPr>
            <w:r>
              <w:rPr>
                <w:rFonts w:ascii="Arial" w:cs="Arial" w:eastAsia="Arial" w:hAnsi="Arial"/>
                <w:sz w:val="13"/>
                <w:szCs w:val="13"/>
                <w:color w:val="auto"/>
              </w:rPr>
              <w:t>costs</w:t>
            </w: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2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60"/>
              <w:spacing w:after="0"/>
              <w:rPr>
                <w:sz w:val="20"/>
                <w:szCs w:val="20"/>
                <w:color w:val="auto"/>
              </w:rPr>
            </w:pPr>
            <w:r>
              <w:rPr>
                <w:rFonts w:ascii="Arial" w:cs="Arial" w:eastAsia="Arial" w:hAnsi="Arial"/>
                <w:sz w:val="13"/>
                <w:szCs w:val="13"/>
                <w:color w:val="auto"/>
              </w:rPr>
              <w:t>Shares issued on contingent liability Adelia milestones</w:t>
            </w:r>
          </w:p>
        </w:tc>
        <w:tc>
          <w:tcPr>
            <w:tcW w:w="580" w:type="dxa"/>
            <w:vAlign w:val="bottom"/>
          </w:tcPr>
          <w:p>
            <w:pPr>
              <w:spacing w:after="0"/>
              <w:rPr>
                <w:sz w:val="14"/>
                <w:szCs w:val="14"/>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3"/>
                <w:szCs w:val="13"/>
                <w:color w:val="auto"/>
              </w:rPr>
              <w:t>439,583</w:t>
            </w:r>
          </w:p>
        </w:tc>
        <w:tc>
          <w:tcPr>
            <w:tcW w:w="780" w:type="dxa"/>
            <w:vAlign w:val="bottom"/>
          </w:tcPr>
          <w:p>
            <w:pPr>
              <w:jc w:val="right"/>
              <w:spacing w:after="0"/>
              <w:rPr>
                <w:sz w:val="20"/>
                <w:szCs w:val="20"/>
                <w:color w:val="auto"/>
              </w:rPr>
            </w:pPr>
            <w:r>
              <w:rPr>
                <w:rFonts w:ascii="Arial" w:cs="Arial" w:eastAsia="Arial" w:hAnsi="Arial"/>
                <w:sz w:val="13"/>
                <w:szCs w:val="13"/>
                <w:color w:val="auto"/>
              </w:rPr>
              <w:t>1,237</w:t>
            </w:r>
          </w:p>
        </w:tc>
        <w:tc>
          <w:tcPr>
            <w:tcW w:w="80" w:type="dxa"/>
            <w:vAlign w:val="bottom"/>
          </w:tcPr>
          <w:p>
            <w:pPr>
              <w:spacing w:after="0"/>
              <w:rPr>
                <w:sz w:val="14"/>
                <w:szCs w:val="14"/>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1,237</w:t>
            </w:r>
          </w:p>
        </w:tc>
        <w:tc>
          <w:tcPr>
            <w:tcW w:w="0" w:type="dxa"/>
            <w:vAlign w:val="bottom"/>
          </w:tcPr>
          <w:p>
            <w:pPr>
              <w:spacing w:after="0"/>
              <w:rPr>
                <w:sz w:val="1"/>
                <w:szCs w:val="1"/>
                <w:color w:val="auto"/>
              </w:rPr>
            </w:pPr>
          </w:p>
        </w:tc>
      </w:tr>
      <w:tr>
        <w:trPr>
          <w:trHeight w:val="183"/>
        </w:trPr>
        <w:tc>
          <w:tcPr>
            <w:tcW w:w="3220" w:type="dxa"/>
            <w:vAlign w:val="bottom"/>
          </w:tcPr>
          <w:p>
            <w:pPr>
              <w:ind w:left="60"/>
              <w:spacing w:after="0"/>
              <w:rPr>
                <w:sz w:val="20"/>
                <w:szCs w:val="20"/>
                <w:color w:val="auto"/>
              </w:rPr>
            </w:pPr>
            <w:r>
              <w:rPr>
                <w:rFonts w:ascii="Arial" w:cs="Arial" w:eastAsia="Arial" w:hAnsi="Arial"/>
                <w:sz w:val="13"/>
                <w:szCs w:val="13"/>
                <w:color w:val="auto"/>
              </w:rPr>
              <w:t>Warrants exercised</w:t>
            </w:r>
          </w:p>
        </w:tc>
        <w:tc>
          <w:tcPr>
            <w:tcW w:w="580" w:type="dxa"/>
            <w:vAlign w:val="bottom"/>
          </w:tcPr>
          <w:p>
            <w:pPr>
              <w:spacing w:after="0"/>
              <w:rPr>
                <w:sz w:val="15"/>
                <w:szCs w:val="15"/>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3"/>
                <w:szCs w:val="13"/>
                <w:color w:val="auto"/>
              </w:rPr>
              <w:t>1,930,176</w:t>
            </w:r>
          </w:p>
        </w:tc>
        <w:tc>
          <w:tcPr>
            <w:tcW w:w="780" w:type="dxa"/>
            <w:vAlign w:val="bottom"/>
          </w:tcPr>
          <w:p>
            <w:pPr>
              <w:jc w:val="right"/>
              <w:spacing w:after="0"/>
              <w:rPr>
                <w:sz w:val="20"/>
                <w:szCs w:val="20"/>
                <w:color w:val="auto"/>
              </w:rPr>
            </w:pPr>
            <w:r>
              <w:rPr>
                <w:rFonts w:ascii="Arial" w:cs="Arial" w:eastAsia="Arial" w:hAnsi="Arial"/>
                <w:sz w:val="13"/>
                <w:szCs w:val="13"/>
                <w:color w:val="auto"/>
              </w:rPr>
              <w:t>3,538</w:t>
            </w:r>
          </w:p>
        </w:tc>
        <w:tc>
          <w:tcPr>
            <w:tcW w:w="940" w:type="dxa"/>
            <w:vAlign w:val="bottom"/>
            <w:gridSpan w:val="2"/>
          </w:tcPr>
          <w:p>
            <w:pPr>
              <w:jc w:val="right"/>
              <w:ind w:right="15"/>
              <w:spacing w:after="0"/>
              <w:rPr>
                <w:sz w:val="20"/>
                <w:szCs w:val="20"/>
                <w:color w:val="auto"/>
              </w:rPr>
            </w:pPr>
            <w:r>
              <w:rPr>
                <w:rFonts w:ascii="Arial" w:cs="Arial" w:eastAsia="Arial" w:hAnsi="Arial"/>
                <w:sz w:val="13"/>
                <w:szCs w:val="13"/>
                <w:color w:val="auto"/>
              </w:rPr>
              <w:t>(946)</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2,592</w:t>
            </w:r>
          </w:p>
        </w:tc>
        <w:tc>
          <w:tcPr>
            <w:tcW w:w="0" w:type="dxa"/>
            <w:vAlign w:val="bottom"/>
          </w:tcPr>
          <w:p>
            <w:pPr>
              <w:spacing w:after="0"/>
              <w:rPr>
                <w:sz w:val="1"/>
                <w:szCs w:val="1"/>
                <w:color w:val="auto"/>
              </w:rPr>
            </w:pPr>
          </w:p>
        </w:tc>
      </w:tr>
      <w:tr>
        <w:trPr>
          <w:trHeight w:val="183"/>
        </w:trPr>
        <w:tc>
          <w:tcPr>
            <w:tcW w:w="3220" w:type="dxa"/>
            <w:vAlign w:val="bottom"/>
          </w:tcPr>
          <w:p>
            <w:pPr>
              <w:ind w:left="60"/>
              <w:spacing w:after="0"/>
              <w:rPr>
                <w:sz w:val="20"/>
                <w:szCs w:val="20"/>
                <w:color w:val="auto"/>
              </w:rPr>
            </w:pPr>
            <w:r>
              <w:rPr>
                <w:rFonts w:ascii="Arial" w:cs="Arial" w:eastAsia="Arial" w:hAnsi="Arial"/>
                <w:sz w:val="13"/>
                <w:szCs w:val="13"/>
                <w:color w:val="auto"/>
              </w:rPr>
              <w:t>Options exercised</w:t>
            </w:r>
          </w:p>
        </w:tc>
        <w:tc>
          <w:tcPr>
            <w:tcW w:w="580" w:type="dxa"/>
            <w:vAlign w:val="bottom"/>
          </w:tcPr>
          <w:p>
            <w:pPr>
              <w:spacing w:after="0"/>
              <w:rPr>
                <w:sz w:val="15"/>
                <w:szCs w:val="15"/>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3"/>
                <w:szCs w:val="13"/>
                <w:color w:val="auto"/>
              </w:rPr>
              <w:t>450,000</w:t>
            </w:r>
          </w:p>
        </w:tc>
        <w:tc>
          <w:tcPr>
            <w:tcW w:w="780" w:type="dxa"/>
            <w:vAlign w:val="bottom"/>
          </w:tcPr>
          <w:p>
            <w:pPr>
              <w:jc w:val="right"/>
              <w:spacing w:after="0"/>
              <w:rPr>
                <w:sz w:val="20"/>
                <w:szCs w:val="20"/>
                <w:color w:val="auto"/>
              </w:rPr>
            </w:pPr>
            <w:r>
              <w:rPr>
                <w:rFonts w:ascii="Arial" w:cs="Arial" w:eastAsia="Arial" w:hAnsi="Arial"/>
                <w:sz w:val="13"/>
                <w:szCs w:val="13"/>
                <w:color w:val="auto"/>
              </w:rPr>
              <w:t>360</w:t>
            </w:r>
          </w:p>
        </w:tc>
        <w:tc>
          <w:tcPr>
            <w:tcW w:w="80" w:type="dxa"/>
            <w:vAlign w:val="bottom"/>
          </w:tcPr>
          <w:p>
            <w:pPr>
              <w:spacing w:after="0"/>
              <w:rPr>
                <w:sz w:val="15"/>
                <w:szCs w:val="15"/>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(150)</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83"/>
        </w:trPr>
        <w:tc>
          <w:tcPr>
            <w:tcW w:w="3220" w:type="dxa"/>
            <w:vAlign w:val="bottom"/>
          </w:tcPr>
          <w:p>
            <w:pPr>
              <w:ind w:left="60"/>
              <w:spacing w:after="0"/>
              <w:rPr>
                <w:sz w:val="20"/>
                <w:szCs w:val="20"/>
                <w:color w:val="auto"/>
              </w:rPr>
            </w:pPr>
            <w:r>
              <w:rPr>
                <w:rFonts w:ascii="Arial" w:cs="Arial" w:eastAsia="Arial" w:hAnsi="Arial"/>
                <w:sz w:val="13"/>
                <w:szCs w:val="13"/>
                <w:color w:val="auto"/>
              </w:rPr>
              <w:t>Finders' warrants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(1,299)</w:t>
            </w:r>
          </w:p>
        </w:tc>
        <w:tc>
          <w:tcPr>
            <w:tcW w:w="940" w:type="dxa"/>
            <w:vAlign w:val="bottom"/>
            <w:gridSpan w:val="2"/>
          </w:tcPr>
          <w:p>
            <w:pPr>
              <w:jc w:val="right"/>
              <w:ind w:right="15"/>
              <w:spacing w:after="0"/>
              <w:rPr>
                <w:sz w:val="20"/>
                <w:szCs w:val="20"/>
                <w:color w:val="auto"/>
              </w:rPr>
            </w:pPr>
            <w:r>
              <w:rPr>
                <w:rFonts w:ascii="Arial" w:cs="Arial" w:eastAsia="Arial" w:hAnsi="Arial"/>
                <w:sz w:val="13"/>
                <w:szCs w:val="13"/>
                <w:color w:val="auto"/>
              </w:rPr>
              <w:t>1,299</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220" w:type="dxa"/>
            <w:vAlign w:val="bottom"/>
          </w:tcPr>
          <w:p>
            <w:pPr>
              <w:ind w:left="60"/>
              <w:spacing w:after="0"/>
              <w:rPr>
                <w:sz w:val="20"/>
                <w:szCs w:val="20"/>
                <w:color w:val="auto"/>
              </w:rPr>
            </w:pPr>
            <w:r>
              <w:rPr>
                <w:rFonts w:ascii="Arial" w:cs="Arial" w:eastAsia="Arial" w:hAnsi="Arial"/>
                <w:sz w:val="13"/>
                <w:szCs w:val="13"/>
                <w:color w:val="auto"/>
              </w:rPr>
              <w:t>Share-based compensation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5"/>
              <w:spacing w:after="0"/>
              <w:rPr>
                <w:sz w:val="20"/>
                <w:szCs w:val="20"/>
                <w:color w:val="auto"/>
              </w:rPr>
            </w:pPr>
            <w:r>
              <w:rPr>
                <w:rFonts w:ascii="Arial" w:cs="Arial" w:eastAsia="Arial" w:hAnsi="Arial"/>
                <w:sz w:val="13"/>
                <w:szCs w:val="13"/>
                <w:color w:val="auto"/>
              </w:rPr>
              <w:t>178</w:t>
            </w:r>
          </w:p>
        </w:tc>
        <w:tc>
          <w:tcPr>
            <w:tcW w:w="840" w:type="dxa"/>
            <w:vAlign w:val="bottom"/>
          </w:tcPr>
          <w:p>
            <w:pPr>
              <w:jc w:val="right"/>
              <w:spacing w:after="0"/>
              <w:rPr>
                <w:sz w:val="20"/>
                <w:szCs w:val="20"/>
                <w:color w:val="auto"/>
              </w:rPr>
            </w:pPr>
            <w:r>
              <w:rPr>
                <w:rFonts w:ascii="Arial" w:cs="Arial" w:eastAsia="Arial" w:hAnsi="Arial"/>
                <w:sz w:val="13"/>
                <w:szCs w:val="13"/>
                <w:color w:val="auto"/>
              </w:rPr>
              <w:t>10,052</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10,230</w:t>
            </w:r>
          </w:p>
        </w:tc>
        <w:tc>
          <w:tcPr>
            <w:tcW w:w="0" w:type="dxa"/>
            <w:vAlign w:val="bottom"/>
          </w:tcPr>
          <w:p>
            <w:pPr>
              <w:spacing w:after="0"/>
              <w:rPr>
                <w:sz w:val="1"/>
                <w:szCs w:val="1"/>
                <w:color w:val="auto"/>
              </w:rPr>
            </w:pPr>
          </w:p>
        </w:tc>
      </w:tr>
      <w:tr>
        <w:trPr>
          <w:trHeight w:val="183"/>
        </w:trPr>
        <w:tc>
          <w:tcPr>
            <w:tcW w:w="3220" w:type="dxa"/>
            <w:vAlign w:val="bottom"/>
          </w:tcPr>
          <w:p>
            <w:pPr>
              <w:ind w:left="60"/>
              <w:spacing w:after="0"/>
              <w:rPr>
                <w:sz w:val="20"/>
                <w:szCs w:val="20"/>
                <w:color w:val="auto"/>
              </w:rPr>
            </w:pPr>
            <w:r>
              <w:rPr>
                <w:rFonts w:ascii="Arial" w:cs="Arial" w:eastAsia="Arial" w:hAnsi="Arial"/>
                <w:sz w:val="13"/>
                <w:szCs w:val="13"/>
                <w:color w:val="auto"/>
              </w:rPr>
              <w:t>Unrealized loss on translation of foreign operations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(177)</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Net loss for the period</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(32,324)</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color w:val="auto"/>
              </w:rPr>
              <w:t>(32,324)</w:t>
            </w:r>
          </w:p>
        </w:tc>
        <w:tc>
          <w:tcPr>
            <w:tcW w:w="0" w:type="dxa"/>
            <w:vAlign w:val="bottom"/>
          </w:tcPr>
          <w:p>
            <w:pPr>
              <w:spacing w:after="0"/>
              <w:rPr>
                <w:sz w:val="1"/>
                <w:szCs w:val="1"/>
                <w:color w:val="auto"/>
              </w:rPr>
            </w:pPr>
          </w:p>
        </w:tc>
      </w:tr>
      <w:tr>
        <w:trPr>
          <w:trHeight w:val="175"/>
        </w:trPr>
        <w:tc>
          <w:tcPr>
            <w:tcW w:w="322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September 30, 2021</w:t>
            </w:r>
          </w:p>
        </w:tc>
        <w:tc>
          <w:tcPr>
            <w:tcW w:w="580" w:type="dxa"/>
            <w:vAlign w:val="bottom"/>
            <w:tcBorders>
              <w:bottom w:val="single" w:sz="8" w:color="auto"/>
            </w:tcBorders>
            <w:shd w:val="clear" w:color="auto" w:fill="D9D9D9"/>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shd w:val="clear" w:color="auto" w:fill="D9D9D9"/>
          </w:tcPr>
          <w:p>
            <w:pPr>
              <w:jc w:val="right"/>
              <w:ind w:right="55"/>
              <w:spacing w:after="0"/>
              <w:rPr>
                <w:sz w:val="20"/>
                <w:szCs w:val="20"/>
                <w:color w:val="auto"/>
              </w:rPr>
            </w:pPr>
            <w:r>
              <w:rPr>
                <w:rFonts w:ascii="Arial" w:cs="Arial" w:eastAsia="Arial" w:hAnsi="Arial"/>
                <w:sz w:val="13"/>
                <w:szCs w:val="13"/>
                <w:b w:val="1"/>
                <w:bCs w:val="1"/>
                <w:color w:val="auto"/>
              </w:rPr>
              <w:t>170,421,774</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136,020</w:t>
            </w:r>
          </w:p>
        </w:tc>
        <w:tc>
          <w:tcPr>
            <w:tcW w:w="940" w:type="dxa"/>
            <w:vAlign w:val="bottom"/>
            <w:tcBorders>
              <w:bottom w:val="single" w:sz="8" w:color="auto"/>
            </w:tcBorders>
            <w:gridSpan w:val="2"/>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11,697</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17,060</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124</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(65,354)</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(153)</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99,394</w:t>
            </w:r>
          </w:p>
        </w:tc>
        <w:tc>
          <w:tcPr>
            <w:tcW w:w="0" w:type="dxa"/>
            <w:vAlign w:val="bottom"/>
          </w:tcPr>
          <w:p>
            <w:pPr>
              <w:spacing w:after="0"/>
              <w:rPr>
                <w:sz w:val="1"/>
                <w:szCs w:val="1"/>
                <w:color w:val="auto"/>
              </w:rPr>
            </w:pPr>
          </w:p>
        </w:tc>
      </w:tr>
      <w:tr>
        <w:trPr>
          <w:trHeight w:val="181"/>
        </w:trPr>
        <w:tc>
          <w:tcPr>
            <w:tcW w:w="3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20" w:type="dxa"/>
            <w:vAlign w:val="bottom"/>
            <w:tcBorders>
              <w:bottom w:val="single" w:sz="8" w:color="929292"/>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March 31, 2022</w:t>
            </w:r>
          </w:p>
        </w:tc>
        <w:tc>
          <w:tcPr>
            <w:tcW w:w="580" w:type="dxa"/>
            <w:vAlign w:val="bottom"/>
            <w:tcBorders>
              <w:bottom w:val="single" w:sz="8" w:color="929292"/>
            </w:tcBorders>
            <w:shd w:val="clear" w:color="auto" w:fill="D9D9D9"/>
          </w:tcPr>
          <w:p>
            <w:pPr>
              <w:spacing w:after="0"/>
              <w:rPr>
                <w:sz w:val="14"/>
                <w:szCs w:val="14"/>
                <w:color w:val="auto"/>
              </w:rPr>
            </w:pPr>
          </w:p>
        </w:tc>
        <w:tc>
          <w:tcPr>
            <w:tcW w:w="80" w:type="dxa"/>
            <w:vAlign w:val="bottom"/>
            <w:tcBorders>
              <w:bottom w:val="single" w:sz="8" w:color="929292"/>
            </w:tcBorders>
          </w:tcPr>
          <w:p>
            <w:pPr>
              <w:spacing w:after="0"/>
              <w:rPr>
                <w:sz w:val="14"/>
                <w:szCs w:val="14"/>
                <w:color w:val="auto"/>
              </w:rPr>
            </w:pPr>
          </w:p>
        </w:tc>
        <w:tc>
          <w:tcPr>
            <w:tcW w:w="920" w:type="dxa"/>
            <w:vAlign w:val="bottom"/>
            <w:tcBorders>
              <w:bottom w:val="single" w:sz="8" w:color="929292"/>
            </w:tcBorders>
            <w:shd w:val="clear" w:color="auto" w:fill="D9D9D9"/>
          </w:tcPr>
          <w:p>
            <w:pPr>
              <w:jc w:val="right"/>
              <w:ind w:right="55"/>
              <w:spacing w:after="0"/>
              <w:rPr>
                <w:sz w:val="20"/>
                <w:szCs w:val="20"/>
                <w:color w:val="auto"/>
              </w:rPr>
            </w:pPr>
            <w:r>
              <w:rPr>
                <w:rFonts w:ascii="Arial" w:cs="Arial" w:eastAsia="Arial" w:hAnsi="Arial"/>
                <w:sz w:val="13"/>
                <w:szCs w:val="13"/>
                <w:b w:val="1"/>
                <w:bCs w:val="1"/>
                <w:color w:val="auto"/>
              </w:rPr>
              <w:t>175,111,654</w:t>
            </w:r>
          </w:p>
        </w:tc>
        <w:tc>
          <w:tcPr>
            <w:tcW w:w="780" w:type="dxa"/>
            <w:vAlign w:val="bottom"/>
            <w:tcBorders>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141,451</w:t>
            </w:r>
          </w:p>
        </w:tc>
        <w:tc>
          <w:tcPr>
            <w:tcW w:w="80" w:type="dxa"/>
            <w:vAlign w:val="bottom"/>
            <w:tcBorders>
              <w:bottom w:val="single" w:sz="8" w:color="929292"/>
            </w:tcBorders>
          </w:tcPr>
          <w:p>
            <w:pPr>
              <w:spacing w:after="0"/>
              <w:rPr>
                <w:sz w:val="14"/>
                <w:szCs w:val="14"/>
                <w:color w:val="auto"/>
              </w:rPr>
            </w:pPr>
          </w:p>
        </w:tc>
        <w:tc>
          <w:tcPr>
            <w:tcW w:w="860" w:type="dxa"/>
            <w:vAlign w:val="bottom"/>
            <w:tcBorders>
              <w:bottom w:val="single" w:sz="8" w:color="929292"/>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11,423</w:t>
            </w:r>
          </w:p>
        </w:tc>
        <w:tc>
          <w:tcPr>
            <w:tcW w:w="840" w:type="dxa"/>
            <w:vAlign w:val="bottom"/>
            <w:tcBorders>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23,783</w:t>
            </w:r>
          </w:p>
        </w:tc>
        <w:tc>
          <w:tcPr>
            <w:tcW w:w="840" w:type="dxa"/>
            <w:vAlign w:val="bottom"/>
            <w:tcBorders>
              <w:bottom w:val="single" w:sz="8" w:color="929292"/>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525</w:t>
            </w:r>
          </w:p>
        </w:tc>
        <w:tc>
          <w:tcPr>
            <w:tcW w:w="940" w:type="dxa"/>
            <w:vAlign w:val="bottom"/>
            <w:tcBorders>
              <w:bottom w:val="single" w:sz="8" w:color="929292"/>
            </w:tcBorders>
            <w:gridSpan w:val="2"/>
            <w:shd w:val="clear" w:color="auto" w:fill="D9D9D9"/>
          </w:tcPr>
          <w:p>
            <w:pPr>
              <w:jc w:val="right"/>
              <w:spacing w:after="0"/>
              <w:rPr>
                <w:sz w:val="20"/>
                <w:szCs w:val="20"/>
                <w:color w:val="auto"/>
              </w:rPr>
            </w:pPr>
            <w:r>
              <w:rPr>
                <w:rFonts w:ascii="Arial" w:cs="Arial" w:eastAsia="Arial" w:hAnsi="Arial"/>
                <w:sz w:val="13"/>
                <w:szCs w:val="13"/>
                <w:b w:val="1"/>
                <w:bCs w:val="1"/>
                <w:color w:val="auto"/>
              </w:rPr>
              <w:t>(100,661)</w:t>
            </w:r>
          </w:p>
        </w:tc>
        <w:tc>
          <w:tcPr>
            <w:tcW w:w="1140" w:type="dxa"/>
            <w:vAlign w:val="bottom"/>
            <w:tcBorders>
              <w:bottom w:val="single" w:sz="8" w:color="929292"/>
            </w:tcBorders>
            <w:gridSpan w:val="2"/>
            <w:shd w:val="clear" w:color="auto" w:fill="D9D9D9"/>
          </w:tcPr>
          <w:p>
            <w:pPr>
              <w:jc w:val="right"/>
              <w:spacing w:after="0"/>
              <w:rPr>
                <w:sz w:val="20"/>
                <w:szCs w:val="20"/>
                <w:color w:val="auto"/>
              </w:rPr>
            </w:pPr>
            <w:r>
              <w:rPr>
                <w:rFonts w:ascii="Arial" w:cs="Arial" w:eastAsia="Arial" w:hAnsi="Arial"/>
                <w:sz w:val="13"/>
                <w:szCs w:val="13"/>
                <w:b w:val="1"/>
                <w:bCs w:val="1"/>
                <w:color w:val="auto"/>
              </w:rPr>
              <w:t>(366)</w:t>
            </w:r>
          </w:p>
        </w:tc>
        <w:tc>
          <w:tcPr>
            <w:tcW w:w="100" w:type="dxa"/>
            <w:vAlign w:val="bottom"/>
            <w:tcBorders>
              <w:bottom w:val="single" w:sz="8" w:color="929292"/>
            </w:tcBorders>
          </w:tcPr>
          <w:p>
            <w:pPr>
              <w:spacing w:after="0"/>
              <w:rPr>
                <w:sz w:val="14"/>
                <w:szCs w:val="14"/>
                <w:color w:val="auto"/>
              </w:rPr>
            </w:pPr>
          </w:p>
        </w:tc>
        <w:tc>
          <w:tcPr>
            <w:tcW w:w="880" w:type="dxa"/>
            <w:vAlign w:val="bottom"/>
            <w:tcBorders>
              <w:bottom w:val="single" w:sz="8" w:color="929292"/>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76,155</w:t>
            </w:r>
          </w:p>
        </w:tc>
        <w:tc>
          <w:tcPr>
            <w:tcW w:w="0" w:type="dxa"/>
            <w:vAlign w:val="bottom"/>
          </w:tcPr>
          <w:p>
            <w:pPr>
              <w:spacing w:after="0"/>
              <w:rPr>
                <w:sz w:val="1"/>
                <w:szCs w:val="1"/>
                <w:color w:val="auto"/>
              </w:rPr>
            </w:pPr>
          </w:p>
        </w:tc>
      </w:tr>
      <w:tr>
        <w:trPr>
          <w:trHeight w:val="170"/>
        </w:trPr>
        <w:tc>
          <w:tcPr>
            <w:tcW w:w="3220" w:type="dxa"/>
            <w:vAlign w:val="bottom"/>
          </w:tcPr>
          <w:p>
            <w:pPr>
              <w:ind w:left="60"/>
              <w:spacing w:after="0"/>
              <w:rPr>
                <w:sz w:val="20"/>
                <w:szCs w:val="20"/>
                <w:color w:val="auto"/>
              </w:rPr>
            </w:pPr>
            <w:r>
              <w:rPr>
                <w:rFonts w:ascii="Arial" w:cs="Arial" w:eastAsia="Arial" w:hAnsi="Arial"/>
                <w:sz w:val="13"/>
                <w:szCs w:val="13"/>
                <w:color w:val="auto"/>
              </w:rPr>
              <w:t>At-the-market offering - net of share issuance costs</w:t>
            </w:r>
          </w:p>
        </w:tc>
        <w:tc>
          <w:tcPr>
            <w:tcW w:w="58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1000" w:type="dxa"/>
            <w:vAlign w:val="bottom"/>
            <w:gridSpan w:val="2"/>
          </w:tcPr>
          <w:p>
            <w:pPr>
              <w:jc w:val="right"/>
              <w:ind w:right="55"/>
              <w:spacing w:after="0"/>
              <w:rPr>
                <w:sz w:val="20"/>
                <w:szCs w:val="20"/>
                <w:color w:val="auto"/>
              </w:rPr>
            </w:pPr>
            <w:r>
              <w:rPr>
                <w:rFonts w:ascii="Arial" w:cs="Arial" w:eastAsia="Arial" w:hAnsi="Arial"/>
                <w:sz w:val="13"/>
                <w:szCs w:val="13"/>
                <w:color w:val="auto"/>
              </w:rPr>
              <w:t>5,331,630</w:t>
            </w:r>
          </w:p>
        </w:tc>
        <w:tc>
          <w:tcPr>
            <w:tcW w:w="780" w:type="dxa"/>
            <w:vAlign w:val="bottom"/>
          </w:tcPr>
          <w:p>
            <w:pPr>
              <w:jc w:val="right"/>
              <w:spacing w:after="0"/>
              <w:rPr>
                <w:sz w:val="20"/>
                <w:szCs w:val="20"/>
                <w:color w:val="auto"/>
              </w:rPr>
            </w:pPr>
            <w:r>
              <w:rPr>
                <w:rFonts w:ascii="Arial" w:cs="Arial" w:eastAsia="Arial" w:hAnsi="Arial"/>
                <w:sz w:val="13"/>
                <w:szCs w:val="13"/>
                <w:color w:val="auto"/>
              </w:rPr>
              <w:t>4,598</w:t>
            </w:r>
          </w:p>
        </w:tc>
        <w:tc>
          <w:tcPr>
            <w:tcW w:w="80" w:type="dxa"/>
            <w:vAlign w:val="bottom"/>
          </w:tcPr>
          <w:p>
            <w:pPr>
              <w:spacing w:after="0"/>
              <w:rPr>
                <w:sz w:val="14"/>
                <w:szCs w:val="14"/>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4,598</w:t>
            </w:r>
          </w:p>
        </w:tc>
        <w:tc>
          <w:tcPr>
            <w:tcW w:w="0" w:type="dxa"/>
            <w:vAlign w:val="bottom"/>
          </w:tcPr>
          <w:p>
            <w:pPr>
              <w:spacing w:after="0"/>
              <w:rPr>
                <w:sz w:val="1"/>
                <w:szCs w:val="1"/>
                <w:color w:val="auto"/>
              </w:rPr>
            </w:pPr>
          </w:p>
        </w:tc>
      </w:tr>
      <w:tr>
        <w:trPr>
          <w:trHeight w:val="183"/>
        </w:trPr>
        <w:tc>
          <w:tcPr>
            <w:tcW w:w="3220" w:type="dxa"/>
            <w:vAlign w:val="bottom"/>
          </w:tcPr>
          <w:p>
            <w:pPr>
              <w:ind w:left="60"/>
              <w:spacing w:after="0"/>
              <w:rPr>
                <w:sz w:val="20"/>
                <w:szCs w:val="20"/>
                <w:color w:val="auto"/>
              </w:rPr>
            </w:pPr>
            <w:r>
              <w:rPr>
                <w:rFonts w:ascii="Arial" w:cs="Arial" w:eastAsia="Arial" w:hAnsi="Arial"/>
                <w:sz w:val="13"/>
                <w:szCs w:val="13"/>
                <w:color w:val="auto"/>
              </w:rPr>
              <w:t>Shares issued on Adelia milestones</w:t>
            </w:r>
          </w:p>
        </w:tc>
        <w:tc>
          <w:tcPr>
            <w:tcW w:w="580" w:type="dxa"/>
            <w:vAlign w:val="bottom"/>
          </w:tcPr>
          <w:p>
            <w:pPr>
              <w:jc w:val="center"/>
              <w:spacing w:after="0"/>
              <w:rPr>
                <w:sz w:val="20"/>
                <w:szCs w:val="20"/>
                <w:color w:val="auto"/>
              </w:rPr>
            </w:pPr>
            <w:r>
              <w:rPr>
                <w:rFonts w:ascii="Arial" w:cs="Arial" w:eastAsia="Arial" w:hAnsi="Arial"/>
                <w:sz w:val="13"/>
                <w:szCs w:val="13"/>
                <w:color w:val="auto"/>
              </w:rPr>
              <w:t>7, 8</w:t>
            </w:r>
          </w:p>
        </w:tc>
        <w:tc>
          <w:tcPr>
            <w:tcW w:w="1000" w:type="dxa"/>
            <w:vAlign w:val="bottom"/>
            <w:gridSpan w:val="2"/>
          </w:tcPr>
          <w:p>
            <w:pPr>
              <w:jc w:val="right"/>
              <w:ind w:right="55"/>
              <w:spacing w:after="0"/>
              <w:rPr>
                <w:sz w:val="20"/>
                <w:szCs w:val="20"/>
                <w:color w:val="auto"/>
              </w:rPr>
            </w:pPr>
            <w:r>
              <w:rPr>
                <w:rFonts w:ascii="Arial" w:cs="Arial" w:eastAsia="Arial" w:hAnsi="Arial"/>
                <w:sz w:val="13"/>
                <w:szCs w:val="13"/>
                <w:color w:val="auto"/>
              </w:rPr>
              <w:t>3,603,742</w:t>
            </w:r>
          </w:p>
        </w:tc>
        <w:tc>
          <w:tcPr>
            <w:tcW w:w="780" w:type="dxa"/>
            <w:vAlign w:val="bottom"/>
          </w:tcPr>
          <w:p>
            <w:pPr>
              <w:jc w:val="right"/>
              <w:spacing w:after="0"/>
              <w:rPr>
                <w:sz w:val="20"/>
                <w:szCs w:val="20"/>
                <w:color w:val="auto"/>
              </w:rPr>
            </w:pPr>
            <w:r>
              <w:rPr>
                <w:rFonts w:ascii="Arial" w:cs="Arial" w:eastAsia="Arial" w:hAnsi="Arial"/>
                <w:sz w:val="13"/>
                <w:szCs w:val="13"/>
                <w:color w:val="auto"/>
              </w:rPr>
              <w:t>2,988</w:t>
            </w:r>
          </w:p>
        </w:tc>
        <w:tc>
          <w:tcPr>
            <w:tcW w:w="80" w:type="dxa"/>
            <w:vAlign w:val="bottom"/>
          </w:tcPr>
          <w:p>
            <w:pPr>
              <w:spacing w:after="0"/>
              <w:rPr>
                <w:sz w:val="15"/>
                <w:szCs w:val="15"/>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2,988</w:t>
            </w:r>
          </w:p>
        </w:tc>
        <w:tc>
          <w:tcPr>
            <w:tcW w:w="0" w:type="dxa"/>
            <w:vAlign w:val="bottom"/>
          </w:tcPr>
          <w:p>
            <w:pPr>
              <w:spacing w:after="0"/>
              <w:rPr>
                <w:sz w:val="1"/>
                <w:szCs w:val="1"/>
                <w:color w:val="auto"/>
              </w:rPr>
            </w:pPr>
          </w:p>
        </w:tc>
      </w:tr>
      <w:tr>
        <w:trPr>
          <w:trHeight w:val="183"/>
        </w:trPr>
        <w:tc>
          <w:tcPr>
            <w:tcW w:w="3220" w:type="dxa"/>
            <w:vAlign w:val="bottom"/>
          </w:tcPr>
          <w:p>
            <w:pPr>
              <w:ind w:left="60"/>
              <w:spacing w:after="0"/>
              <w:rPr>
                <w:sz w:val="20"/>
                <w:szCs w:val="20"/>
                <w:color w:val="auto"/>
              </w:rPr>
            </w:pPr>
            <w:r>
              <w:rPr>
                <w:rFonts w:ascii="Arial" w:cs="Arial" w:eastAsia="Arial" w:hAnsi="Arial"/>
                <w:sz w:val="13"/>
                <w:szCs w:val="13"/>
                <w:color w:val="auto"/>
              </w:rPr>
              <w:t>Warrants exercised</w:t>
            </w:r>
          </w:p>
        </w:tc>
        <w:tc>
          <w:tcPr>
            <w:tcW w:w="58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1000" w:type="dxa"/>
            <w:vAlign w:val="bottom"/>
            <w:gridSpan w:val="2"/>
          </w:tcPr>
          <w:p>
            <w:pPr>
              <w:jc w:val="right"/>
              <w:ind w:right="55"/>
              <w:spacing w:after="0"/>
              <w:rPr>
                <w:sz w:val="20"/>
                <w:szCs w:val="20"/>
                <w:color w:val="auto"/>
              </w:rPr>
            </w:pPr>
            <w:r>
              <w:rPr>
                <w:rFonts w:ascii="Arial" w:cs="Arial" w:eastAsia="Arial" w:hAnsi="Arial"/>
                <w:sz w:val="13"/>
                <w:szCs w:val="13"/>
                <w:color w:val="auto"/>
              </w:rPr>
              <w:t>1,164,638</w:t>
            </w:r>
          </w:p>
        </w:tc>
        <w:tc>
          <w:tcPr>
            <w:tcW w:w="780" w:type="dxa"/>
            <w:vAlign w:val="bottom"/>
          </w:tcPr>
          <w:p>
            <w:pPr>
              <w:jc w:val="right"/>
              <w:spacing w:after="0"/>
              <w:rPr>
                <w:sz w:val="20"/>
                <w:szCs w:val="20"/>
                <w:color w:val="auto"/>
              </w:rPr>
            </w:pPr>
            <w:r>
              <w:rPr>
                <w:rFonts w:ascii="Arial" w:cs="Arial" w:eastAsia="Arial" w:hAnsi="Arial"/>
                <w:sz w:val="13"/>
                <w:szCs w:val="13"/>
                <w:color w:val="auto"/>
              </w:rPr>
              <w:t>527</w:t>
            </w:r>
          </w:p>
        </w:tc>
        <w:tc>
          <w:tcPr>
            <w:tcW w:w="940" w:type="dxa"/>
            <w:vAlign w:val="bottom"/>
            <w:gridSpan w:val="2"/>
          </w:tcPr>
          <w:p>
            <w:pPr>
              <w:jc w:val="right"/>
              <w:ind w:right="15"/>
              <w:spacing w:after="0"/>
              <w:rPr>
                <w:sz w:val="20"/>
                <w:szCs w:val="20"/>
                <w:color w:val="auto"/>
              </w:rPr>
            </w:pPr>
            <w:r>
              <w:rPr>
                <w:rFonts w:ascii="Arial" w:cs="Arial" w:eastAsia="Arial" w:hAnsi="Arial"/>
                <w:sz w:val="13"/>
                <w:szCs w:val="13"/>
                <w:color w:val="auto"/>
              </w:rPr>
              <w:t>(165)</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83"/>
        </w:trPr>
        <w:tc>
          <w:tcPr>
            <w:tcW w:w="3220" w:type="dxa"/>
            <w:vAlign w:val="bottom"/>
          </w:tcPr>
          <w:p>
            <w:pPr>
              <w:ind w:left="60"/>
              <w:spacing w:after="0"/>
              <w:rPr>
                <w:sz w:val="20"/>
                <w:szCs w:val="20"/>
                <w:color w:val="auto"/>
              </w:rPr>
            </w:pPr>
            <w:r>
              <w:rPr>
                <w:rFonts w:ascii="Arial" w:cs="Arial" w:eastAsia="Arial" w:hAnsi="Arial"/>
                <w:sz w:val="13"/>
                <w:szCs w:val="13"/>
                <w:color w:val="auto"/>
              </w:rPr>
              <w:t>Options forfeited</w:t>
            </w:r>
          </w:p>
        </w:tc>
        <w:tc>
          <w:tcPr>
            <w:tcW w:w="58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(169)</w:t>
            </w:r>
          </w:p>
        </w:tc>
        <w:tc>
          <w:tcPr>
            <w:tcW w:w="84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220" w:type="dxa"/>
            <w:vAlign w:val="bottom"/>
          </w:tcPr>
          <w:p>
            <w:pPr>
              <w:ind w:left="60"/>
              <w:spacing w:after="0"/>
              <w:rPr>
                <w:sz w:val="20"/>
                <w:szCs w:val="20"/>
                <w:color w:val="auto"/>
              </w:rPr>
            </w:pPr>
            <w:r>
              <w:rPr>
                <w:rFonts w:ascii="Arial" w:cs="Arial" w:eastAsia="Arial" w:hAnsi="Arial"/>
                <w:sz w:val="13"/>
                <w:szCs w:val="13"/>
                <w:color w:val="auto"/>
              </w:rPr>
              <w:t>Finders' warrants</w:t>
            </w:r>
          </w:p>
        </w:tc>
        <w:tc>
          <w:tcPr>
            <w:tcW w:w="58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w:t>
            </w:r>
          </w:p>
        </w:tc>
        <w:tc>
          <w:tcPr>
            <w:tcW w:w="940" w:type="dxa"/>
            <w:vAlign w:val="bottom"/>
            <w:gridSpan w:val="2"/>
          </w:tcPr>
          <w:p>
            <w:pPr>
              <w:jc w:val="right"/>
              <w:ind w:right="15"/>
              <w:spacing w:after="0"/>
              <w:rPr>
                <w:sz w:val="20"/>
                <w:szCs w:val="20"/>
                <w:color w:val="auto"/>
              </w:rPr>
            </w:pPr>
            <w:r>
              <w:rPr>
                <w:rFonts w:ascii="Arial" w:cs="Arial" w:eastAsia="Arial" w:hAnsi="Arial"/>
                <w:sz w:val="13"/>
                <w:szCs w:val="13"/>
                <w:color w:val="auto"/>
              </w:rPr>
              <w:t>6</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220" w:type="dxa"/>
            <w:vAlign w:val="bottom"/>
          </w:tcPr>
          <w:p>
            <w:pPr>
              <w:ind w:left="60"/>
              <w:spacing w:after="0"/>
              <w:rPr>
                <w:sz w:val="20"/>
                <w:szCs w:val="20"/>
                <w:color w:val="auto"/>
              </w:rPr>
            </w:pPr>
            <w:r>
              <w:rPr>
                <w:rFonts w:ascii="Arial" w:cs="Arial" w:eastAsia="Arial" w:hAnsi="Arial"/>
                <w:sz w:val="13"/>
                <w:szCs w:val="13"/>
                <w:color w:val="auto"/>
              </w:rPr>
              <w:t>Share-based compensation</w:t>
            </w:r>
          </w:p>
        </w:tc>
        <w:tc>
          <w:tcPr>
            <w:tcW w:w="580" w:type="dxa"/>
            <w:vAlign w:val="bottom"/>
          </w:tcPr>
          <w:p>
            <w:pPr>
              <w:jc w:val="center"/>
              <w:spacing w:after="0"/>
              <w:rPr>
                <w:sz w:val="20"/>
                <w:szCs w:val="20"/>
                <w:color w:val="auto"/>
              </w:rPr>
            </w:pPr>
            <w:r>
              <w:rPr>
                <w:rFonts w:ascii="Arial" w:cs="Arial" w:eastAsia="Arial" w:hAnsi="Arial"/>
                <w:sz w:val="13"/>
                <w:szCs w:val="13"/>
                <w:color w:val="auto"/>
              </w:rPr>
              <w:t>8, 9</w:t>
            </w:r>
          </w:p>
        </w:tc>
        <w:tc>
          <w:tcPr>
            <w:tcW w:w="8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5"/>
              <w:spacing w:after="0"/>
              <w:rPr>
                <w:sz w:val="20"/>
                <w:szCs w:val="20"/>
                <w:color w:val="auto"/>
              </w:rPr>
            </w:pPr>
            <w:r>
              <w:rPr>
                <w:rFonts w:ascii="Arial" w:cs="Arial" w:eastAsia="Arial" w:hAnsi="Arial"/>
                <w:sz w:val="13"/>
                <w:szCs w:val="13"/>
                <w:color w:val="auto"/>
              </w:rPr>
              <w:t>6</w:t>
            </w:r>
          </w:p>
        </w:tc>
        <w:tc>
          <w:tcPr>
            <w:tcW w:w="840" w:type="dxa"/>
            <w:vAlign w:val="bottom"/>
          </w:tcPr>
          <w:p>
            <w:pPr>
              <w:jc w:val="right"/>
              <w:spacing w:after="0"/>
              <w:rPr>
                <w:sz w:val="20"/>
                <w:szCs w:val="20"/>
                <w:color w:val="auto"/>
              </w:rPr>
            </w:pPr>
            <w:r>
              <w:rPr>
                <w:rFonts w:ascii="Arial" w:cs="Arial" w:eastAsia="Arial" w:hAnsi="Arial"/>
                <w:sz w:val="13"/>
                <w:szCs w:val="13"/>
                <w:color w:val="auto"/>
              </w:rPr>
              <w:t>3,221</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3,227</w:t>
            </w:r>
          </w:p>
        </w:tc>
        <w:tc>
          <w:tcPr>
            <w:tcW w:w="0" w:type="dxa"/>
            <w:vAlign w:val="bottom"/>
          </w:tcPr>
          <w:p>
            <w:pPr>
              <w:spacing w:after="0"/>
              <w:rPr>
                <w:sz w:val="1"/>
                <w:szCs w:val="1"/>
                <w:color w:val="auto"/>
              </w:rPr>
            </w:pPr>
          </w:p>
        </w:tc>
      </w:tr>
      <w:tr>
        <w:trPr>
          <w:trHeight w:val="183"/>
        </w:trPr>
        <w:tc>
          <w:tcPr>
            <w:tcW w:w="3220" w:type="dxa"/>
            <w:vAlign w:val="bottom"/>
          </w:tcPr>
          <w:p>
            <w:pPr>
              <w:ind w:left="60"/>
              <w:spacing w:after="0"/>
              <w:rPr>
                <w:sz w:val="20"/>
                <w:szCs w:val="20"/>
                <w:color w:val="auto"/>
              </w:rPr>
            </w:pPr>
            <w:r>
              <w:rPr>
                <w:rFonts w:ascii="Arial" w:cs="Arial" w:eastAsia="Arial" w:hAnsi="Arial"/>
                <w:sz w:val="13"/>
                <w:szCs w:val="13"/>
                <w:color w:val="auto"/>
              </w:rPr>
              <w:t>Unrealized loss on translation of foreign operations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(71)</w:t>
            </w:r>
          </w:p>
        </w:tc>
        <w:tc>
          <w:tcPr>
            <w:tcW w:w="980" w:type="dxa"/>
            <w:vAlign w:val="bottom"/>
            <w:gridSpan w:val="2"/>
          </w:tcPr>
          <w:p>
            <w:pPr>
              <w:jc w:val="right"/>
              <w:ind w:right="15"/>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Net loss for the period</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(23,028)</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color w:val="auto"/>
              </w:rPr>
              <w:t>(23,028)</w:t>
            </w:r>
          </w:p>
        </w:tc>
        <w:tc>
          <w:tcPr>
            <w:tcW w:w="0" w:type="dxa"/>
            <w:vAlign w:val="bottom"/>
          </w:tcPr>
          <w:p>
            <w:pPr>
              <w:spacing w:after="0"/>
              <w:rPr>
                <w:sz w:val="1"/>
                <w:szCs w:val="1"/>
                <w:color w:val="auto"/>
              </w:rPr>
            </w:pPr>
          </w:p>
        </w:tc>
      </w:tr>
      <w:tr>
        <w:trPr>
          <w:trHeight w:val="175"/>
        </w:trPr>
        <w:tc>
          <w:tcPr>
            <w:tcW w:w="322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September 30, 2022</w:t>
            </w:r>
          </w:p>
        </w:tc>
        <w:tc>
          <w:tcPr>
            <w:tcW w:w="580" w:type="dxa"/>
            <w:vAlign w:val="bottom"/>
            <w:tcBorders>
              <w:bottom w:val="single" w:sz="8" w:color="auto"/>
            </w:tcBorders>
            <w:shd w:val="clear" w:color="auto" w:fill="D9D9D9"/>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shd w:val="clear" w:color="auto" w:fill="D9D9D9"/>
          </w:tcPr>
          <w:p>
            <w:pPr>
              <w:jc w:val="right"/>
              <w:ind w:right="55"/>
              <w:spacing w:after="0"/>
              <w:rPr>
                <w:sz w:val="20"/>
                <w:szCs w:val="20"/>
                <w:color w:val="auto"/>
              </w:rPr>
            </w:pPr>
            <w:r>
              <w:rPr>
                <w:rFonts w:ascii="Arial" w:cs="Arial" w:eastAsia="Arial" w:hAnsi="Arial"/>
                <w:sz w:val="13"/>
                <w:szCs w:val="13"/>
                <w:b w:val="1"/>
                <w:bCs w:val="1"/>
                <w:color w:val="auto"/>
              </w:rPr>
              <w:t>185,211,664</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149,558</w:t>
            </w:r>
          </w:p>
        </w:tc>
        <w:tc>
          <w:tcPr>
            <w:tcW w:w="80" w:type="dxa"/>
            <w:vAlign w:val="bottom"/>
          </w:tcPr>
          <w:p>
            <w:pPr>
              <w:spacing w:after="0"/>
              <w:rPr>
                <w:sz w:val="15"/>
                <w:szCs w:val="15"/>
                <w:color w:val="auto"/>
              </w:rPr>
            </w:pPr>
          </w:p>
        </w:tc>
        <w:tc>
          <w:tcPr>
            <w:tcW w:w="86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11,270</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26,835</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694</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(123,689)</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(437)</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shd w:val="clear" w:color="auto" w:fill="D9D9D9"/>
          </w:tcPr>
          <w:p>
            <w:pPr>
              <w:jc w:val="right"/>
              <w:ind w:right="15"/>
              <w:spacing w:after="0"/>
              <w:rPr>
                <w:sz w:val="20"/>
                <w:szCs w:val="20"/>
                <w:color w:val="auto"/>
              </w:rPr>
            </w:pPr>
            <w:r>
              <w:rPr>
                <w:rFonts w:ascii="Arial" w:cs="Arial" w:eastAsia="Arial" w:hAnsi="Arial"/>
                <w:sz w:val="13"/>
                <w:szCs w:val="13"/>
                <w:b w:val="1"/>
                <w:bCs w:val="1"/>
                <w:color w:val="auto"/>
              </w:rPr>
              <w:t>64,231</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financial statements</w:t>
      </w:r>
    </w:p>
    <w:p>
      <w:pPr>
        <w:sectPr>
          <w:pgSz w:w="11900" w:h="16838" w:orient="portrait"/>
          <w:cols w:equalWidth="0" w:num="1">
            <w:col w:w="11260"/>
          </w:cols>
          <w:pgMar w:left="320" w:top="171" w:right="319" w:bottom="1440" w:gutter="0" w:footer="0" w:header="0"/>
        </w:sectPr>
      </w:pPr>
    </w:p>
    <w:bookmarkStart w:id="8" w:name="page9"/>
    <w:bookmarkEnd w:id="8"/>
    <w:p>
      <w:pPr>
        <w:ind w:left="60"/>
        <w:spacing w:after="0"/>
        <w:rPr>
          <w:sz w:val="20"/>
          <w:szCs w:val="20"/>
          <w:color w:val="auto"/>
        </w:rPr>
      </w:pPr>
      <w:r>
        <w:rPr>
          <w:rFonts w:ascii="Arial" w:cs="Arial" w:eastAsia="Arial" w:hAnsi="Arial"/>
          <w:sz w:val="20"/>
          <w:szCs w:val="20"/>
          <w:b w:val="1"/>
          <w:bCs w:val="1"/>
          <w:color w:val="auto"/>
        </w:rPr>
        <w:t>CYBIN INC.</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CONSOLIDATED STATEMENT OF CASH FLOWS</w:t>
      </w:r>
    </w:p>
    <w:p>
      <w:pPr>
        <w:ind w:left="60"/>
        <w:spacing w:after="0"/>
        <w:rPr>
          <w:sz w:val="20"/>
          <w:szCs w:val="20"/>
          <w:color w:val="auto"/>
        </w:rPr>
      </w:pPr>
      <w:r>
        <w:rPr>
          <w:rFonts w:ascii="Arial" w:cs="Arial" w:eastAsia="Arial" w:hAnsi="Arial"/>
          <w:sz w:val="16"/>
          <w:szCs w:val="16"/>
          <w:b w:val="1"/>
          <w:bCs w:val="1"/>
          <w:color w:val="auto"/>
        </w:rPr>
        <w:t>(All amounts expressed in thousands of Canadian dollars)</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5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b w:val="1"/>
                <w:bCs w:val="1"/>
                <w:color w:val="auto"/>
                <w:w w:val="99"/>
              </w:rPr>
              <w:t>Three months ended September 30,</w:t>
            </w:r>
          </w:p>
        </w:tc>
        <w:tc>
          <w:tcPr>
            <w:tcW w:w="260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5"/>
                <w:szCs w:val="15"/>
                <w:b w:val="1"/>
                <w:bCs w:val="1"/>
                <w:color w:val="auto"/>
              </w:rPr>
              <w:t>Six months ended September 30,</w:t>
            </w:r>
          </w:p>
        </w:tc>
        <w:tc>
          <w:tcPr>
            <w:tcW w:w="0" w:type="dxa"/>
            <w:vAlign w:val="bottom"/>
          </w:tcPr>
          <w:p>
            <w:pPr>
              <w:spacing w:after="0"/>
              <w:rPr>
                <w:sz w:val="1"/>
                <w:szCs w:val="1"/>
                <w:color w:val="auto"/>
              </w:rPr>
            </w:pPr>
          </w:p>
        </w:tc>
      </w:tr>
      <w:tr>
        <w:trPr>
          <w:trHeight w:val="190"/>
        </w:trPr>
        <w:tc>
          <w:tcPr>
            <w:tcW w:w="5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Notes</w:t>
            </w:r>
          </w:p>
        </w:tc>
        <w:tc>
          <w:tcPr>
            <w:tcW w:w="16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2022</w:t>
            </w: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2021</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2022</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57"/>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OPERATING ACTIVITIES</w:t>
            </w:r>
          </w:p>
        </w:tc>
        <w:tc>
          <w:tcPr>
            <w:tcW w:w="7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720" w:type="dxa"/>
            <w:vAlign w:val="bottom"/>
          </w:tcPr>
          <w:p>
            <w:pPr>
              <w:spacing w:after="0"/>
              <w:rPr>
                <w:sz w:val="17"/>
                <w:szCs w:val="17"/>
                <w:color w:val="auto"/>
              </w:rPr>
            </w:pP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(9,973)</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(17,607)</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(23,028)</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(32,324)</w:t>
            </w:r>
          </w:p>
        </w:tc>
        <w:tc>
          <w:tcPr>
            <w:tcW w:w="0" w:type="dxa"/>
            <w:vAlign w:val="bottom"/>
          </w:tcPr>
          <w:p>
            <w:pPr>
              <w:spacing w:after="0"/>
              <w:rPr>
                <w:sz w:val="1"/>
                <w:szCs w:val="1"/>
                <w:color w:val="auto"/>
              </w:rPr>
            </w:pPr>
          </w:p>
        </w:tc>
      </w:tr>
      <w:tr>
        <w:trPr>
          <w:trHeight w:val="195"/>
        </w:trPr>
        <w:tc>
          <w:tcPr>
            <w:tcW w:w="5260" w:type="dxa"/>
            <w:vAlign w:val="bottom"/>
          </w:tcPr>
          <w:p>
            <w:pPr>
              <w:ind w:left="160"/>
              <w:spacing w:after="0"/>
              <w:rPr>
                <w:sz w:val="20"/>
                <w:szCs w:val="20"/>
                <w:color w:val="auto"/>
              </w:rPr>
            </w:pPr>
            <w:r>
              <w:rPr>
                <w:rFonts w:ascii="Arial" w:cs="Arial" w:eastAsia="Arial" w:hAnsi="Arial"/>
                <w:sz w:val="15"/>
                <w:szCs w:val="15"/>
                <w:b w:val="1"/>
                <w:bCs w:val="1"/>
                <w:color w:val="auto"/>
              </w:rPr>
              <w:t>Adjustments for items not affecting cash:</w:t>
            </w: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360"/>
              <w:spacing w:after="0"/>
              <w:rPr>
                <w:sz w:val="20"/>
                <w:szCs w:val="20"/>
                <w:color w:val="auto"/>
              </w:rPr>
            </w:pPr>
            <w:r>
              <w:rPr>
                <w:rFonts w:ascii="Arial" w:cs="Arial" w:eastAsia="Arial" w:hAnsi="Arial"/>
                <w:sz w:val="15"/>
                <w:szCs w:val="15"/>
                <w:color w:val="auto"/>
              </w:rPr>
              <w:t>Interest income</w:t>
            </w:r>
          </w:p>
        </w:tc>
        <w:tc>
          <w:tcPr>
            <w:tcW w:w="720" w:type="dxa"/>
            <w:vAlign w:val="bottom"/>
          </w:tcPr>
          <w:p>
            <w:pPr>
              <w:jc w:val="center"/>
              <w:spacing w:after="0"/>
              <w:rPr>
                <w:sz w:val="20"/>
                <w:szCs w:val="20"/>
                <w:color w:val="auto"/>
              </w:rPr>
            </w:pPr>
            <w:r>
              <w:rPr>
                <w:rFonts w:ascii="Arial" w:cs="Arial" w:eastAsia="Arial" w:hAnsi="Arial"/>
                <w:sz w:val="15"/>
                <w:szCs w:val="15"/>
                <w:i w:val="1"/>
                <w:iCs w:val="1"/>
                <w:color w:val="auto"/>
              </w:rPr>
              <w:t>3, 14</w:t>
            </w: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(6)</w:t>
            </w:r>
          </w:p>
        </w:tc>
        <w:tc>
          <w:tcPr>
            <w:tcW w:w="10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(12)</w:t>
            </w:r>
          </w:p>
        </w:tc>
        <w:tc>
          <w:tcPr>
            <w:tcW w:w="100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0"/>
        </w:trPr>
        <w:tc>
          <w:tcPr>
            <w:tcW w:w="5260" w:type="dxa"/>
            <w:vAlign w:val="bottom"/>
          </w:tcPr>
          <w:p>
            <w:pPr>
              <w:ind w:left="340"/>
              <w:spacing w:after="0"/>
              <w:rPr>
                <w:sz w:val="20"/>
                <w:szCs w:val="20"/>
                <w:color w:val="auto"/>
              </w:rPr>
            </w:pPr>
            <w:r>
              <w:rPr>
                <w:rFonts w:ascii="Arial" w:cs="Arial" w:eastAsia="Arial" w:hAnsi="Arial"/>
                <w:sz w:val="15"/>
                <w:szCs w:val="15"/>
                <w:color w:val="auto"/>
              </w:rPr>
              <w:t>Depreciation and amortization</w:t>
            </w:r>
          </w:p>
        </w:tc>
        <w:tc>
          <w:tcPr>
            <w:tcW w:w="720" w:type="dxa"/>
            <w:vAlign w:val="bottom"/>
          </w:tcPr>
          <w:p>
            <w:pPr>
              <w:jc w:val="center"/>
              <w:spacing w:after="0"/>
              <w:rPr>
                <w:sz w:val="20"/>
                <w:szCs w:val="20"/>
                <w:color w:val="auto"/>
              </w:rPr>
            </w:pPr>
            <w:r>
              <w:rPr>
                <w:rFonts w:ascii="Arial" w:cs="Arial" w:eastAsia="Arial" w:hAnsi="Arial"/>
                <w:sz w:val="15"/>
                <w:szCs w:val="15"/>
                <w:i w:val="1"/>
                <w:iCs w:val="1"/>
                <w:color w:val="auto"/>
              </w:rPr>
              <w:t>4, 5</w:t>
            </w: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59</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42</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112</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color w:val="auto"/>
              </w:rPr>
              <w:t>Share-based compensation</w:t>
            </w:r>
          </w:p>
        </w:tc>
        <w:tc>
          <w:tcPr>
            <w:tcW w:w="720" w:type="dxa"/>
            <w:vAlign w:val="bottom"/>
          </w:tcPr>
          <w:p>
            <w:pPr>
              <w:spacing w:after="0"/>
              <w:rPr>
                <w:sz w:val="19"/>
                <w:szCs w:val="19"/>
                <w:color w:val="auto"/>
              </w:rPr>
            </w:pP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1,072</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5,457</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3,227</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10,230</w:t>
            </w:r>
          </w:p>
        </w:tc>
        <w:tc>
          <w:tcPr>
            <w:tcW w:w="0" w:type="dxa"/>
            <w:vAlign w:val="bottom"/>
          </w:tcPr>
          <w:p>
            <w:pPr>
              <w:spacing w:after="0"/>
              <w:rPr>
                <w:sz w:val="1"/>
                <w:szCs w:val="1"/>
                <w:color w:val="auto"/>
              </w:rPr>
            </w:pPr>
          </w:p>
        </w:tc>
      </w:tr>
      <w:tr>
        <w:trPr>
          <w:trHeight w:val="165"/>
        </w:trPr>
        <w:tc>
          <w:tcPr>
            <w:tcW w:w="5260" w:type="dxa"/>
            <w:vAlign w:val="bottom"/>
          </w:tcPr>
          <w:p>
            <w:pPr>
              <w:ind w:left="420"/>
              <w:spacing w:after="0" w:line="166" w:lineRule="exact"/>
              <w:rPr>
                <w:sz w:val="20"/>
                <w:szCs w:val="20"/>
                <w:color w:val="auto"/>
              </w:rPr>
            </w:pPr>
            <w:r>
              <w:rPr>
                <w:rFonts w:ascii="Arial" w:cs="Arial" w:eastAsia="Arial" w:hAnsi="Arial"/>
                <w:sz w:val="15"/>
                <w:szCs w:val="15"/>
                <w:color w:val="auto"/>
              </w:rPr>
              <w:t>Change in fair value of investments measured at fair value through profit</w:t>
            </w:r>
          </w:p>
        </w:tc>
        <w:tc>
          <w:tcPr>
            <w:tcW w:w="720" w:type="dxa"/>
            <w:vAlign w:val="bottom"/>
          </w:tcPr>
          <w:p>
            <w:pPr>
              <w:jc w:val="center"/>
              <w:spacing w:after="0" w:line="166" w:lineRule="exact"/>
              <w:rPr>
                <w:sz w:val="20"/>
                <w:szCs w:val="20"/>
                <w:color w:val="auto"/>
              </w:rPr>
            </w:pPr>
            <w:r>
              <w:rPr>
                <w:rFonts w:ascii="Arial" w:cs="Arial" w:eastAsia="Arial" w:hAnsi="Arial"/>
                <w:sz w:val="15"/>
                <w:szCs w:val="15"/>
                <w:i w:val="1"/>
                <w:iCs w:val="1"/>
                <w:color w:val="auto"/>
              </w:rPr>
              <w:t>3, 14</w:t>
            </w:r>
          </w:p>
        </w:tc>
        <w:tc>
          <w:tcPr>
            <w:tcW w:w="1640" w:type="dxa"/>
            <w:vAlign w:val="bottom"/>
            <w:vMerge w:val="restart"/>
          </w:tcPr>
          <w:p>
            <w:pPr>
              <w:jc w:val="right"/>
              <w:ind w:right="307"/>
              <w:spacing w:after="0"/>
              <w:rPr>
                <w:sz w:val="20"/>
                <w:szCs w:val="20"/>
                <w:color w:val="auto"/>
              </w:rPr>
            </w:pPr>
            <w:r>
              <w:rPr>
                <w:rFonts w:ascii="Arial" w:cs="Arial" w:eastAsia="Arial" w:hAnsi="Arial"/>
                <w:sz w:val="15"/>
                <w:szCs w:val="15"/>
                <w:b w:val="1"/>
                <w:bCs w:val="1"/>
                <w:color w:val="auto"/>
              </w:rPr>
              <w:t>(12)</w:t>
            </w:r>
          </w:p>
        </w:tc>
        <w:tc>
          <w:tcPr>
            <w:tcW w:w="104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auto"/>
              </w:rPr>
              <w:t>—</w:t>
            </w:r>
          </w:p>
        </w:tc>
        <w:tc>
          <w:tcPr>
            <w:tcW w:w="1600" w:type="dxa"/>
            <w:vAlign w:val="bottom"/>
            <w:vMerge w:val="restart"/>
          </w:tcPr>
          <w:p>
            <w:pPr>
              <w:jc w:val="right"/>
              <w:ind w:right="327"/>
              <w:spacing w:after="0"/>
              <w:rPr>
                <w:sz w:val="20"/>
                <w:szCs w:val="20"/>
                <w:color w:val="auto"/>
              </w:rPr>
            </w:pPr>
            <w:r>
              <w:rPr>
                <w:rFonts w:ascii="Arial" w:cs="Arial" w:eastAsia="Arial" w:hAnsi="Arial"/>
                <w:sz w:val="15"/>
                <w:szCs w:val="15"/>
                <w:b w:val="1"/>
                <w:bCs w:val="1"/>
                <w:color w:val="auto"/>
              </w:rPr>
              <w:t>(24)</w:t>
            </w:r>
          </w:p>
        </w:tc>
        <w:tc>
          <w:tcPr>
            <w:tcW w:w="100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7"/>
        </w:trPr>
        <w:tc>
          <w:tcPr>
            <w:tcW w:w="5260" w:type="dxa"/>
            <w:vAlign w:val="bottom"/>
          </w:tcPr>
          <w:p>
            <w:pPr>
              <w:ind w:left="380"/>
              <w:spacing w:after="0"/>
              <w:rPr>
                <w:sz w:val="20"/>
                <w:szCs w:val="20"/>
                <w:color w:val="auto"/>
              </w:rPr>
            </w:pPr>
            <w:r>
              <w:rPr>
                <w:rFonts w:ascii="Arial" w:cs="Arial" w:eastAsia="Arial" w:hAnsi="Arial"/>
                <w:sz w:val="15"/>
                <w:szCs w:val="15"/>
                <w:color w:val="auto"/>
              </w:rPr>
              <w:t>or loss</w:t>
            </w:r>
          </w:p>
        </w:tc>
        <w:tc>
          <w:tcPr>
            <w:tcW w:w="7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color w:val="auto"/>
              </w:rPr>
              <w:t>Contingent consideration accretion</w:t>
            </w:r>
          </w:p>
        </w:tc>
        <w:tc>
          <w:tcPr>
            <w:tcW w:w="720" w:type="dxa"/>
            <w:vAlign w:val="bottom"/>
          </w:tcPr>
          <w:p>
            <w:pPr>
              <w:jc w:val="center"/>
              <w:spacing w:after="0"/>
              <w:rPr>
                <w:sz w:val="20"/>
                <w:szCs w:val="20"/>
                <w:color w:val="auto"/>
              </w:rPr>
            </w:pPr>
            <w:r>
              <w:rPr>
                <w:rFonts w:ascii="Arial" w:cs="Arial" w:eastAsia="Arial" w:hAnsi="Arial"/>
                <w:sz w:val="15"/>
                <w:szCs w:val="15"/>
                <w:i w:val="1"/>
                <w:iCs w:val="1"/>
                <w:color w:val="auto"/>
                <w:w w:val="95"/>
              </w:rPr>
              <w:t>7</w:t>
            </w: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70</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13</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color w:val="auto"/>
              </w:rPr>
              <w:t>Change in fair value of contingent consideration</w:t>
            </w:r>
          </w:p>
        </w:tc>
        <w:tc>
          <w:tcPr>
            <w:tcW w:w="720" w:type="dxa"/>
            <w:vAlign w:val="bottom"/>
          </w:tcPr>
          <w:p>
            <w:pPr>
              <w:jc w:val="center"/>
              <w:spacing w:after="0"/>
              <w:rPr>
                <w:sz w:val="20"/>
                <w:szCs w:val="20"/>
                <w:color w:val="auto"/>
              </w:rPr>
            </w:pPr>
            <w:r>
              <w:rPr>
                <w:rFonts w:ascii="Arial" w:cs="Arial" w:eastAsia="Arial" w:hAnsi="Arial"/>
                <w:sz w:val="15"/>
                <w:szCs w:val="15"/>
                <w:i w:val="1"/>
                <w:iCs w:val="1"/>
                <w:color w:val="auto"/>
                <w:w w:val="95"/>
              </w:rPr>
              <w:t>7</w:t>
            </w: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21</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637</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329</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1,249</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Unrealized foreign currency translation loss</w:t>
            </w:r>
          </w:p>
        </w:tc>
        <w:tc>
          <w:tcPr>
            <w:tcW w:w="7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(2,167)</w:t>
            </w: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(190)</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(2,692)</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(11,006)</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(11,591)</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(22,075)</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(20,693)</w:t>
            </w:r>
          </w:p>
        </w:tc>
        <w:tc>
          <w:tcPr>
            <w:tcW w:w="0" w:type="dxa"/>
            <w:vAlign w:val="bottom"/>
          </w:tcPr>
          <w:p>
            <w:pPr>
              <w:spacing w:after="0"/>
              <w:rPr>
                <w:sz w:val="1"/>
                <w:szCs w:val="1"/>
                <w:color w:val="auto"/>
              </w:rPr>
            </w:pPr>
          </w:p>
        </w:tc>
      </w:tr>
      <w:tr>
        <w:trPr>
          <w:trHeight w:val="195"/>
        </w:trPr>
        <w:tc>
          <w:tcPr>
            <w:tcW w:w="5260" w:type="dxa"/>
            <w:vAlign w:val="bottom"/>
          </w:tcPr>
          <w:p>
            <w:pPr>
              <w:ind w:left="160"/>
              <w:spacing w:after="0"/>
              <w:rPr>
                <w:sz w:val="20"/>
                <w:szCs w:val="20"/>
                <w:color w:val="auto"/>
              </w:rPr>
            </w:pPr>
            <w:r>
              <w:rPr>
                <w:rFonts w:ascii="Arial" w:cs="Arial" w:eastAsia="Arial" w:hAnsi="Arial"/>
                <w:sz w:val="15"/>
                <w:szCs w:val="15"/>
                <w:b w:val="1"/>
                <w:bCs w:val="1"/>
                <w:color w:val="auto"/>
              </w:rPr>
              <w:t>Net changes in non-cash working capital items:</w:t>
            </w:r>
          </w:p>
        </w:tc>
        <w:tc>
          <w:tcPr>
            <w:tcW w:w="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color w:val="auto"/>
              </w:rPr>
              <w:t>Accounts receivable</w:t>
            </w:r>
          </w:p>
        </w:tc>
        <w:tc>
          <w:tcPr>
            <w:tcW w:w="720" w:type="dxa"/>
            <w:vAlign w:val="bottom"/>
          </w:tcPr>
          <w:p>
            <w:pPr>
              <w:spacing w:after="0"/>
              <w:rPr>
                <w:sz w:val="19"/>
                <w:szCs w:val="19"/>
                <w:color w:val="auto"/>
              </w:rPr>
            </w:pP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(575)</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(606)</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(737)</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(952)</w:t>
            </w:r>
          </w:p>
        </w:tc>
        <w:tc>
          <w:tcPr>
            <w:tcW w:w="0" w:type="dxa"/>
            <w:vAlign w:val="bottom"/>
          </w:tcPr>
          <w:p>
            <w:pPr>
              <w:spacing w:after="0"/>
              <w:rPr>
                <w:sz w:val="1"/>
                <w:szCs w:val="1"/>
                <w:color w:val="auto"/>
              </w:rPr>
            </w:pP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color w:val="auto"/>
              </w:rPr>
              <w:t>Prepaid expenses</w:t>
            </w:r>
          </w:p>
        </w:tc>
        <w:tc>
          <w:tcPr>
            <w:tcW w:w="720" w:type="dxa"/>
            <w:vAlign w:val="bottom"/>
          </w:tcPr>
          <w:p>
            <w:pPr>
              <w:spacing w:after="0"/>
              <w:rPr>
                <w:sz w:val="19"/>
                <w:szCs w:val="19"/>
                <w:color w:val="auto"/>
              </w:rPr>
            </w:pP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(1,909)</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(1,172)</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(1,898)</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(863)</w:t>
            </w:r>
          </w:p>
        </w:tc>
        <w:tc>
          <w:tcPr>
            <w:tcW w:w="0" w:type="dxa"/>
            <w:vAlign w:val="bottom"/>
          </w:tcPr>
          <w:p>
            <w:pPr>
              <w:spacing w:after="0"/>
              <w:rPr>
                <w:sz w:val="1"/>
                <w:szCs w:val="1"/>
                <w:color w:val="auto"/>
              </w:rPr>
            </w:pPr>
          </w:p>
        </w:tc>
      </w:tr>
      <w:tr>
        <w:trPr>
          <w:trHeight w:val="195"/>
        </w:trPr>
        <w:tc>
          <w:tcPr>
            <w:tcW w:w="5260" w:type="dxa"/>
            <w:vAlign w:val="bottom"/>
          </w:tcPr>
          <w:p>
            <w:pPr>
              <w:ind w:left="60"/>
              <w:spacing w:after="0"/>
              <w:rPr>
                <w:sz w:val="20"/>
                <w:szCs w:val="20"/>
                <w:color w:val="auto"/>
              </w:rPr>
            </w:pPr>
            <w:r>
              <w:rPr>
                <w:rFonts w:ascii="Arial" w:cs="Arial" w:eastAsia="Arial" w:hAnsi="Arial"/>
                <w:sz w:val="15"/>
                <w:szCs w:val="15"/>
                <w:color w:val="auto"/>
              </w:rPr>
              <w:t>Other current assets</w:t>
            </w:r>
          </w:p>
        </w:tc>
        <w:tc>
          <w:tcPr>
            <w:tcW w:w="720" w:type="dxa"/>
            <w:vAlign w:val="bottom"/>
          </w:tcPr>
          <w:p>
            <w:pPr>
              <w:spacing w:after="0"/>
              <w:rPr>
                <w:sz w:val="17"/>
                <w:szCs w:val="17"/>
                <w:color w:val="auto"/>
              </w:rPr>
            </w:pP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(137)</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(732)</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Accounts payable and accrued liabilities</w:t>
            </w:r>
          </w:p>
        </w:tc>
        <w:tc>
          <w:tcPr>
            <w:tcW w:w="7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(1,056)</w:t>
            </w: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(423)</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(380)</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190"/>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flows used in operating activities</w:t>
            </w:r>
          </w:p>
        </w:tc>
        <w:tc>
          <w:tcPr>
            <w:tcW w:w="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(14,683)</w:t>
            </w: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(13,792)</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(25,822)</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(22,672)</w:t>
            </w:r>
          </w:p>
        </w:tc>
        <w:tc>
          <w:tcPr>
            <w:tcW w:w="0" w:type="dxa"/>
            <w:vAlign w:val="bottom"/>
          </w:tcPr>
          <w:p>
            <w:pPr>
              <w:spacing w:after="0"/>
              <w:rPr>
                <w:sz w:val="1"/>
                <w:szCs w:val="1"/>
                <w:color w:val="auto"/>
              </w:rPr>
            </w:pPr>
          </w:p>
        </w:tc>
      </w:tr>
      <w:tr>
        <w:trPr>
          <w:trHeight w:val="257"/>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INVESTING ACTIVITIES</w:t>
            </w:r>
          </w:p>
        </w:tc>
        <w:tc>
          <w:tcPr>
            <w:tcW w:w="7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340"/>
              <w:spacing w:after="0"/>
              <w:rPr>
                <w:sz w:val="20"/>
                <w:szCs w:val="20"/>
                <w:color w:val="auto"/>
              </w:rPr>
            </w:pPr>
            <w:r>
              <w:rPr>
                <w:rFonts w:ascii="Arial" w:cs="Arial" w:eastAsia="Arial" w:hAnsi="Arial"/>
                <w:sz w:val="15"/>
                <w:szCs w:val="15"/>
                <w:color w:val="auto"/>
              </w:rPr>
              <w:t>Purchase of investment</w:t>
            </w:r>
          </w:p>
        </w:tc>
        <w:tc>
          <w:tcPr>
            <w:tcW w:w="720" w:type="dxa"/>
            <w:vAlign w:val="bottom"/>
          </w:tcPr>
          <w:p>
            <w:pPr>
              <w:jc w:val="center"/>
              <w:spacing w:after="0"/>
              <w:rPr>
                <w:sz w:val="20"/>
                <w:szCs w:val="20"/>
                <w:color w:val="auto"/>
              </w:rPr>
            </w:pPr>
            <w:r>
              <w:rPr>
                <w:rFonts w:ascii="Arial" w:cs="Arial" w:eastAsia="Arial" w:hAnsi="Arial"/>
                <w:sz w:val="15"/>
                <w:szCs w:val="15"/>
                <w:i w:val="1"/>
                <w:iCs w:val="1"/>
                <w:color w:val="auto"/>
                <w:w w:val="95"/>
              </w:rPr>
              <w:t>3</w:t>
            </w: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95"/>
        </w:trPr>
        <w:tc>
          <w:tcPr>
            <w:tcW w:w="5260" w:type="dxa"/>
            <w:vAlign w:val="bottom"/>
          </w:tcPr>
          <w:p>
            <w:pPr>
              <w:ind w:left="340"/>
              <w:spacing w:after="0"/>
              <w:rPr>
                <w:sz w:val="20"/>
                <w:szCs w:val="20"/>
                <w:color w:val="auto"/>
              </w:rPr>
            </w:pPr>
            <w:r>
              <w:rPr>
                <w:rFonts w:ascii="Arial" w:cs="Arial" w:eastAsia="Arial" w:hAnsi="Arial"/>
                <w:sz w:val="15"/>
                <w:szCs w:val="15"/>
                <w:color w:val="auto"/>
              </w:rPr>
              <w:t>Purchase of intangible assets</w:t>
            </w:r>
          </w:p>
        </w:tc>
        <w:tc>
          <w:tcPr>
            <w:tcW w:w="720" w:type="dxa"/>
            <w:vAlign w:val="bottom"/>
          </w:tcPr>
          <w:p>
            <w:pPr>
              <w:jc w:val="center"/>
              <w:spacing w:after="0"/>
              <w:rPr>
                <w:sz w:val="20"/>
                <w:szCs w:val="20"/>
                <w:color w:val="auto"/>
              </w:rPr>
            </w:pPr>
            <w:r>
              <w:rPr>
                <w:rFonts w:ascii="Arial" w:cs="Arial" w:eastAsia="Arial" w:hAnsi="Arial"/>
                <w:sz w:val="15"/>
                <w:szCs w:val="15"/>
                <w:i w:val="1"/>
                <w:iCs w:val="1"/>
                <w:color w:val="auto"/>
                <w:w w:val="95"/>
              </w:rPr>
              <w:t>5</w:t>
            </w: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(2,676)</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(67)</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(2,742)</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Purchase of equipment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5"/>
              </w:rPr>
              <w:t>4</w:t>
            </w:r>
          </w:p>
        </w:tc>
        <w:tc>
          <w:tcPr>
            <w:tcW w:w="16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(21)</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(142)</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90"/>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flows used in investing activities</w:t>
            </w:r>
          </w:p>
        </w:tc>
        <w:tc>
          <w:tcPr>
            <w:tcW w:w="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(2,676)</w:t>
            </w: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(88)</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(2,884)</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r>
        <w:trPr>
          <w:trHeight w:val="257"/>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FINANCING ACTIVITIES</w:t>
            </w:r>
          </w:p>
        </w:tc>
        <w:tc>
          <w:tcPr>
            <w:tcW w:w="7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360"/>
              <w:spacing w:after="0"/>
              <w:rPr>
                <w:sz w:val="20"/>
                <w:szCs w:val="20"/>
                <w:color w:val="auto"/>
              </w:rPr>
            </w:pPr>
            <w:r>
              <w:rPr>
                <w:rFonts w:ascii="Arial" w:cs="Arial" w:eastAsia="Arial" w:hAnsi="Arial"/>
                <w:sz w:val="15"/>
                <w:szCs w:val="15"/>
                <w:color w:val="auto"/>
              </w:rPr>
              <w:t>Proceeds on issuance of common shares, net</w:t>
            </w:r>
          </w:p>
        </w:tc>
        <w:tc>
          <w:tcPr>
            <w:tcW w:w="720" w:type="dxa"/>
            <w:vAlign w:val="bottom"/>
          </w:tcPr>
          <w:p>
            <w:pPr>
              <w:spacing w:after="0"/>
              <w:rPr>
                <w:sz w:val="17"/>
                <w:szCs w:val="17"/>
                <w:color w:val="auto"/>
              </w:rPr>
            </w:pP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4,598</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31,508</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4,598</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31,508</w:t>
            </w:r>
          </w:p>
        </w:tc>
        <w:tc>
          <w:tcPr>
            <w:tcW w:w="0" w:type="dxa"/>
            <w:vAlign w:val="bottom"/>
          </w:tcPr>
          <w:p>
            <w:pPr>
              <w:spacing w:after="0"/>
              <w:rPr>
                <w:sz w:val="1"/>
                <w:szCs w:val="1"/>
                <w:color w:val="auto"/>
              </w:rPr>
            </w:pPr>
          </w:p>
        </w:tc>
      </w:tr>
      <w:tr>
        <w:trPr>
          <w:trHeight w:val="220"/>
        </w:trPr>
        <w:tc>
          <w:tcPr>
            <w:tcW w:w="5260" w:type="dxa"/>
            <w:vAlign w:val="bottom"/>
          </w:tcPr>
          <w:p>
            <w:pPr>
              <w:ind w:left="60"/>
              <w:spacing w:after="0"/>
              <w:rPr>
                <w:sz w:val="20"/>
                <w:szCs w:val="20"/>
                <w:color w:val="auto"/>
              </w:rPr>
            </w:pPr>
            <w:r>
              <w:rPr>
                <w:rFonts w:ascii="Arial" w:cs="Arial" w:eastAsia="Arial" w:hAnsi="Arial"/>
                <w:sz w:val="15"/>
                <w:szCs w:val="15"/>
                <w:color w:val="auto"/>
              </w:rPr>
              <w:t>Shares issued for cash - warrant exercise</w:t>
            </w:r>
          </w:p>
        </w:tc>
        <w:tc>
          <w:tcPr>
            <w:tcW w:w="720" w:type="dxa"/>
            <w:vAlign w:val="bottom"/>
          </w:tcPr>
          <w:p>
            <w:pPr>
              <w:jc w:val="center"/>
              <w:spacing w:after="0"/>
              <w:rPr>
                <w:sz w:val="20"/>
                <w:szCs w:val="20"/>
                <w:color w:val="auto"/>
              </w:rPr>
            </w:pPr>
            <w:r>
              <w:rPr>
                <w:rFonts w:ascii="Arial" w:cs="Arial" w:eastAsia="Arial" w:hAnsi="Arial"/>
                <w:sz w:val="15"/>
                <w:szCs w:val="15"/>
                <w:i w:val="1"/>
                <w:iCs w:val="1"/>
                <w:color w:val="auto"/>
                <w:w w:val="95"/>
              </w:rPr>
              <w:t>8</w:t>
            </w: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48</w:t>
            </w:r>
          </w:p>
        </w:tc>
        <w:tc>
          <w:tcPr>
            <w:tcW w:w="1040" w:type="dxa"/>
            <w:vAlign w:val="bottom"/>
          </w:tcPr>
          <w:p>
            <w:pPr>
              <w:jc w:val="right"/>
              <w:ind w:right="27"/>
              <w:spacing w:after="0"/>
              <w:rPr>
                <w:sz w:val="20"/>
                <w:szCs w:val="20"/>
                <w:color w:val="auto"/>
              </w:rPr>
            </w:pPr>
            <w:r>
              <w:rPr>
                <w:rFonts w:ascii="Arial" w:cs="Arial" w:eastAsia="Arial" w:hAnsi="Arial"/>
                <w:sz w:val="15"/>
                <w:szCs w:val="15"/>
                <w:color w:val="auto"/>
              </w:rPr>
              <w:t>2,393</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362</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2,592</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Shares issued for cash - options exercise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5"/>
              </w:rPr>
              <w:t>8</w:t>
            </w:r>
          </w:p>
        </w:tc>
        <w:tc>
          <w:tcPr>
            <w:tcW w:w="16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80</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190"/>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Net cash flows from financing activities</w:t>
            </w:r>
          </w:p>
        </w:tc>
        <w:tc>
          <w:tcPr>
            <w:tcW w:w="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4,646</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33,981</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4,960</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34,310</w:t>
            </w:r>
          </w:p>
        </w:tc>
        <w:tc>
          <w:tcPr>
            <w:tcW w:w="0" w:type="dxa"/>
            <w:vAlign w:val="bottom"/>
          </w:tcPr>
          <w:p>
            <w:pPr>
              <w:spacing w:after="0"/>
              <w:rPr>
                <w:sz w:val="1"/>
                <w:szCs w:val="1"/>
                <w:color w:val="auto"/>
              </w:rPr>
            </w:pPr>
          </w:p>
        </w:tc>
      </w:tr>
      <w:tr>
        <w:trPr>
          <w:trHeight w:val="406"/>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Effects of exchange rate changes on cash</w:t>
            </w:r>
          </w:p>
        </w:tc>
        <w:tc>
          <w:tcPr>
            <w:tcW w:w="7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190</w:t>
            </w: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42</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05"/>
        </w:trPr>
        <w:tc>
          <w:tcPr>
            <w:tcW w:w="5260" w:type="dxa"/>
            <w:vAlign w:val="bottom"/>
          </w:tcPr>
          <w:p>
            <w:pPr>
              <w:ind w:left="60"/>
              <w:spacing w:after="0"/>
              <w:rPr>
                <w:sz w:val="20"/>
                <w:szCs w:val="20"/>
                <w:color w:val="auto"/>
              </w:rPr>
            </w:pPr>
            <w:r>
              <w:rPr>
                <w:rFonts w:ascii="Arial" w:cs="Arial" w:eastAsia="Arial" w:hAnsi="Arial"/>
                <w:sz w:val="15"/>
                <w:szCs w:val="15"/>
                <w:b w:val="1"/>
                <w:bCs w:val="1"/>
                <w:color w:val="auto"/>
              </w:rPr>
              <w:t>Change in cash</w:t>
            </w:r>
          </w:p>
        </w:tc>
        <w:tc>
          <w:tcPr>
            <w:tcW w:w="720" w:type="dxa"/>
            <w:vAlign w:val="bottom"/>
          </w:tcPr>
          <w:p>
            <w:pPr>
              <w:spacing w:after="0"/>
              <w:rPr>
                <w:sz w:val="24"/>
                <w:szCs w:val="24"/>
                <w:color w:val="auto"/>
              </w:rPr>
            </w:pPr>
          </w:p>
        </w:tc>
        <w:tc>
          <w:tcPr>
            <w:tcW w:w="1640" w:type="dxa"/>
            <w:vAlign w:val="bottom"/>
          </w:tcPr>
          <w:p>
            <w:pPr>
              <w:jc w:val="right"/>
              <w:ind w:right="307"/>
              <w:spacing w:after="0"/>
              <w:rPr>
                <w:sz w:val="20"/>
                <w:szCs w:val="20"/>
                <w:color w:val="auto"/>
              </w:rPr>
            </w:pPr>
            <w:r>
              <w:rPr>
                <w:rFonts w:ascii="Arial" w:cs="Arial" w:eastAsia="Arial" w:hAnsi="Arial"/>
                <w:sz w:val="15"/>
                <w:szCs w:val="15"/>
                <w:b w:val="1"/>
                <w:bCs w:val="1"/>
                <w:color w:val="auto"/>
              </w:rPr>
              <w:t>(12,523)</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20,104</w:t>
            </w:r>
          </w:p>
        </w:tc>
        <w:tc>
          <w:tcPr>
            <w:tcW w:w="1600" w:type="dxa"/>
            <w:vAlign w:val="bottom"/>
          </w:tcPr>
          <w:p>
            <w:pPr>
              <w:jc w:val="right"/>
              <w:ind w:right="327"/>
              <w:spacing w:after="0"/>
              <w:rPr>
                <w:sz w:val="20"/>
                <w:szCs w:val="20"/>
                <w:color w:val="auto"/>
              </w:rPr>
            </w:pPr>
            <w:r>
              <w:rPr>
                <w:rFonts w:ascii="Arial" w:cs="Arial" w:eastAsia="Arial" w:hAnsi="Arial"/>
                <w:sz w:val="15"/>
                <w:szCs w:val="15"/>
                <w:b w:val="1"/>
                <w:bCs w:val="1"/>
                <w:color w:val="auto"/>
              </w:rPr>
              <w:t>(23,704)</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11,153</w:t>
            </w:r>
          </w:p>
        </w:tc>
        <w:tc>
          <w:tcPr>
            <w:tcW w:w="0" w:type="dxa"/>
            <w:vAlign w:val="bottom"/>
          </w:tcPr>
          <w:p>
            <w:pPr>
              <w:spacing w:after="0"/>
              <w:rPr>
                <w:sz w:val="1"/>
                <w:szCs w:val="1"/>
                <w:color w:val="auto"/>
              </w:rPr>
            </w:pPr>
          </w:p>
        </w:tc>
      </w:tr>
      <w:tr>
        <w:trPr>
          <w:trHeight w:val="198"/>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Cash, beginning of period</w:t>
            </w:r>
          </w:p>
        </w:tc>
        <w:tc>
          <w:tcPr>
            <w:tcW w:w="720" w:type="dxa"/>
            <w:vAlign w:val="bottom"/>
            <w:tcBorders>
              <w:bottom w:val="single" w:sz="8" w:color="auto"/>
            </w:tcBorders>
          </w:tcPr>
          <w:p>
            <w:pPr>
              <w:spacing w:after="0"/>
              <w:rPr>
                <w:sz w:val="17"/>
                <w:szCs w:val="17"/>
                <w:color w:val="auto"/>
              </w:rPr>
            </w:pPr>
          </w:p>
        </w:tc>
        <w:tc>
          <w:tcPr>
            <w:tcW w:w="1640" w:type="dxa"/>
            <w:vAlign w:val="bottom"/>
            <w:tcBorders>
              <w:bottom w:val="single" w:sz="8" w:color="6D6D6D"/>
            </w:tcBorders>
          </w:tcPr>
          <w:p>
            <w:pPr>
              <w:jc w:val="right"/>
              <w:ind w:right="307"/>
              <w:spacing w:after="0"/>
              <w:rPr>
                <w:sz w:val="20"/>
                <w:szCs w:val="20"/>
                <w:color w:val="auto"/>
              </w:rPr>
            </w:pPr>
            <w:r>
              <w:rPr>
                <w:rFonts w:ascii="Arial" w:cs="Arial" w:eastAsia="Arial" w:hAnsi="Arial"/>
                <w:sz w:val="15"/>
                <w:szCs w:val="15"/>
                <w:b w:val="1"/>
                <w:bCs w:val="1"/>
                <w:color w:val="auto"/>
              </w:rPr>
              <w:t>42,460</w:t>
            </w:r>
          </w:p>
        </w:tc>
        <w:tc>
          <w:tcPr>
            <w:tcW w:w="1040" w:type="dxa"/>
            <w:vAlign w:val="bottom"/>
            <w:tcBorders>
              <w:bottom w:val="single" w:sz="8" w:color="6D6D6D"/>
            </w:tcBorders>
          </w:tcPr>
          <w:p>
            <w:pPr>
              <w:jc w:val="right"/>
              <w:ind w:right="47"/>
              <w:spacing w:after="0"/>
              <w:rPr>
                <w:sz w:val="20"/>
                <w:szCs w:val="20"/>
                <w:color w:val="auto"/>
              </w:rPr>
            </w:pPr>
            <w:r>
              <w:rPr>
                <w:rFonts w:ascii="Arial" w:cs="Arial" w:eastAsia="Arial" w:hAnsi="Arial"/>
                <w:sz w:val="15"/>
                <w:szCs w:val="15"/>
                <w:color w:val="auto"/>
              </w:rPr>
              <w:t>55,075</w:t>
            </w:r>
          </w:p>
        </w:tc>
        <w:tc>
          <w:tcPr>
            <w:tcW w:w="1600" w:type="dxa"/>
            <w:vAlign w:val="bottom"/>
            <w:tcBorders>
              <w:bottom w:val="single" w:sz="8" w:color="6D6D6D"/>
            </w:tcBorders>
          </w:tcPr>
          <w:p>
            <w:pPr>
              <w:jc w:val="right"/>
              <w:ind w:right="327"/>
              <w:spacing w:after="0"/>
              <w:rPr>
                <w:sz w:val="20"/>
                <w:szCs w:val="20"/>
                <w:color w:val="auto"/>
              </w:rPr>
            </w:pPr>
            <w:r>
              <w:rPr>
                <w:rFonts w:ascii="Arial" w:cs="Arial" w:eastAsia="Arial" w:hAnsi="Arial"/>
                <w:sz w:val="15"/>
                <w:szCs w:val="15"/>
                <w:b w:val="1"/>
                <w:bCs w:val="1"/>
                <w:color w:val="auto"/>
              </w:rPr>
              <w:t>53,641</w:t>
            </w:r>
          </w:p>
        </w:tc>
        <w:tc>
          <w:tcPr>
            <w:tcW w:w="1000" w:type="dxa"/>
            <w:vAlign w:val="bottom"/>
            <w:tcBorders>
              <w:bottom w:val="single" w:sz="8" w:color="6D6D6D"/>
            </w:tcBorders>
          </w:tcPr>
          <w:p>
            <w:pPr>
              <w:jc w:val="right"/>
              <w:ind w:right="7"/>
              <w:spacing w:after="0"/>
              <w:rPr>
                <w:sz w:val="20"/>
                <w:szCs w:val="20"/>
                <w:color w:val="auto"/>
              </w:rPr>
            </w:pPr>
            <w:r>
              <w:rPr>
                <w:rFonts w:ascii="Arial" w:cs="Arial" w:eastAsia="Arial" w:hAnsi="Arial"/>
                <w:sz w:val="15"/>
                <w:szCs w:val="15"/>
                <w:color w:val="auto"/>
              </w:rPr>
              <w:t>64,026</w:t>
            </w:r>
          </w:p>
        </w:tc>
        <w:tc>
          <w:tcPr>
            <w:tcW w:w="0" w:type="dxa"/>
            <w:vAlign w:val="bottom"/>
          </w:tcPr>
          <w:p>
            <w:pPr>
              <w:spacing w:after="0"/>
              <w:rPr>
                <w:sz w:val="1"/>
                <w:szCs w:val="1"/>
                <w:color w:val="auto"/>
              </w:rPr>
            </w:pPr>
          </w:p>
        </w:tc>
      </w:tr>
      <w:tr>
        <w:trPr>
          <w:trHeight w:val="190"/>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Cash, end of period</w:t>
            </w:r>
          </w:p>
        </w:tc>
        <w:tc>
          <w:tcPr>
            <w:tcW w:w="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29,937</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75,179</w:t>
            </w:r>
          </w:p>
        </w:tc>
        <w:tc>
          <w:tcPr>
            <w:tcW w:w="16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29,937</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75,179</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financial statements.</w:t>
      </w:r>
    </w:p>
    <w:p>
      <w:pPr>
        <w:sectPr>
          <w:pgSz w:w="11900" w:h="16838" w:orient="portrait"/>
          <w:cols w:equalWidth="0" w:num="1">
            <w:col w:w="11260"/>
          </w:cols>
          <w:pgMar w:left="320" w:top="171" w:right="319" w:bottom="1440" w:gutter="0" w:footer="0" w:header="0"/>
        </w:sectPr>
      </w:pPr>
    </w:p>
    <w:bookmarkStart w:id="9" w:name="page10"/>
    <w:bookmarkEnd w:id="9"/>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left="62" w:right="26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5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2" w:hanging="322"/>
        <w:spacing w:after="0"/>
        <w:tabs>
          <w:tab w:leader="none" w:pos="322" w:val="left"/>
        </w:tabs>
        <w:numPr>
          <w:ilvl w:val="0"/>
          <w:numId w:val="1"/>
        </w:numPr>
        <w:rPr>
          <w:rFonts w:ascii="Arial" w:cs="Arial" w:eastAsia="Arial" w:hAnsi="Arial"/>
          <w:sz w:val="16"/>
          <w:szCs w:val="16"/>
          <w:b w:val="1"/>
          <w:bCs w:val="1"/>
          <w:color w:val="2D5F91"/>
        </w:rPr>
      </w:pPr>
      <w:r>
        <w:rPr>
          <w:rFonts w:ascii="Arial" w:cs="Arial" w:eastAsia="Arial" w:hAnsi="Arial"/>
          <w:sz w:val="16"/>
          <w:szCs w:val="16"/>
          <w:b w:val="1"/>
          <w:bCs w:val="1"/>
          <w:color w:val="2D5F91"/>
        </w:rPr>
        <w:t>CORPORATE INFORMATION</w:t>
      </w:r>
    </w:p>
    <w:p>
      <w:pPr>
        <w:spacing w:after="0" w:line="203" w:lineRule="exact"/>
        <w:rPr>
          <w:sz w:val="20"/>
          <w:szCs w:val="20"/>
          <w:color w:val="auto"/>
        </w:rPr>
      </w:pPr>
    </w:p>
    <w:p>
      <w:pPr>
        <w:jc w:val="both"/>
        <w:ind w:left="302" w:right="20"/>
        <w:spacing w:after="0" w:line="258" w:lineRule="auto"/>
        <w:rPr>
          <w:sz w:val="20"/>
          <w:szCs w:val="20"/>
          <w:color w:val="auto"/>
        </w:rPr>
      </w:pPr>
      <w:r>
        <w:rPr>
          <w:rFonts w:ascii="Arial" w:cs="Arial" w:eastAsia="Arial" w:hAnsi="Arial"/>
          <w:sz w:val="16"/>
          <w:szCs w:val="16"/>
          <w:color w:val="auto"/>
        </w:rPr>
        <w:t>Cybin Inc. (“Cybin”), was incorporated under the Business Corporations Act (British Columbia) on October 13, 2016. These condensed interim consolidated financial statements include the accounts of Cybin’s six subsidiaries (together, with Cybin, the “Company”): Cybin Corp., Natures Journey Inc. (“Journey”), Serenity Life Sciences Inc. (“Serenity”), Cybin US Holdings Inc. (“Cybin US”), Adelia Therapeutics Inc. (“Adelia”) and Cybin IRL Limited (“Cybin IRL”). Cybin’s head office, principal address and registered address and records office is 100 King Street West, Suite 5600, Toronto, Ontario M5X 1C9.</w:t>
      </w:r>
    </w:p>
    <w:p>
      <w:pPr>
        <w:spacing w:after="0" w:line="147" w:lineRule="exact"/>
        <w:rPr>
          <w:sz w:val="20"/>
          <w:szCs w:val="20"/>
          <w:color w:val="auto"/>
        </w:rPr>
      </w:pPr>
    </w:p>
    <w:p>
      <w:pPr>
        <w:jc w:val="both"/>
        <w:ind w:left="302" w:right="20"/>
        <w:spacing w:after="0" w:line="262" w:lineRule="auto"/>
        <w:rPr>
          <w:sz w:val="20"/>
          <w:szCs w:val="20"/>
          <w:color w:val="auto"/>
        </w:rPr>
      </w:pPr>
      <w:r>
        <w:rPr>
          <w:rFonts w:ascii="Arial" w:cs="Arial" w:eastAsia="Arial" w:hAnsi="Arial"/>
          <w:sz w:val="16"/>
          <w:szCs w:val="16"/>
          <w:color w:val="auto"/>
        </w:rPr>
        <w:t>The Company is a biotechnology company focused on progressing psychedelic therapeutics. The Company is structuring and supporting clinical studies in North America and other regions, through strategic academic and institutional partnerships and plans to launch psilocybin-based products in jurisdictions where the substance is not banned.</w:t>
      </w:r>
    </w:p>
    <w:p>
      <w:pPr>
        <w:spacing w:after="0" w:line="143" w:lineRule="exact"/>
        <w:rPr>
          <w:sz w:val="20"/>
          <w:szCs w:val="20"/>
          <w:color w:val="auto"/>
        </w:rPr>
      </w:pPr>
    </w:p>
    <w:p>
      <w:pPr>
        <w:jc w:val="both"/>
        <w:ind w:left="302" w:right="20"/>
        <w:spacing w:after="0" w:line="269" w:lineRule="auto"/>
        <w:rPr>
          <w:sz w:val="20"/>
          <w:szCs w:val="20"/>
          <w:color w:val="auto"/>
        </w:rPr>
      </w:pPr>
      <w:r>
        <w:rPr>
          <w:rFonts w:ascii="Arial" w:cs="Arial" w:eastAsia="Arial" w:hAnsi="Arial"/>
          <w:sz w:val="16"/>
          <w:szCs w:val="16"/>
          <w:color w:val="auto"/>
        </w:rPr>
        <w:t>These condensed interim consolidated financial statements as at, and for the three and six months ended, September 30, 2022 were approved and authorized for issue by the board of directors on November 14, 2022.</w:t>
      </w:r>
    </w:p>
    <w:p>
      <w:pPr>
        <w:spacing w:after="0" w:line="130"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COVID 19</w:t>
      </w:r>
    </w:p>
    <w:p>
      <w:pPr>
        <w:spacing w:after="0" w:line="190" w:lineRule="exact"/>
        <w:rPr>
          <w:sz w:val="20"/>
          <w:szCs w:val="20"/>
          <w:color w:val="auto"/>
        </w:rPr>
      </w:pPr>
    </w:p>
    <w:p>
      <w:pPr>
        <w:jc w:val="both"/>
        <w:ind w:left="302" w:right="20"/>
        <w:spacing w:after="0" w:line="257" w:lineRule="auto"/>
        <w:rPr>
          <w:sz w:val="20"/>
          <w:szCs w:val="20"/>
          <w:color w:val="auto"/>
        </w:rPr>
      </w:pPr>
      <w:r>
        <w:rPr>
          <w:rFonts w:ascii="Arial" w:cs="Arial" w:eastAsia="Arial" w:hAnsi="Arial"/>
          <w:sz w:val="16"/>
          <w:szCs w:val="16"/>
          <w:color w:val="auto"/>
        </w:rPr>
        <w:t>In March 2020, the outbreak of the novel strain of coronavirus, specifically identified as “COVID-19”,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in future periods.</w:t>
      </w:r>
    </w:p>
    <w:p>
      <w:pPr>
        <w:spacing w:after="0" w:line="148" w:lineRule="exact"/>
        <w:rPr>
          <w:sz w:val="20"/>
          <w:szCs w:val="20"/>
          <w:color w:val="auto"/>
        </w:rPr>
      </w:pPr>
    </w:p>
    <w:p>
      <w:pPr>
        <w:jc w:val="both"/>
        <w:ind w:left="302"/>
        <w:spacing w:after="0" w:line="269" w:lineRule="auto"/>
        <w:rPr>
          <w:sz w:val="20"/>
          <w:szCs w:val="20"/>
          <w:color w:val="auto"/>
        </w:rPr>
      </w:pPr>
      <w:r>
        <w:rPr>
          <w:rFonts w:ascii="Arial" w:cs="Arial" w:eastAsia="Arial" w:hAnsi="Arial"/>
          <w:sz w:val="16"/>
          <w:szCs w:val="16"/>
          <w:color w:val="auto"/>
        </w:rPr>
        <w:t>The Company is not currently aware of any changes in laws, regulations or guidelines, including tax and accounting requirements, arising from COVID-19 which would be reasonably anticipated to materially affect the Company’s business.</w:t>
      </w:r>
    </w:p>
    <w:p>
      <w:pPr>
        <w:spacing w:after="0" w:line="130"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Stock exchange listing</w:t>
      </w:r>
    </w:p>
    <w:p>
      <w:pPr>
        <w:spacing w:after="0" w:line="190" w:lineRule="exact"/>
        <w:rPr>
          <w:sz w:val="20"/>
          <w:szCs w:val="20"/>
          <w:color w:val="auto"/>
        </w:rPr>
      </w:pPr>
    </w:p>
    <w:p>
      <w:pPr>
        <w:jc w:val="both"/>
        <w:ind w:left="302" w:right="20"/>
        <w:spacing w:after="0" w:line="269" w:lineRule="auto"/>
        <w:rPr>
          <w:sz w:val="20"/>
          <w:szCs w:val="20"/>
          <w:color w:val="auto"/>
        </w:rPr>
      </w:pPr>
      <w:r>
        <w:rPr>
          <w:rFonts w:ascii="Arial" w:cs="Arial" w:eastAsia="Arial" w:hAnsi="Arial"/>
          <w:sz w:val="16"/>
          <w:szCs w:val="16"/>
          <w:color w:val="auto"/>
        </w:rPr>
        <w:t>Cybin’s common shares (“Common Shares”) are listed for trading on the Neo Exchange Inc., and NYSE American LLC under the symbol “CYBN” and are quoted on the Frankfurt Stock Exchange under the symbol “R7E1”.</w:t>
      </w:r>
    </w:p>
    <w:p>
      <w:pPr>
        <w:spacing w:after="0" w:line="117"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Going Concern</w:t>
      </w:r>
    </w:p>
    <w:p>
      <w:pPr>
        <w:spacing w:after="0" w:line="19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These condensed interim consolidated financial statements are prepared on a going concern basis, which contemplates that the Company will continue</w:t>
      </w:r>
    </w:p>
    <w:p>
      <w:pPr>
        <w:jc w:val="both"/>
        <w:ind w:left="302" w:right="20"/>
        <w:spacing w:after="0" w:line="231" w:lineRule="auto"/>
        <w:rPr>
          <w:sz w:val="20"/>
          <w:szCs w:val="20"/>
          <w:color w:val="auto"/>
        </w:rPr>
      </w:pPr>
      <w:r>
        <w:rPr>
          <w:rFonts w:ascii="Arial" w:cs="Arial" w:eastAsia="Arial" w:hAnsi="Arial"/>
          <w:sz w:val="16"/>
          <w:szCs w:val="16"/>
          <w:color w:val="auto"/>
        </w:rPr>
        <w:t>in operation for the foreseeable future and will be able to realize its assets and discharge its liabilities in the normal course of business. At present, the Company’s operations do not generate cash flow. The Company has incurred losses since inception and had an accumulated deficit of $123,689 as at</w:t>
      </w:r>
    </w:p>
    <w:p>
      <w:pPr>
        <w:jc w:val="both"/>
        <w:ind w:left="302" w:right="20"/>
        <w:spacing w:after="0" w:line="246" w:lineRule="auto"/>
        <w:rPr>
          <w:sz w:val="20"/>
          <w:szCs w:val="20"/>
          <w:color w:val="auto"/>
        </w:rPr>
      </w:pPr>
      <w:r>
        <w:rPr>
          <w:rFonts w:ascii="Arial" w:cs="Arial" w:eastAsia="Arial" w:hAnsi="Arial"/>
          <w:sz w:val="16"/>
          <w:szCs w:val="16"/>
          <w:color w:val="auto"/>
        </w:rPr>
        <w:t>September 30, 2022 (March 31, 2022 - $100,661). As at September 30, 2022, the Company had a cash balance of $29,937 (March 31, 2022 - $53,641) and working capital of $33,414 (March 31, 2022 - $50,447). In order to continue as a going concern and meet its corporate objectives, the Company is dependent on its ability to obtain additional financing. Although the Company has been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7 of 25</w:t>
      </w:r>
    </w:p>
    <w:p>
      <w:pPr>
        <w:sectPr>
          <w:pgSz w:w="11900" w:h="16838" w:orient="portrait"/>
          <w:cols w:equalWidth="0" w:num="1">
            <w:col w:w="11262"/>
          </w:cols>
          <w:pgMar w:left="318" w:top="171" w:right="319" w:bottom="1440" w:gutter="0" w:footer="0" w:header="0"/>
        </w:sectPr>
      </w:pPr>
    </w:p>
    <w:bookmarkStart w:id="10" w:name="page11"/>
    <w:bookmarkEnd w:id="10"/>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left="62" w:right="24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5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2"/>
        <w:spacing w:after="0" w:line="253" w:lineRule="auto"/>
        <w:rPr>
          <w:sz w:val="20"/>
          <w:szCs w:val="20"/>
          <w:color w:val="auto"/>
        </w:rPr>
      </w:pPr>
      <w:r>
        <w:rPr>
          <w:rFonts w:ascii="Arial" w:cs="Arial" w:eastAsia="Arial" w:hAnsi="Arial"/>
          <w:sz w:val="16"/>
          <w:szCs w:val="16"/>
          <w:color w:val="auto"/>
        </w:rPr>
        <w:t>in the past in obtaining financing, there is no assurance that the Company will be able to obtain adequate financing in the future or that such financing will be on terms advantageous to the Company.</w:t>
      </w:r>
    </w:p>
    <w:p>
      <w:pPr>
        <w:spacing w:after="0" w:line="150" w:lineRule="exact"/>
        <w:rPr>
          <w:sz w:val="20"/>
          <w:szCs w:val="20"/>
          <w:color w:val="auto"/>
        </w:rPr>
      </w:pPr>
    </w:p>
    <w:p>
      <w:pPr>
        <w:ind w:left="302"/>
        <w:spacing w:after="0" w:line="231" w:lineRule="auto"/>
        <w:rPr>
          <w:sz w:val="20"/>
          <w:szCs w:val="20"/>
          <w:color w:val="auto"/>
        </w:rPr>
      </w:pPr>
      <w:r>
        <w:rPr>
          <w:rFonts w:ascii="Arial" w:cs="Arial" w:eastAsia="Arial" w:hAnsi="Arial"/>
          <w:sz w:val="16"/>
          <w:szCs w:val="16"/>
          <w:color w:val="auto"/>
        </w:rPr>
        <w:t>These condensed interim consolidated financial statements do not reflect the adjustments or reclassifications of assets and liabilities which would be necessary if the Company were unable to continue as a going concern and therefore were required to realize its assets and liquidate its liabilities and</w:t>
      </w:r>
    </w:p>
    <w:p>
      <w:pPr>
        <w:ind w:left="302"/>
        <w:spacing w:after="0" w:line="253" w:lineRule="auto"/>
        <w:rPr>
          <w:sz w:val="20"/>
          <w:szCs w:val="20"/>
          <w:color w:val="auto"/>
        </w:rPr>
      </w:pPr>
      <w:r>
        <w:rPr>
          <w:rFonts w:ascii="Arial" w:cs="Arial" w:eastAsia="Arial" w:hAnsi="Arial"/>
          <w:sz w:val="16"/>
          <w:szCs w:val="16"/>
          <w:color w:val="auto"/>
        </w:rPr>
        <w:t>commitments in the normal course of business operations and at amounts different from those in the accompanying condensed interim consolidated financial statements.</w:t>
      </w:r>
    </w:p>
    <w:p>
      <w:pPr>
        <w:spacing w:after="0" w:line="362" w:lineRule="exact"/>
        <w:rPr>
          <w:sz w:val="20"/>
          <w:szCs w:val="20"/>
          <w:color w:val="auto"/>
        </w:rPr>
      </w:pPr>
    </w:p>
    <w:p>
      <w:pPr>
        <w:ind w:left="322" w:hanging="322"/>
        <w:spacing w:after="0"/>
        <w:tabs>
          <w:tab w:leader="none" w:pos="322" w:val="left"/>
        </w:tabs>
        <w:numPr>
          <w:ilvl w:val="0"/>
          <w:numId w:val="2"/>
        </w:numPr>
        <w:rPr>
          <w:rFonts w:ascii="Arial" w:cs="Arial" w:eastAsia="Arial" w:hAnsi="Arial"/>
          <w:sz w:val="16"/>
          <w:szCs w:val="16"/>
          <w:b w:val="1"/>
          <w:bCs w:val="1"/>
          <w:color w:val="2D5F91"/>
        </w:rPr>
      </w:pPr>
      <w:r>
        <w:rPr>
          <w:rFonts w:ascii="Arial" w:cs="Arial" w:eastAsia="Arial" w:hAnsi="Arial"/>
          <w:sz w:val="16"/>
          <w:szCs w:val="16"/>
          <w:b w:val="1"/>
          <w:bCs w:val="1"/>
          <w:color w:val="2D5F91"/>
        </w:rPr>
        <w:t>SIGNIFICANT ACCOUNTING POLICIES AND BASIS OF PREPARATION</w:t>
      </w:r>
    </w:p>
    <w:p>
      <w:pPr>
        <w:spacing w:after="0" w:line="21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u w:val="single" w:color="auto"/>
          <w:color w:val="auto"/>
        </w:rPr>
        <w:t>Statement of compliance</w:t>
      </w:r>
    </w:p>
    <w:p>
      <w:pPr>
        <w:spacing w:after="0" w:line="178" w:lineRule="exact"/>
        <w:rPr>
          <w:sz w:val="20"/>
          <w:szCs w:val="20"/>
          <w:color w:val="auto"/>
        </w:rPr>
      </w:pPr>
    </w:p>
    <w:p>
      <w:pPr>
        <w:jc w:val="both"/>
        <w:ind w:left="302"/>
        <w:spacing w:after="0" w:line="233" w:lineRule="auto"/>
        <w:rPr>
          <w:sz w:val="20"/>
          <w:szCs w:val="20"/>
          <w:color w:val="auto"/>
        </w:rPr>
      </w:pPr>
      <w:r>
        <w:rPr>
          <w:rFonts w:ascii="Arial" w:cs="Arial" w:eastAsia="Arial" w:hAnsi="Arial"/>
          <w:sz w:val="16"/>
          <w:szCs w:val="16"/>
          <w:color w:val="auto"/>
        </w:rPr>
        <w:t>These condensed interim consolidated financial statements for the three and six months ended September 30, 2022 have been prepared in accordance with International Accounting Standard 34 “Interim Financial Reporting”. Accordingly, certain information and footnote disclosure normally included in annual financial statements prepared in accordance with International Financial Reporting Standards (“IFRS”) have been omitted or condensed.</w:t>
      </w:r>
    </w:p>
    <w:p>
      <w:pPr>
        <w:spacing w:after="0" w:line="161" w:lineRule="exact"/>
        <w:rPr>
          <w:sz w:val="20"/>
          <w:szCs w:val="20"/>
          <w:color w:val="auto"/>
        </w:rPr>
      </w:pPr>
    </w:p>
    <w:p>
      <w:pPr>
        <w:jc w:val="both"/>
        <w:ind w:left="302"/>
        <w:spacing w:after="0" w:line="269" w:lineRule="auto"/>
        <w:rPr>
          <w:sz w:val="20"/>
          <w:szCs w:val="20"/>
          <w:color w:val="auto"/>
        </w:rPr>
      </w:pPr>
      <w:r>
        <w:rPr>
          <w:rFonts w:ascii="Arial" w:cs="Arial" w:eastAsia="Arial" w:hAnsi="Arial"/>
          <w:sz w:val="16"/>
          <w:szCs w:val="16"/>
          <w:color w:val="auto"/>
        </w:rPr>
        <w:t>The accounting policies adopted in the preparation of the condensed interim consolidated financial statements are consistent with those set out in note 2 “Significant accounting policies and basis of preparation” of the Company’s annual consolidated financial statements for the year ended March 31, 2022.</w:t>
      </w:r>
    </w:p>
    <w:p>
      <w:pPr>
        <w:spacing w:after="0" w:line="333" w:lineRule="exact"/>
        <w:rPr>
          <w:sz w:val="20"/>
          <w:szCs w:val="20"/>
          <w:color w:val="auto"/>
        </w:rPr>
      </w:pPr>
    </w:p>
    <w:p>
      <w:pPr>
        <w:jc w:val="both"/>
        <w:ind w:left="302"/>
        <w:spacing w:after="0" w:line="269" w:lineRule="auto"/>
        <w:rPr>
          <w:sz w:val="20"/>
          <w:szCs w:val="20"/>
          <w:color w:val="auto"/>
        </w:rPr>
      </w:pPr>
      <w:r>
        <w:rPr>
          <w:rFonts w:ascii="Arial" w:cs="Arial" w:eastAsia="Arial" w:hAnsi="Arial"/>
          <w:sz w:val="16"/>
          <w:szCs w:val="16"/>
          <w:color w:val="auto"/>
        </w:rPr>
        <w:t>These condensed interim consolidated financial statements should be read in conjunction with the consolidated financial statements for the year ended March 31, 2022.</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u w:val="single" w:color="auto"/>
          <w:color w:val="auto"/>
        </w:rPr>
        <w:t>Basis of measurement</w:t>
      </w:r>
    </w:p>
    <w:p>
      <w:pPr>
        <w:spacing w:after="0" w:line="178" w:lineRule="exact"/>
        <w:rPr>
          <w:sz w:val="20"/>
          <w:szCs w:val="20"/>
          <w:color w:val="auto"/>
        </w:rPr>
      </w:pPr>
    </w:p>
    <w:p>
      <w:pPr>
        <w:jc w:val="both"/>
        <w:ind w:left="302"/>
        <w:spacing w:after="0" w:line="253" w:lineRule="auto"/>
        <w:rPr>
          <w:sz w:val="20"/>
          <w:szCs w:val="20"/>
          <w:color w:val="auto"/>
        </w:rPr>
      </w:pPr>
      <w:r>
        <w:rPr>
          <w:rFonts w:ascii="Arial" w:cs="Arial" w:eastAsia="Arial" w:hAnsi="Arial"/>
          <w:sz w:val="16"/>
          <w:szCs w:val="16"/>
          <w:color w:val="auto"/>
        </w:rPr>
        <w:t>These condensed interim consolidated financial statements have been prepared on a going concern basis, under the historical cost convention, except for certain financial instruments classified at fair value upon initial recognition.</w:t>
      </w:r>
    </w:p>
    <w:p>
      <w:pPr>
        <w:spacing w:after="0" w:line="17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u w:val="single" w:color="auto"/>
          <w:color w:val="auto"/>
        </w:rPr>
        <w:t>Consolidation and Currency</w:t>
      </w:r>
    </w:p>
    <w:p>
      <w:pPr>
        <w:spacing w:after="0" w:line="190" w:lineRule="exact"/>
        <w:rPr>
          <w:sz w:val="20"/>
          <w:szCs w:val="20"/>
          <w:color w:val="auto"/>
        </w:rPr>
      </w:pPr>
    </w:p>
    <w:p>
      <w:pPr>
        <w:jc w:val="both"/>
        <w:ind w:left="302"/>
        <w:spacing w:after="0" w:line="239" w:lineRule="auto"/>
        <w:rPr>
          <w:sz w:val="20"/>
          <w:szCs w:val="20"/>
          <w:color w:val="auto"/>
        </w:rPr>
      </w:pPr>
      <w:r>
        <w:rPr>
          <w:rFonts w:ascii="Arial" w:cs="Arial" w:eastAsia="Arial" w:hAnsi="Arial"/>
          <w:sz w:val="16"/>
          <w:szCs w:val="16"/>
          <w:color w:val="auto"/>
        </w:rPr>
        <w:t>The functional currency of a company is the currency of the primary economic environment in which the company operates. The presentation currency for a company is the currency in which the company chooses to present its financial statements.</w:t>
      </w:r>
    </w:p>
    <w:p>
      <w:pPr>
        <w:spacing w:after="0" w:line="147" w:lineRule="exact"/>
        <w:rPr>
          <w:sz w:val="20"/>
          <w:szCs w:val="20"/>
          <w:color w:val="auto"/>
        </w:rPr>
      </w:pPr>
    </w:p>
    <w:p>
      <w:pPr>
        <w:jc w:val="both"/>
        <w:ind w:left="302"/>
        <w:spacing w:after="0" w:line="253" w:lineRule="auto"/>
        <w:rPr>
          <w:sz w:val="20"/>
          <w:szCs w:val="20"/>
          <w:color w:val="auto"/>
        </w:rPr>
      </w:pPr>
      <w:r>
        <w:rPr>
          <w:rFonts w:ascii="Arial" w:cs="Arial" w:eastAsia="Arial" w:hAnsi="Arial"/>
          <w:sz w:val="16"/>
          <w:szCs w:val="16"/>
          <w:color w:val="auto"/>
        </w:rPr>
        <w:t>These condensed interim consolidated financial statements are presented in Canadian dollars, the Company’s presentation currency. The Company’s and its subsidiaries functional currencies are as follows:</w:t>
      </w:r>
    </w:p>
    <w:p>
      <w:pPr>
        <w:spacing w:after="0" w:line="166" w:lineRule="exact"/>
        <w:rPr>
          <w:sz w:val="20"/>
          <w:szCs w:val="20"/>
          <w:color w:val="auto"/>
        </w:rPr>
      </w:pPr>
    </w:p>
    <w:tbl>
      <w:tblPr>
        <w:tblLayout w:type="fixed"/>
        <w:tblInd w:w="302"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6"/>
                <w:szCs w:val="16"/>
                <w:b w:val="1"/>
                <w:bCs w:val="1"/>
                <w:color w:val="auto"/>
              </w:rPr>
              <w:t>Entity</w:t>
            </w:r>
          </w:p>
        </w:tc>
        <w:tc>
          <w:tcPr>
            <w:tcW w:w="3700" w:type="dxa"/>
            <w:vAlign w:val="bottom"/>
          </w:tcPr>
          <w:p>
            <w:pPr>
              <w:ind w:left="1320"/>
              <w:spacing w:after="0"/>
              <w:rPr>
                <w:sz w:val="20"/>
                <w:szCs w:val="20"/>
                <w:color w:val="auto"/>
              </w:rPr>
            </w:pPr>
            <w:r>
              <w:rPr>
                <w:rFonts w:ascii="Arial" w:cs="Arial" w:eastAsia="Arial" w:hAnsi="Arial"/>
                <w:sz w:val="16"/>
                <w:szCs w:val="16"/>
                <w:b w:val="1"/>
                <w:bCs w:val="1"/>
                <w:color w:val="auto"/>
              </w:rPr>
              <w:t>Currency</w:t>
            </w:r>
          </w:p>
        </w:tc>
        <w:tc>
          <w:tcPr>
            <w:tcW w:w="4900" w:type="dxa"/>
            <w:vAlign w:val="bottom"/>
            <w:gridSpan w:val="2"/>
          </w:tcPr>
          <w:p>
            <w:pPr>
              <w:ind w:left="1140"/>
              <w:spacing w:after="0"/>
              <w:rPr>
                <w:sz w:val="20"/>
                <w:szCs w:val="20"/>
                <w:color w:val="auto"/>
              </w:rPr>
            </w:pPr>
            <w:r>
              <w:rPr>
                <w:rFonts w:ascii="Arial" w:cs="Arial" w:eastAsia="Arial" w:hAnsi="Arial"/>
                <w:sz w:val="16"/>
                <w:szCs w:val="16"/>
                <w:b w:val="1"/>
                <w:bCs w:val="1"/>
                <w:color w:val="auto"/>
              </w:rPr>
              <w:t>Ownership</w:t>
            </w:r>
          </w:p>
        </w:tc>
      </w:tr>
      <w:tr>
        <w:trPr>
          <w:trHeight w:val="199"/>
        </w:trPr>
        <w:tc>
          <w:tcPr>
            <w:tcW w:w="2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Cybin Corp.</w:t>
            </w:r>
          </w:p>
        </w:tc>
        <w:tc>
          <w:tcPr>
            <w:tcW w:w="3700" w:type="dxa"/>
            <w:vAlign w:val="bottom"/>
            <w:tcBorders>
              <w:top w:val="single" w:sz="8" w:color="auto"/>
            </w:tcBorders>
          </w:tcPr>
          <w:p>
            <w:pPr>
              <w:ind w:left="1320"/>
              <w:spacing w:after="0"/>
              <w:rPr>
                <w:sz w:val="20"/>
                <w:szCs w:val="20"/>
                <w:color w:val="auto"/>
              </w:rPr>
            </w:pPr>
            <w:r>
              <w:rPr>
                <w:rFonts w:ascii="Arial" w:cs="Arial" w:eastAsia="Arial" w:hAnsi="Arial"/>
                <w:sz w:val="16"/>
                <w:szCs w:val="16"/>
                <w:color w:val="auto"/>
              </w:rPr>
              <w:t>Canadian dollars</w:t>
            </w:r>
          </w:p>
        </w:tc>
        <w:tc>
          <w:tcPr>
            <w:tcW w:w="462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7"/>
                <w:szCs w:val="17"/>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Journey</w:t>
            </w:r>
          </w:p>
        </w:tc>
        <w:tc>
          <w:tcPr>
            <w:tcW w:w="3700" w:type="dxa"/>
            <w:vAlign w:val="bottom"/>
          </w:tcPr>
          <w:p>
            <w:pPr>
              <w:ind w:left="1320"/>
              <w:spacing w:after="0"/>
              <w:rPr>
                <w:sz w:val="20"/>
                <w:szCs w:val="20"/>
                <w:color w:val="auto"/>
              </w:rPr>
            </w:pPr>
            <w:r>
              <w:rPr>
                <w:rFonts w:ascii="Arial" w:cs="Arial" w:eastAsia="Arial" w:hAnsi="Arial"/>
                <w:sz w:val="16"/>
                <w:szCs w:val="16"/>
                <w:color w:val="auto"/>
              </w:rPr>
              <w:t>Canadian dollars</w:t>
            </w:r>
          </w:p>
        </w:tc>
        <w:tc>
          <w:tcPr>
            <w:tcW w:w="4620" w:type="dxa"/>
            <w:vAlign w:val="bottom"/>
          </w:tcPr>
          <w:p>
            <w:pPr>
              <w:ind w:left="114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8"/>
                <w:szCs w:val="18"/>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Serenity</w:t>
            </w:r>
          </w:p>
        </w:tc>
        <w:tc>
          <w:tcPr>
            <w:tcW w:w="3700" w:type="dxa"/>
            <w:vAlign w:val="bottom"/>
          </w:tcPr>
          <w:p>
            <w:pPr>
              <w:ind w:left="1320"/>
              <w:spacing w:after="0"/>
              <w:rPr>
                <w:sz w:val="20"/>
                <w:szCs w:val="20"/>
                <w:color w:val="auto"/>
              </w:rPr>
            </w:pPr>
            <w:r>
              <w:rPr>
                <w:rFonts w:ascii="Arial" w:cs="Arial" w:eastAsia="Arial" w:hAnsi="Arial"/>
                <w:sz w:val="16"/>
                <w:szCs w:val="16"/>
                <w:color w:val="auto"/>
              </w:rPr>
              <w:t>Canadian dollars</w:t>
            </w:r>
          </w:p>
        </w:tc>
        <w:tc>
          <w:tcPr>
            <w:tcW w:w="4620" w:type="dxa"/>
            <w:vAlign w:val="bottom"/>
          </w:tcPr>
          <w:p>
            <w:pPr>
              <w:ind w:left="114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8"/>
                <w:szCs w:val="18"/>
                <w:color w:val="auto"/>
              </w:rPr>
            </w:pPr>
          </w:p>
        </w:tc>
      </w:tr>
      <w:tr>
        <w:trPr>
          <w:trHeight w:val="220"/>
        </w:trPr>
        <w:tc>
          <w:tcPr>
            <w:tcW w:w="2200" w:type="dxa"/>
            <w:vAlign w:val="bottom"/>
          </w:tcPr>
          <w:p>
            <w:pPr>
              <w:spacing w:after="0"/>
              <w:rPr>
                <w:sz w:val="20"/>
                <w:szCs w:val="20"/>
                <w:color w:val="auto"/>
              </w:rPr>
            </w:pPr>
            <w:r>
              <w:rPr>
                <w:rFonts w:ascii="Arial" w:cs="Arial" w:eastAsia="Arial" w:hAnsi="Arial"/>
                <w:sz w:val="16"/>
                <w:szCs w:val="16"/>
                <w:color w:val="auto"/>
              </w:rPr>
              <w:t>Cybin US</w:t>
            </w:r>
          </w:p>
        </w:tc>
        <w:tc>
          <w:tcPr>
            <w:tcW w:w="3700" w:type="dxa"/>
            <w:vAlign w:val="bottom"/>
          </w:tcPr>
          <w:p>
            <w:pPr>
              <w:ind w:left="1320"/>
              <w:spacing w:after="0"/>
              <w:rPr>
                <w:sz w:val="20"/>
                <w:szCs w:val="20"/>
                <w:color w:val="auto"/>
              </w:rPr>
            </w:pPr>
            <w:r>
              <w:rPr>
                <w:rFonts w:ascii="Arial" w:cs="Arial" w:eastAsia="Arial" w:hAnsi="Arial"/>
                <w:sz w:val="16"/>
                <w:szCs w:val="16"/>
                <w:color w:val="auto"/>
              </w:rPr>
              <w:t>Canadian dollars</w:t>
            </w:r>
          </w:p>
        </w:tc>
        <w:tc>
          <w:tcPr>
            <w:tcW w:w="4620" w:type="dxa"/>
            <w:vAlign w:val="bottom"/>
          </w:tcPr>
          <w:p>
            <w:pPr>
              <w:ind w:left="1140"/>
              <w:spacing w:after="0" w:line="220" w:lineRule="exact"/>
              <w:rPr>
                <w:sz w:val="20"/>
                <w:szCs w:val="20"/>
                <w:color w:val="auto"/>
              </w:rPr>
            </w:pPr>
            <w:r>
              <w:rPr>
                <w:rFonts w:ascii="Arial" w:cs="Arial" w:eastAsia="Arial" w:hAnsi="Arial"/>
                <w:sz w:val="16"/>
                <w:szCs w:val="16"/>
                <w:color w:val="auto"/>
              </w:rPr>
              <w:t>100%</w:t>
            </w:r>
            <w:r>
              <w:rPr>
                <w:rFonts w:ascii="Arial" w:cs="Arial" w:eastAsia="Arial" w:hAnsi="Arial"/>
                <w:sz w:val="21"/>
                <w:szCs w:val="21"/>
                <w:color w:val="auto"/>
                <w:vertAlign w:val="superscript"/>
              </w:rPr>
              <w:t>1</w:t>
            </w:r>
          </w:p>
        </w:tc>
        <w:tc>
          <w:tcPr>
            <w:tcW w:w="280" w:type="dxa"/>
            <w:vAlign w:val="bottom"/>
          </w:tcPr>
          <w:p>
            <w:pPr>
              <w:spacing w:after="0"/>
              <w:rPr>
                <w:sz w:val="19"/>
                <w:szCs w:val="19"/>
                <w:color w:val="auto"/>
              </w:rPr>
            </w:pPr>
          </w:p>
        </w:tc>
      </w:tr>
      <w:tr>
        <w:trPr>
          <w:trHeight w:val="195"/>
        </w:trPr>
        <w:tc>
          <w:tcPr>
            <w:tcW w:w="2200" w:type="dxa"/>
            <w:vAlign w:val="bottom"/>
          </w:tcPr>
          <w:p>
            <w:pPr>
              <w:spacing w:after="0"/>
              <w:rPr>
                <w:sz w:val="20"/>
                <w:szCs w:val="20"/>
                <w:color w:val="auto"/>
              </w:rPr>
            </w:pPr>
            <w:r>
              <w:rPr>
                <w:rFonts w:ascii="Arial" w:cs="Arial" w:eastAsia="Arial" w:hAnsi="Arial"/>
                <w:sz w:val="16"/>
                <w:szCs w:val="16"/>
                <w:color w:val="auto"/>
              </w:rPr>
              <w:t>Adelia</w:t>
            </w:r>
          </w:p>
        </w:tc>
        <w:tc>
          <w:tcPr>
            <w:tcW w:w="3700" w:type="dxa"/>
            <w:vAlign w:val="bottom"/>
          </w:tcPr>
          <w:p>
            <w:pPr>
              <w:ind w:left="1320"/>
              <w:spacing w:after="0"/>
              <w:rPr>
                <w:sz w:val="20"/>
                <w:szCs w:val="20"/>
                <w:color w:val="auto"/>
              </w:rPr>
            </w:pPr>
            <w:r>
              <w:rPr>
                <w:rFonts w:ascii="Arial" w:cs="Arial" w:eastAsia="Arial" w:hAnsi="Arial"/>
                <w:sz w:val="16"/>
                <w:szCs w:val="16"/>
                <w:color w:val="auto"/>
              </w:rPr>
              <w:t>U.S. dollars</w:t>
            </w:r>
          </w:p>
        </w:tc>
        <w:tc>
          <w:tcPr>
            <w:tcW w:w="4620" w:type="dxa"/>
            <w:vAlign w:val="bottom"/>
          </w:tcPr>
          <w:p>
            <w:pPr>
              <w:ind w:left="114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6"/>
                <w:szCs w:val="16"/>
                <w:color w:val="auto"/>
              </w:rPr>
            </w:pPr>
          </w:p>
        </w:tc>
      </w:tr>
      <w:tr>
        <w:trPr>
          <w:trHeight w:val="172"/>
        </w:trPr>
        <w:tc>
          <w:tcPr>
            <w:tcW w:w="2200" w:type="dxa"/>
            <w:vAlign w:val="bottom"/>
          </w:tcPr>
          <w:p>
            <w:pPr>
              <w:spacing w:after="0" w:line="172" w:lineRule="exact"/>
              <w:rPr>
                <w:sz w:val="20"/>
                <w:szCs w:val="20"/>
                <w:color w:val="auto"/>
              </w:rPr>
            </w:pPr>
            <w:r>
              <w:rPr>
                <w:rFonts w:ascii="Arial" w:cs="Arial" w:eastAsia="Arial" w:hAnsi="Arial"/>
                <w:sz w:val="16"/>
                <w:szCs w:val="16"/>
                <w:color w:val="auto"/>
              </w:rPr>
              <w:t>Cybin IRL</w:t>
            </w:r>
          </w:p>
        </w:tc>
        <w:tc>
          <w:tcPr>
            <w:tcW w:w="3700" w:type="dxa"/>
            <w:vAlign w:val="bottom"/>
          </w:tcPr>
          <w:p>
            <w:pPr>
              <w:ind w:left="1320"/>
              <w:spacing w:after="0" w:line="172" w:lineRule="exact"/>
              <w:rPr>
                <w:sz w:val="20"/>
                <w:szCs w:val="20"/>
                <w:color w:val="auto"/>
              </w:rPr>
            </w:pPr>
            <w:r>
              <w:rPr>
                <w:rFonts w:ascii="Arial" w:cs="Arial" w:eastAsia="Arial" w:hAnsi="Arial"/>
                <w:sz w:val="16"/>
                <w:szCs w:val="16"/>
                <w:color w:val="auto"/>
              </w:rPr>
              <w:t>U.S. dollars</w:t>
            </w:r>
          </w:p>
        </w:tc>
        <w:tc>
          <w:tcPr>
            <w:tcW w:w="4620" w:type="dxa"/>
            <w:vAlign w:val="bottom"/>
          </w:tcPr>
          <w:p>
            <w:pPr>
              <w:ind w:left="1140"/>
              <w:spacing w:after="0" w:line="172" w:lineRule="exact"/>
              <w:rPr>
                <w:sz w:val="20"/>
                <w:szCs w:val="20"/>
                <w:color w:val="auto"/>
              </w:rPr>
            </w:pPr>
            <w:r>
              <w:rPr>
                <w:rFonts w:ascii="Arial" w:cs="Arial" w:eastAsia="Arial" w:hAnsi="Arial"/>
                <w:sz w:val="16"/>
                <w:szCs w:val="16"/>
                <w:color w:val="auto"/>
              </w:rPr>
              <w:t>100%</w:t>
            </w:r>
          </w:p>
        </w:tc>
        <w:tc>
          <w:tcPr>
            <w:tcW w:w="280" w:type="dxa"/>
            <w:vAlign w:val="bottom"/>
          </w:tcPr>
          <w:p>
            <w:pPr>
              <w:spacing w:after="0"/>
              <w:rPr>
                <w:sz w:val="14"/>
                <w:szCs w:val="14"/>
                <w:color w:val="auto"/>
              </w:rPr>
            </w:pPr>
          </w:p>
        </w:tc>
      </w:tr>
      <w:tr>
        <w:trPr>
          <w:trHeight w:val="163"/>
        </w:trPr>
        <w:tc>
          <w:tcPr>
            <w:tcW w:w="2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900" w:type="dxa"/>
            <w:vAlign w:val="bottom"/>
            <w:gridSpan w:val="2"/>
          </w:tcPr>
          <w:p>
            <w:pPr>
              <w:ind w:left="4620"/>
              <w:spacing w:after="0" w:line="163" w:lineRule="exact"/>
              <w:rPr>
                <w:sz w:val="20"/>
                <w:szCs w:val="20"/>
                <w:color w:val="auto"/>
              </w:rPr>
            </w:pPr>
            <w:r>
              <w:rPr>
                <w:rFonts w:ascii="Arial" w:cs="Arial" w:eastAsia="Arial" w:hAnsi="Arial"/>
                <w:sz w:val="16"/>
                <w:szCs w:val="16"/>
                <w:color w:val="auto"/>
                <w:w w:val="89"/>
                <w:vertAlign w:val="superscript"/>
              </w:rPr>
              <w:t>1</w:t>
            </w:r>
            <w:r>
              <w:rPr>
                <w:rFonts w:ascii="Arial" w:cs="Arial" w:eastAsia="Arial" w:hAnsi="Arial"/>
                <w:sz w:val="13"/>
                <w:szCs w:val="13"/>
                <w:color w:val="auto"/>
                <w:w w:val="89"/>
              </w:rPr>
              <w:t xml:space="preserve"> For</w:t>
            </w:r>
          </w:p>
        </w:tc>
      </w:tr>
    </w:tbl>
    <w:p>
      <w:pPr>
        <w:ind w:left="302"/>
        <w:spacing w:after="0"/>
        <w:rPr>
          <w:sz w:val="20"/>
          <w:szCs w:val="20"/>
          <w:color w:val="auto"/>
        </w:rPr>
      </w:pPr>
      <w:r>
        <w:rPr>
          <w:rFonts w:ascii="Arial" w:cs="Arial" w:eastAsia="Arial" w:hAnsi="Arial"/>
          <w:sz w:val="13"/>
          <w:szCs w:val="13"/>
          <w:color w:val="auto"/>
        </w:rPr>
        <w:t>accounting purposes, Cybin US is a wholly-owned subsidiary of Cybin. Certain Former Adelia Shareholders hold Class B Shares (defined below) in Cybin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8 of 25</w:t>
      </w:r>
    </w:p>
    <w:p>
      <w:pPr>
        <w:sectPr>
          <w:pgSz w:w="11900" w:h="16838" w:orient="portrait"/>
          <w:cols w:equalWidth="0" w:num="1">
            <w:col w:w="11242"/>
          </w:cols>
          <w:pgMar w:left="318" w:top="171" w:right="339" w:bottom="1440" w:gutter="0" w:footer="0" w:header="0"/>
        </w:sectPr>
      </w:pPr>
    </w:p>
    <w:bookmarkStart w:id="11" w:name="page12"/>
    <w:bookmarkEnd w:id="11"/>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left="62" w:right="26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5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Significant accounting policies</w:t>
      </w:r>
    </w:p>
    <w:p>
      <w:pPr>
        <w:spacing w:after="0" w:line="190" w:lineRule="exact"/>
        <w:rPr>
          <w:sz w:val="20"/>
          <w:szCs w:val="20"/>
          <w:color w:val="auto"/>
        </w:rPr>
      </w:pPr>
    </w:p>
    <w:p>
      <w:pPr>
        <w:jc w:val="both"/>
        <w:ind w:left="302" w:right="20"/>
        <w:spacing w:after="0" w:line="269" w:lineRule="auto"/>
        <w:rPr>
          <w:sz w:val="20"/>
          <w:szCs w:val="20"/>
          <w:color w:val="auto"/>
        </w:rPr>
      </w:pPr>
      <w:r>
        <w:rPr>
          <w:rFonts w:ascii="Arial" w:cs="Arial" w:eastAsia="Arial" w:hAnsi="Arial"/>
          <w:sz w:val="16"/>
          <w:szCs w:val="16"/>
          <w:color w:val="auto"/>
        </w:rPr>
        <w:t>These condensed interim consolidated financial statements have been prepared using the same accounting policies and methods as those used in the Company’s annual consolidated financial statements for the year ended March 31, 2022.</w:t>
      </w:r>
    </w:p>
    <w:p>
      <w:pPr>
        <w:spacing w:after="0" w:line="117"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Use of significant estimates and assumptions</w:t>
      </w:r>
    </w:p>
    <w:p>
      <w:pPr>
        <w:spacing w:after="0" w:line="190" w:lineRule="exact"/>
        <w:rPr>
          <w:sz w:val="20"/>
          <w:szCs w:val="20"/>
          <w:color w:val="auto"/>
        </w:rPr>
      </w:pPr>
    </w:p>
    <w:p>
      <w:pPr>
        <w:jc w:val="both"/>
        <w:ind w:left="302"/>
        <w:spacing w:after="0" w:line="262" w:lineRule="auto"/>
        <w:rPr>
          <w:sz w:val="20"/>
          <w:szCs w:val="20"/>
          <w:color w:val="auto"/>
        </w:rPr>
      </w:pPr>
      <w:r>
        <w:rPr>
          <w:rFonts w:ascii="Arial" w:cs="Arial" w:eastAsia="Arial" w:hAnsi="Arial"/>
          <w:sz w:val="16"/>
          <w:szCs w:val="16"/>
          <w:color w:val="auto"/>
        </w:rPr>
        <w:t>The preparation of financial statements in accordance with IAS 34 requires the use of certain significant estimates and assumptions. It also requires management to exercise judgment when applying the Company’s accounting policies. The critical accounting estimates and judgments have been set out in note 3 of the Company’s annual consolidated financial statements for the year ended March 31, 2022.</w:t>
      </w:r>
    </w:p>
    <w:p>
      <w:pPr>
        <w:spacing w:after="0" w:line="172"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u w:val="single" w:color="auto"/>
          <w:color w:val="auto"/>
        </w:rPr>
        <w:t>New standards and interpretations not yet adopted</w:t>
      </w:r>
    </w:p>
    <w:p>
      <w:pPr>
        <w:spacing w:after="0" w:line="190" w:lineRule="exact"/>
        <w:rPr>
          <w:sz w:val="20"/>
          <w:szCs w:val="20"/>
          <w:color w:val="auto"/>
        </w:rPr>
      </w:pPr>
    </w:p>
    <w:p>
      <w:pPr>
        <w:jc w:val="both"/>
        <w:ind w:left="302" w:right="20"/>
        <w:spacing w:after="0" w:line="231" w:lineRule="auto"/>
        <w:rPr>
          <w:sz w:val="20"/>
          <w:szCs w:val="20"/>
          <w:color w:val="auto"/>
        </w:rPr>
      </w:pPr>
      <w:r>
        <w:rPr>
          <w:rFonts w:ascii="Arial" w:cs="Arial" w:eastAsia="Arial" w:hAnsi="Arial"/>
          <w:sz w:val="16"/>
          <w:szCs w:val="16"/>
          <w:color w:val="auto"/>
        </w:rPr>
        <w:t>A number of new standards, amendments to standards and interpretations are not yet effective at September 30, 2022, and have not been applied in preparing these condensed interim consolidated financial statements. Management has determined that none of these will have a significant effect on</w:t>
      </w:r>
    </w:p>
    <w:p>
      <w:pPr>
        <w:ind w:left="302"/>
        <w:spacing w:after="0"/>
        <w:rPr>
          <w:sz w:val="20"/>
          <w:szCs w:val="20"/>
          <w:color w:val="auto"/>
        </w:rPr>
      </w:pPr>
      <w:r>
        <w:rPr>
          <w:rFonts w:ascii="Arial" w:cs="Arial" w:eastAsia="Arial" w:hAnsi="Arial"/>
          <w:sz w:val="16"/>
          <w:szCs w:val="16"/>
          <w:color w:val="auto"/>
        </w:rPr>
        <w:t>the condensed interim consolidated financial statements of the Company.</w:t>
      </w:r>
    </w:p>
    <w:p>
      <w:pPr>
        <w:spacing w:after="0" w:line="163" w:lineRule="exact"/>
        <w:rPr>
          <w:sz w:val="20"/>
          <w:szCs w:val="20"/>
          <w:color w:val="auto"/>
        </w:rPr>
      </w:pPr>
    </w:p>
    <w:p>
      <w:pPr>
        <w:ind w:left="322" w:hanging="322"/>
        <w:spacing w:after="0"/>
        <w:tabs>
          <w:tab w:leader="none" w:pos="322" w:val="left"/>
        </w:tabs>
        <w:numPr>
          <w:ilvl w:val="0"/>
          <w:numId w:val="3"/>
        </w:numPr>
        <w:rPr>
          <w:rFonts w:ascii="Arial" w:cs="Arial" w:eastAsia="Arial" w:hAnsi="Arial"/>
          <w:sz w:val="16"/>
          <w:szCs w:val="16"/>
          <w:b w:val="1"/>
          <w:bCs w:val="1"/>
          <w:color w:val="2D5F91"/>
        </w:rPr>
      </w:pPr>
      <w:r>
        <w:rPr>
          <w:rFonts w:ascii="Arial" w:cs="Arial" w:eastAsia="Arial" w:hAnsi="Arial"/>
          <w:sz w:val="16"/>
          <w:szCs w:val="16"/>
          <w:b w:val="1"/>
          <w:bCs w:val="1"/>
          <w:color w:val="2D5F91"/>
        </w:rPr>
        <w:t>INVESTMENTS</w:t>
      </w:r>
    </w:p>
    <w:p>
      <w:pPr>
        <w:spacing w:after="0" w:line="251" w:lineRule="exact"/>
        <w:rPr>
          <w:sz w:val="20"/>
          <w:szCs w:val="20"/>
          <w:color w:val="auto"/>
        </w:rPr>
      </w:pPr>
    </w:p>
    <w:p>
      <w:pPr>
        <w:jc w:val="both"/>
        <w:ind w:left="302"/>
        <w:spacing w:after="0" w:line="246" w:lineRule="auto"/>
        <w:rPr>
          <w:sz w:val="20"/>
          <w:szCs w:val="20"/>
          <w:color w:val="auto"/>
        </w:rPr>
      </w:pPr>
      <w:r>
        <w:rPr>
          <w:rFonts w:ascii="Arial" w:cs="Arial" w:eastAsia="Arial" w:hAnsi="Arial"/>
          <w:sz w:val="16"/>
          <w:szCs w:val="16"/>
          <w:color w:val="auto"/>
        </w:rPr>
        <w:t>On June 8, 2021, the Company entered into a subscription agreement with RxLive Limited (“RxLive”) whereby the Company purchased $250 of 10.0% unsecured convertible redeemable debentures (the “Rx Debentures”). RxLive is a UK-based online platform that connects pharmacists and patients through a secure app that allows for pharmacist consultations, initial or renewal prescription fulfilment and delivery of prescription medication. The Rx Debentures mature and become due on June 8, 2022. The Rx Debentures were to be exchangeable or convertible into units at a price of equal to 80% of the offering price of any equity financing completed by 1301376 B.C. Ltd. (“Finco”) concurrent with a go public transaction. Each unit was to consist of one common share of Finco (a “Finco Share”) and one Finco Share purchase warrant, with each warrant being exercisable to acquire one Finco Share at a price equal to 125% of the conversion price (the “Rx Conversion Feature”). As a result of the transaction, the Company recorded a hybrid financial instrument representing the Rx Debentures and the Rx Conversion Feature (the “Rx Hybrid Instrument”). The initial fair value of the Rx Hybrid Instrument was $250 determined by the sum of the fair values of the Rx Debenture and Rx Conversion Feature derived respectively using the discounted cash flow approach and the Black-Scholes model.</w:t>
      </w:r>
    </w:p>
    <w:p>
      <w:pPr>
        <w:spacing w:after="0" w:line="203" w:lineRule="exact"/>
        <w:rPr>
          <w:sz w:val="20"/>
          <w:szCs w:val="20"/>
          <w:color w:val="auto"/>
        </w:rPr>
      </w:pPr>
    </w:p>
    <w:p>
      <w:pPr>
        <w:jc w:val="both"/>
        <w:ind w:left="302" w:right="20"/>
        <w:spacing w:after="0" w:line="249" w:lineRule="auto"/>
        <w:rPr>
          <w:sz w:val="20"/>
          <w:szCs w:val="20"/>
          <w:color w:val="auto"/>
        </w:rPr>
      </w:pPr>
      <w:r>
        <w:rPr>
          <w:rFonts w:ascii="Arial" w:cs="Arial" w:eastAsia="Arial" w:hAnsi="Arial"/>
          <w:sz w:val="16"/>
          <w:szCs w:val="16"/>
          <w:color w:val="auto"/>
        </w:rPr>
        <w:t>The go public transaction did not occur, and the Rx Debentures did not convert into units prior to the initial maturity date. As a result, the maturity date of the Rx Debentures was amended to December 31, 2022. Furthermore, the Rx Debentures were amended to be convertible into units at a price of equal to 70% of the offering price of any equity financing. As at September 30, 2022, the amount of $278 was determined to represent the fair value of the Rx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9 of 25</w:t>
      </w:r>
    </w:p>
    <w:p>
      <w:pPr>
        <w:sectPr>
          <w:pgSz w:w="11900" w:h="16838" w:orient="portrait"/>
          <w:cols w:equalWidth="0" w:num="1">
            <w:col w:w="11262"/>
          </w:cols>
          <w:pgMar w:left="318" w:top="171" w:right="319" w:bottom="1440" w:gutter="0" w:footer="0" w:header="0"/>
        </w:sectPr>
      </w:pPr>
    </w:p>
    <w:bookmarkStart w:id="12" w:name="page13"/>
    <w:bookmarkEnd w:id="12"/>
    <w:p>
      <w:pPr>
        <w:ind w:left="60"/>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left="60" w:right="24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456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2D5F91"/>
                <w:w w:val="89"/>
              </w:rPr>
              <w:t>4.</w:t>
            </w:r>
          </w:p>
        </w:tc>
        <w:tc>
          <w:tcPr>
            <w:tcW w:w="3860" w:type="dxa"/>
            <w:vAlign w:val="bottom"/>
          </w:tcPr>
          <w:p>
            <w:pPr>
              <w:ind w:left="20"/>
              <w:spacing w:after="0"/>
              <w:rPr>
                <w:sz w:val="20"/>
                <w:szCs w:val="20"/>
                <w:color w:val="auto"/>
              </w:rPr>
            </w:pPr>
            <w:r>
              <w:rPr>
                <w:rFonts w:ascii="Arial" w:cs="Arial" w:eastAsia="Arial" w:hAnsi="Arial"/>
                <w:sz w:val="16"/>
                <w:szCs w:val="16"/>
                <w:b w:val="1"/>
                <w:bCs w:val="1"/>
                <w:color w:val="2D5F91"/>
              </w:rPr>
              <w:t>EQUIPMENT</w:t>
            </w:r>
          </w:p>
        </w:tc>
        <w:tc>
          <w:tcPr>
            <w:tcW w:w="2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3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Equipment consists as follows:</w:t>
            </w:r>
          </w:p>
        </w:tc>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6"/>
                <w:szCs w:val="16"/>
                <w:b w:val="1"/>
                <w:bCs w:val="1"/>
                <w:color w:val="auto"/>
              </w:rPr>
              <w:t>Cost</w:t>
            </w:r>
          </w:p>
        </w:tc>
        <w:tc>
          <w:tcPr>
            <w:tcW w:w="2660" w:type="dxa"/>
            <w:vAlign w:val="bottom"/>
          </w:tcPr>
          <w:p>
            <w:pPr>
              <w:jc w:val="right"/>
              <w:ind w:right="79"/>
              <w:spacing w:after="0"/>
              <w:rPr>
                <w:sz w:val="20"/>
                <w:szCs w:val="20"/>
                <w:color w:val="auto"/>
              </w:rPr>
            </w:pPr>
            <w:r>
              <w:rPr>
                <w:rFonts w:ascii="Arial" w:cs="Arial" w:eastAsia="Arial" w:hAnsi="Arial"/>
                <w:sz w:val="16"/>
                <w:szCs w:val="16"/>
                <w:b w:val="1"/>
                <w:bCs w:val="1"/>
                <w:color w:val="auto"/>
              </w:rPr>
              <w:t>Lab Equipment</w:t>
            </w:r>
          </w:p>
        </w:tc>
        <w:tc>
          <w:tcPr>
            <w:tcW w:w="290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Computer Equipment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$000’s</w:t>
            </w:r>
          </w:p>
        </w:tc>
        <w:tc>
          <w:tcPr>
            <w:tcW w:w="1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$000’s</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6"/>
                <w:szCs w:val="16"/>
                <w:b w:val="1"/>
                <w:bCs w:val="1"/>
                <w:color w:val="auto"/>
              </w:rPr>
              <w:t>Balance as at March 31, 2022</w:t>
            </w:r>
          </w:p>
        </w:tc>
        <w:tc>
          <w:tcPr>
            <w:tcW w:w="2660" w:type="dxa"/>
            <w:vAlign w:val="bottom"/>
          </w:tcPr>
          <w:p>
            <w:pPr>
              <w:jc w:val="right"/>
              <w:ind w:right="79"/>
              <w:spacing w:after="0"/>
              <w:rPr>
                <w:sz w:val="20"/>
                <w:szCs w:val="20"/>
                <w:color w:val="auto"/>
              </w:rPr>
            </w:pPr>
            <w:r>
              <w:rPr>
                <w:rFonts w:ascii="Arial" w:cs="Arial" w:eastAsia="Arial" w:hAnsi="Arial"/>
                <w:sz w:val="16"/>
                <w:szCs w:val="16"/>
                <w:b w:val="1"/>
                <w:bCs w:val="1"/>
                <w:color w:val="auto"/>
              </w:rPr>
              <w:t>475</w:t>
            </w:r>
          </w:p>
        </w:tc>
        <w:tc>
          <w:tcPr>
            <w:tcW w:w="1200" w:type="dxa"/>
            <w:vAlign w:val="bottom"/>
          </w:tcPr>
          <w:p>
            <w:pPr>
              <w:spacing w:after="0"/>
              <w:rPr>
                <w:sz w:val="18"/>
                <w:szCs w:val="18"/>
                <w:color w:val="auto"/>
              </w:rPr>
            </w:pPr>
          </w:p>
        </w:tc>
        <w:tc>
          <w:tcPr>
            <w:tcW w:w="1700" w:type="dxa"/>
            <w:vAlign w:val="bottom"/>
          </w:tcPr>
          <w:p>
            <w:pPr>
              <w:jc w:val="right"/>
              <w:ind w:right="619"/>
              <w:spacing w:after="0"/>
              <w:rPr>
                <w:sz w:val="20"/>
                <w:szCs w:val="20"/>
                <w:color w:val="auto"/>
              </w:rPr>
            </w:pPr>
            <w:r>
              <w:rPr>
                <w:rFonts w:ascii="Arial" w:cs="Arial" w:eastAsia="Arial" w:hAnsi="Arial"/>
                <w:sz w:val="16"/>
                <w:szCs w:val="16"/>
                <w:b w:val="1"/>
                <w:bCs w:val="1"/>
                <w:color w:val="auto"/>
              </w:rPr>
              <w:t>238</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713</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Additions</w:t>
            </w:r>
          </w:p>
        </w:tc>
        <w:tc>
          <w:tcPr>
            <w:tcW w:w="2660" w:type="dxa"/>
            <w:vAlign w:val="bottom"/>
          </w:tcPr>
          <w:p>
            <w:pPr>
              <w:jc w:val="right"/>
              <w:ind w:right="79"/>
              <w:spacing w:after="0"/>
              <w:rPr>
                <w:sz w:val="20"/>
                <w:szCs w:val="20"/>
                <w:color w:val="auto"/>
              </w:rPr>
            </w:pPr>
            <w:r>
              <w:rPr>
                <w:rFonts w:ascii="Arial" w:cs="Arial" w:eastAsia="Arial" w:hAnsi="Arial"/>
                <w:sz w:val="16"/>
                <w:szCs w:val="16"/>
                <w:color w:val="auto"/>
              </w:rPr>
              <w:t>142</w:t>
            </w:r>
          </w:p>
        </w:tc>
        <w:tc>
          <w:tcPr>
            <w:tcW w:w="1200" w:type="dxa"/>
            <w:vAlign w:val="bottom"/>
          </w:tcPr>
          <w:p>
            <w:pPr>
              <w:spacing w:after="0"/>
              <w:rPr>
                <w:sz w:val="17"/>
                <w:szCs w:val="17"/>
                <w:color w:val="auto"/>
              </w:rPr>
            </w:pPr>
          </w:p>
        </w:tc>
        <w:tc>
          <w:tcPr>
            <w:tcW w:w="17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foreign exchange</w:t>
            </w:r>
          </w:p>
        </w:tc>
        <w:tc>
          <w:tcPr>
            <w:tcW w:w="2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w:t>
            </w:r>
          </w:p>
        </w:tc>
        <w:tc>
          <w:tcPr>
            <w:tcW w:w="1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1</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September 30, 2022</w:t>
            </w:r>
          </w:p>
        </w:tc>
        <w:tc>
          <w:tcPr>
            <w:tcW w:w="2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672</w:t>
            </w:r>
          </w:p>
        </w:tc>
        <w:tc>
          <w:tcPr>
            <w:tcW w:w="1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239</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911</w:t>
            </w:r>
          </w:p>
        </w:tc>
        <w:tc>
          <w:tcPr>
            <w:tcW w:w="0" w:type="dxa"/>
            <w:vAlign w:val="bottom"/>
          </w:tcPr>
          <w:p>
            <w:pPr>
              <w:spacing w:after="0"/>
              <w:rPr>
                <w:sz w:val="1"/>
                <w:szCs w:val="1"/>
                <w:color w:val="auto"/>
              </w:rPr>
            </w:pPr>
          </w:p>
        </w:tc>
      </w:tr>
      <w:tr>
        <w:trPr>
          <w:trHeight w:val="419"/>
        </w:trPr>
        <w:tc>
          <w:tcPr>
            <w:tcW w:w="30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Accumulated Depreciation</w:t>
            </w:r>
          </w:p>
        </w:tc>
        <w:tc>
          <w:tcPr>
            <w:tcW w:w="2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6"/>
                <w:szCs w:val="16"/>
                <w:b w:val="1"/>
                <w:bCs w:val="1"/>
                <w:color w:val="auto"/>
              </w:rPr>
              <w:t>Balance as at March 31, 2022</w:t>
            </w:r>
          </w:p>
        </w:tc>
        <w:tc>
          <w:tcPr>
            <w:tcW w:w="2660" w:type="dxa"/>
            <w:vAlign w:val="bottom"/>
          </w:tcPr>
          <w:p>
            <w:pPr>
              <w:jc w:val="right"/>
              <w:ind w:right="79"/>
              <w:spacing w:after="0"/>
              <w:rPr>
                <w:sz w:val="20"/>
                <w:szCs w:val="20"/>
                <w:color w:val="auto"/>
              </w:rPr>
            </w:pPr>
            <w:r>
              <w:rPr>
                <w:rFonts w:ascii="Arial" w:cs="Arial" w:eastAsia="Arial" w:hAnsi="Arial"/>
                <w:sz w:val="16"/>
                <w:szCs w:val="16"/>
                <w:b w:val="1"/>
                <w:bCs w:val="1"/>
                <w:color w:val="auto"/>
              </w:rPr>
              <w:t>139</w:t>
            </w:r>
          </w:p>
        </w:tc>
        <w:tc>
          <w:tcPr>
            <w:tcW w:w="1200" w:type="dxa"/>
            <w:vAlign w:val="bottom"/>
          </w:tcPr>
          <w:p>
            <w:pPr>
              <w:spacing w:after="0"/>
              <w:rPr>
                <w:sz w:val="18"/>
                <w:szCs w:val="18"/>
                <w:color w:val="auto"/>
              </w:rPr>
            </w:pPr>
          </w:p>
        </w:tc>
        <w:tc>
          <w:tcPr>
            <w:tcW w:w="1700" w:type="dxa"/>
            <w:vAlign w:val="bottom"/>
          </w:tcPr>
          <w:p>
            <w:pPr>
              <w:jc w:val="right"/>
              <w:ind w:right="619"/>
              <w:spacing w:after="0"/>
              <w:rPr>
                <w:sz w:val="20"/>
                <w:szCs w:val="20"/>
                <w:color w:val="auto"/>
              </w:rPr>
            </w:pPr>
            <w:r>
              <w:rPr>
                <w:rFonts w:ascii="Arial" w:cs="Arial" w:eastAsia="Arial" w:hAnsi="Arial"/>
                <w:sz w:val="16"/>
                <w:szCs w:val="16"/>
                <w:b w:val="1"/>
                <w:bCs w:val="1"/>
                <w:color w:val="auto"/>
              </w:rPr>
              <w:t>83</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222</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Depreciation charge</w:t>
            </w:r>
          </w:p>
        </w:tc>
        <w:tc>
          <w:tcPr>
            <w:tcW w:w="266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1200" w:type="dxa"/>
            <w:vAlign w:val="bottom"/>
          </w:tcPr>
          <w:p>
            <w:pPr>
              <w:spacing w:after="0"/>
              <w:rPr>
                <w:sz w:val="17"/>
                <w:szCs w:val="17"/>
                <w:color w:val="auto"/>
              </w:rPr>
            </w:pPr>
          </w:p>
        </w:tc>
        <w:tc>
          <w:tcPr>
            <w:tcW w:w="1700" w:type="dxa"/>
            <w:vAlign w:val="bottom"/>
          </w:tcPr>
          <w:p>
            <w:pPr>
              <w:jc w:val="right"/>
              <w:ind w:right="619"/>
              <w:spacing w:after="0"/>
              <w:rPr>
                <w:sz w:val="20"/>
                <w:szCs w:val="20"/>
                <w:color w:val="auto"/>
              </w:rPr>
            </w:pPr>
            <w:r>
              <w:rPr>
                <w:rFonts w:ascii="Arial" w:cs="Arial" w:eastAsia="Arial" w:hAnsi="Arial"/>
                <w:sz w:val="16"/>
                <w:szCs w:val="16"/>
                <w:color w:val="auto"/>
              </w:rPr>
              <w:t>40</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foreign exchange</w:t>
            </w:r>
          </w:p>
        </w:tc>
        <w:tc>
          <w:tcPr>
            <w:tcW w:w="2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c>
          <w:tcPr>
            <w:tcW w:w="1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September 30, 2022</w:t>
            </w:r>
          </w:p>
        </w:tc>
        <w:tc>
          <w:tcPr>
            <w:tcW w:w="2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223</w:t>
            </w:r>
          </w:p>
        </w:tc>
        <w:tc>
          <w:tcPr>
            <w:tcW w:w="1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123</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346</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book value as at March 31, 2022</w:t>
            </w:r>
          </w:p>
        </w:tc>
        <w:tc>
          <w:tcPr>
            <w:tcW w:w="2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336</w:t>
            </w:r>
          </w:p>
        </w:tc>
        <w:tc>
          <w:tcPr>
            <w:tcW w:w="1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155</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491</w:t>
            </w: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book value as at September 30, 2022</w:t>
            </w:r>
          </w:p>
        </w:tc>
        <w:tc>
          <w:tcPr>
            <w:tcW w:w="2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449</w:t>
            </w:r>
          </w:p>
        </w:tc>
        <w:tc>
          <w:tcPr>
            <w:tcW w:w="1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116</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565</w:t>
            </w:r>
          </w:p>
        </w:tc>
        <w:tc>
          <w:tcPr>
            <w:tcW w:w="0" w:type="dxa"/>
            <w:vAlign w:val="bottom"/>
          </w:tcPr>
          <w:p>
            <w:pPr>
              <w:spacing w:after="0"/>
              <w:rPr>
                <w:sz w:val="1"/>
                <w:szCs w:val="1"/>
                <w:color w:val="auto"/>
              </w:rPr>
            </w:pPr>
          </w:p>
        </w:tc>
      </w:tr>
      <w:tr>
        <w:trPr>
          <w:trHeight w:val="431"/>
        </w:trPr>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2D5F91"/>
                <w:w w:val="89"/>
              </w:rPr>
              <w:t>5.</w:t>
            </w:r>
          </w:p>
        </w:tc>
        <w:tc>
          <w:tcPr>
            <w:tcW w:w="3860" w:type="dxa"/>
            <w:vAlign w:val="bottom"/>
          </w:tcPr>
          <w:p>
            <w:pPr>
              <w:ind w:left="20"/>
              <w:spacing w:after="0"/>
              <w:rPr>
                <w:sz w:val="20"/>
                <w:szCs w:val="20"/>
                <w:color w:val="auto"/>
              </w:rPr>
            </w:pPr>
            <w:r>
              <w:rPr>
                <w:rFonts w:ascii="Arial" w:cs="Arial" w:eastAsia="Arial" w:hAnsi="Arial"/>
                <w:sz w:val="16"/>
                <w:szCs w:val="16"/>
                <w:b w:val="1"/>
                <w:bCs w:val="1"/>
                <w:color w:val="2D5F91"/>
              </w:rPr>
              <w:t>INTANGIBLE ASSETS</w:t>
            </w:r>
          </w:p>
        </w:tc>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00" w:type="dxa"/>
            <w:vAlign w:val="bottom"/>
          </w:tcPr>
          <w:p>
            <w:pPr>
              <w:spacing w:after="0"/>
              <w:rPr>
                <w:sz w:val="24"/>
                <w:szCs w:val="24"/>
                <w:color w:val="auto"/>
              </w:rPr>
            </w:pPr>
          </w:p>
        </w:tc>
        <w:tc>
          <w:tcPr>
            <w:tcW w:w="38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Cost</w:t>
            </w:r>
          </w:p>
        </w:tc>
        <w:tc>
          <w:tcPr>
            <w:tcW w:w="2660" w:type="dxa"/>
            <w:vAlign w:val="bottom"/>
          </w:tcPr>
          <w:p>
            <w:pPr>
              <w:jc w:val="right"/>
              <w:ind w:right="779"/>
              <w:spacing w:after="0"/>
              <w:rPr>
                <w:sz w:val="20"/>
                <w:szCs w:val="20"/>
                <w:color w:val="auto"/>
              </w:rPr>
            </w:pPr>
            <w:r>
              <w:rPr>
                <w:rFonts w:ascii="Arial" w:cs="Arial" w:eastAsia="Arial" w:hAnsi="Arial"/>
                <w:sz w:val="16"/>
                <w:szCs w:val="16"/>
                <w:b w:val="1"/>
                <w:bCs w:val="1"/>
                <w:color w:val="auto"/>
              </w:rPr>
              <w:t>IP Research &amp;</w:t>
            </w:r>
          </w:p>
        </w:tc>
        <w:tc>
          <w:tcPr>
            <w:tcW w:w="12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Patents</w:t>
            </w:r>
          </w:p>
        </w:tc>
        <w:tc>
          <w:tcPr>
            <w:tcW w:w="170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Software</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2660" w:type="dxa"/>
            <w:vAlign w:val="bottom"/>
          </w:tcPr>
          <w:p>
            <w:pPr>
              <w:jc w:val="right"/>
              <w:ind w:right="779"/>
              <w:spacing w:after="0"/>
              <w:rPr>
                <w:sz w:val="20"/>
                <w:szCs w:val="20"/>
                <w:color w:val="auto"/>
              </w:rPr>
            </w:pPr>
            <w:r>
              <w:rPr>
                <w:rFonts w:ascii="Arial" w:cs="Arial" w:eastAsia="Arial" w:hAnsi="Arial"/>
                <w:sz w:val="16"/>
                <w:szCs w:val="16"/>
                <w:b w:val="1"/>
                <w:bCs w:val="1"/>
                <w:color w:val="auto"/>
              </w:rPr>
              <w:t>Development</w:t>
            </w:r>
          </w:p>
        </w:tc>
        <w:tc>
          <w:tcPr>
            <w:tcW w:w="12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60" w:type="dxa"/>
            <w:vAlign w:val="bottom"/>
          </w:tcPr>
          <w:p>
            <w:pPr>
              <w:jc w:val="right"/>
              <w:ind w:right="779"/>
              <w:spacing w:after="0"/>
              <w:rPr>
                <w:sz w:val="20"/>
                <w:szCs w:val="20"/>
                <w:color w:val="auto"/>
              </w:rPr>
            </w:pPr>
            <w:r>
              <w:rPr>
                <w:rFonts w:ascii="Arial" w:cs="Arial" w:eastAsia="Arial" w:hAnsi="Arial"/>
                <w:sz w:val="16"/>
                <w:szCs w:val="16"/>
                <w:b w:val="1"/>
                <w:bCs w:val="1"/>
                <w:color w:val="auto"/>
              </w:rPr>
              <w:t>$000’s</w:t>
            </w: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$000’s</w:t>
            </w:r>
          </w:p>
        </w:tc>
        <w:tc>
          <w:tcPr>
            <w:tcW w:w="1700" w:type="dxa"/>
            <w:vAlign w:val="bottom"/>
          </w:tcPr>
          <w:p>
            <w:pPr>
              <w:jc w:val="right"/>
              <w:ind w:right="479"/>
              <w:spacing w:after="0"/>
              <w:rPr>
                <w:sz w:val="20"/>
                <w:szCs w:val="20"/>
                <w:color w:val="auto"/>
              </w:rPr>
            </w:pPr>
            <w:r>
              <w:rPr>
                <w:rFonts w:ascii="Arial" w:cs="Arial" w:eastAsia="Arial" w:hAnsi="Arial"/>
                <w:sz w:val="16"/>
                <w:szCs w:val="16"/>
                <w:b w:val="1"/>
                <w:bCs w:val="1"/>
                <w:color w:val="auto"/>
              </w:rPr>
              <w:t>$000’s</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38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Balance as at March 31, 2022</w:t>
            </w:r>
          </w:p>
        </w:tc>
        <w:tc>
          <w:tcPr>
            <w:tcW w:w="26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1,566</w:t>
            </w:r>
          </w:p>
        </w:tc>
        <w:tc>
          <w:tcPr>
            <w:tcW w:w="12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443</w:t>
            </w:r>
          </w:p>
        </w:tc>
        <w:tc>
          <w:tcPr>
            <w:tcW w:w="17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74</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3860" w:type="dxa"/>
            <w:vAlign w:val="bottom"/>
          </w:tcPr>
          <w:p>
            <w:pPr>
              <w:ind w:left="60"/>
              <w:spacing w:after="0"/>
              <w:rPr>
                <w:sz w:val="20"/>
                <w:szCs w:val="20"/>
                <w:color w:val="auto"/>
              </w:rPr>
            </w:pPr>
            <w:r>
              <w:rPr>
                <w:rFonts w:ascii="Arial" w:cs="Arial" w:eastAsia="Arial" w:hAnsi="Arial"/>
                <w:sz w:val="16"/>
                <w:szCs w:val="16"/>
                <w:color w:val="auto"/>
              </w:rPr>
              <w:t>Additions</w:t>
            </w:r>
          </w:p>
        </w:tc>
        <w:tc>
          <w:tcPr>
            <w:tcW w:w="2660" w:type="dxa"/>
            <w:vAlign w:val="bottom"/>
          </w:tcPr>
          <w:p>
            <w:pPr>
              <w:jc w:val="right"/>
              <w:ind w:right="779"/>
              <w:spacing w:after="0"/>
              <w:rPr>
                <w:sz w:val="20"/>
                <w:szCs w:val="20"/>
                <w:color w:val="auto"/>
              </w:rPr>
            </w:pPr>
            <w:r>
              <w:rPr>
                <w:rFonts w:ascii="Arial" w:cs="Arial" w:eastAsia="Arial" w:hAnsi="Arial"/>
                <w:sz w:val="16"/>
                <w:szCs w:val="16"/>
                <w:color w:val="auto"/>
              </w:rPr>
              <w:t>1,342</w:t>
            </w:r>
          </w:p>
        </w:tc>
        <w:tc>
          <w:tcPr>
            <w:tcW w:w="1200" w:type="dxa"/>
            <w:vAlign w:val="bottom"/>
          </w:tcPr>
          <w:p>
            <w:pPr>
              <w:jc w:val="right"/>
              <w:ind w:right="379"/>
              <w:spacing w:after="0"/>
              <w:rPr>
                <w:sz w:val="20"/>
                <w:szCs w:val="20"/>
                <w:color w:val="auto"/>
              </w:rPr>
            </w:pPr>
            <w:r>
              <w:rPr>
                <w:rFonts w:ascii="Arial" w:cs="Arial" w:eastAsia="Arial" w:hAnsi="Arial"/>
                <w:sz w:val="16"/>
                <w:szCs w:val="16"/>
                <w:color w:val="auto"/>
              </w:rPr>
              <w:t>1,400</w:t>
            </w:r>
          </w:p>
        </w:tc>
        <w:tc>
          <w:tcPr>
            <w:tcW w:w="17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Effect of foreign exchange</w:t>
            </w:r>
          </w:p>
        </w:tc>
        <w:tc>
          <w:tcPr>
            <w:tcW w:w="26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208</w:t>
            </w: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114</w:t>
            </w:r>
          </w:p>
        </w:tc>
        <w:tc>
          <w:tcPr>
            <w:tcW w:w="17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Balance as at September 30, 2022</w:t>
            </w:r>
          </w:p>
        </w:tc>
        <w:tc>
          <w:tcPr>
            <w:tcW w:w="26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3,116</w:t>
            </w: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1,957</w:t>
            </w:r>
          </w:p>
        </w:tc>
        <w:tc>
          <w:tcPr>
            <w:tcW w:w="17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74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30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Accumulated Amortization</w:t>
            </w:r>
          </w:p>
        </w:tc>
        <w:tc>
          <w:tcPr>
            <w:tcW w:w="2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6"/>
                <w:szCs w:val="16"/>
                <w:b w:val="1"/>
                <w:bCs w:val="1"/>
                <w:color w:val="auto"/>
              </w:rPr>
              <w:t>Balance as at March 31, 2022</w:t>
            </w:r>
          </w:p>
        </w:tc>
        <w:tc>
          <w:tcPr>
            <w:tcW w:w="266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Amortization charge</w:t>
            </w:r>
          </w:p>
        </w:tc>
        <w:tc>
          <w:tcPr>
            <w:tcW w:w="266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79"/>
              <w:spacing w:after="0"/>
              <w:rPr>
                <w:sz w:val="20"/>
                <w:szCs w:val="20"/>
                <w:color w:val="auto"/>
              </w:rPr>
            </w:pPr>
            <w:r>
              <w:rPr>
                <w:rFonts w:ascii="Arial" w:cs="Arial" w:eastAsia="Arial" w:hAnsi="Arial"/>
                <w:sz w:val="16"/>
                <w:szCs w:val="16"/>
                <w:color w:val="auto"/>
              </w:rPr>
              <w:t>6</w:t>
            </w: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Effect of foreign exchange</w:t>
            </w:r>
          </w:p>
        </w:tc>
        <w:tc>
          <w:tcPr>
            <w:tcW w:w="266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Balance as at September 30, 2022</w:t>
            </w:r>
          </w:p>
        </w:tc>
        <w:tc>
          <w:tcPr>
            <w:tcW w:w="26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6</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book value as at March 31, 2022</w:t>
            </w:r>
          </w:p>
        </w:tc>
        <w:tc>
          <w:tcPr>
            <w:tcW w:w="26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1,566</w:t>
            </w: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443</w:t>
            </w:r>
          </w:p>
        </w:tc>
        <w:tc>
          <w:tcPr>
            <w:tcW w:w="17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74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book value as at September 30, 2022</w:t>
            </w:r>
          </w:p>
        </w:tc>
        <w:tc>
          <w:tcPr>
            <w:tcW w:w="26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3,116</w:t>
            </w: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1,957</w:t>
            </w:r>
          </w:p>
        </w:tc>
        <w:tc>
          <w:tcPr>
            <w:tcW w:w="17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68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300"/>
        <w:spacing w:after="0" w:line="269" w:lineRule="auto"/>
        <w:rPr>
          <w:sz w:val="20"/>
          <w:szCs w:val="20"/>
          <w:color w:val="auto"/>
        </w:rPr>
      </w:pPr>
      <w:r>
        <w:rPr>
          <w:rFonts w:ascii="Arial" w:cs="Arial" w:eastAsia="Arial" w:hAnsi="Arial"/>
          <w:sz w:val="16"/>
          <w:szCs w:val="16"/>
          <w:color w:val="auto"/>
        </w:rPr>
        <w:t>On July 11, 2022, the Company completed the acquisition of a Phase 1 N,N-dimethyltryptamine (“DMT”) study (the “Asset Acquisition”) from Entheon Biomedical Corp. to accelerate the clinical development path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10 of 25</w:t>
      </w:r>
    </w:p>
    <w:p>
      <w:pPr>
        <w:sectPr>
          <w:pgSz w:w="11900" w:h="16838" w:orient="portrait"/>
          <w:cols w:equalWidth="0" w:num="1">
            <w:col w:w="11240"/>
          </w:cols>
          <w:pgMar w:left="320" w:top="171" w:right="339" w:bottom="1440" w:gutter="0" w:footer="0" w:header="0"/>
        </w:sectPr>
      </w:pPr>
    </w:p>
    <w:bookmarkStart w:id="13" w:name="page14"/>
    <w:bookmarkEnd w:id="13"/>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left="62" w:right="24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56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302"/>
        <w:spacing w:after="0" w:line="269" w:lineRule="auto"/>
        <w:rPr>
          <w:sz w:val="20"/>
          <w:szCs w:val="20"/>
          <w:color w:val="auto"/>
        </w:rPr>
      </w:pPr>
      <w:r>
        <w:rPr>
          <w:rFonts w:ascii="Arial" w:cs="Arial" w:eastAsia="Arial" w:hAnsi="Arial"/>
          <w:sz w:val="16"/>
          <w:szCs w:val="16"/>
          <w:color w:val="auto"/>
        </w:rPr>
        <w:t>CYB004, Cybin’s proprietary deuterated DMT molecule for the potential treatment of anxiety disorders. The Company paid $1,000 for the Asset Acquisition, and assumed liabilities of $342.</w:t>
      </w:r>
    </w:p>
    <w:p>
      <w:pPr>
        <w:spacing w:after="0" w:line="150" w:lineRule="exact"/>
        <w:rPr>
          <w:sz w:val="20"/>
          <w:szCs w:val="20"/>
          <w:color w:val="auto"/>
        </w:rPr>
      </w:pPr>
    </w:p>
    <w:p>
      <w:pPr>
        <w:jc w:val="both"/>
        <w:ind w:left="302"/>
        <w:spacing w:after="0" w:line="258" w:lineRule="auto"/>
        <w:rPr>
          <w:sz w:val="20"/>
          <w:szCs w:val="20"/>
          <w:color w:val="auto"/>
        </w:rPr>
      </w:pPr>
      <w:r>
        <w:rPr>
          <w:rFonts w:ascii="Arial" w:cs="Arial" w:eastAsia="Arial" w:hAnsi="Arial"/>
          <w:sz w:val="16"/>
          <w:szCs w:val="16"/>
          <w:color w:val="auto"/>
        </w:rPr>
        <w:t>During the three-month period ended September 30, the Company entered into multiple licensing agreements that provide Cybin with additional access to IP from over 15 more patents or patent applications, including the acquisition of an exclusive license to a targeted class of tryptamine-based molecules from Mindset Pharma Inc. (“Mindset”), for which it paid a one-time license fee of $680 (US$500). The licensing agreements collectively provide the Company with access to a broad range of preclinical molecule combinations for its library of psychedelic derivative drug development candidates. In addition to the exclusive license with Mindset, the Company spent an additional $650 on a licensing agreement and $70 on expanding its IP portfolio.</w:t>
      </w:r>
    </w:p>
    <w:p>
      <w:pPr>
        <w:spacing w:after="0" w:line="200" w:lineRule="exact"/>
        <w:rPr>
          <w:sz w:val="20"/>
          <w:szCs w:val="20"/>
          <w:color w:val="auto"/>
        </w:rPr>
      </w:pPr>
    </w:p>
    <w:p>
      <w:pPr>
        <w:spacing w:after="0" w:line="343" w:lineRule="exact"/>
        <w:rPr>
          <w:sz w:val="20"/>
          <w:szCs w:val="20"/>
          <w:color w:val="auto"/>
        </w:rPr>
      </w:pPr>
    </w:p>
    <w:tbl>
      <w:tblPr>
        <w:tblLayout w:type="fixed"/>
        <w:tblInd w:w="2" w:type="dxa"/>
        <w:tblCellMar>
          <w:top w:w="0" w:type="dxa"/>
          <w:left w:w="0" w:type="dxa"/>
          <w:bottom w:w="0" w:type="dxa"/>
          <w:right w:w="0" w:type="dxa"/>
        </w:tblCellMar>
      </w:tblPr>
      <w:tr>
        <w:trPr>
          <w:trHeight w:val="215"/>
        </w:trPr>
        <w:tc>
          <w:tcPr>
            <w:tcW w:w="6660" w:type="dxa"/>
            <w:vAlign w:val="bottom"/>
            <w:gridSpan w:val="2"/>
          </w:tcPr>
          <w:p>
            <w:pPr>
              <w:spacing w:after="0"/>
              <w:rPr>
                <w:sz w:val="20"/>
                <w:szCs w:val="20"/>
                <w:color w:val="auto"/>
              </w:rPr>
            </w:pPr>
            <w:r>
              <w:rPr>
                <w:rFonts w:ascii="Arial" w:cs="Arial" w:eastAsia="Arial" w:hAnsi="Arial"/>
                <w:sz w:val="16"/>
                <w:szCs w:val="16"/>
                <w:b w:val="1"/>
                <w:bCs w:val="1"/>
                <w:color w:val="2D5F91"/>
              </w:rPr>
              <w:t>6.  GOODWILL</w:t>
            </w:r>
          </w:p>
        </w:tc>
        <w:tc>
          <w:tcPr>
            <w:tcW w:w="4380" w:type="dxa"/>
            <w:vAlign w:val="bottom"/>
          </w:tcPr>
          <w:p>
            <w:pPr>
              <w:spacing w:after="0"/>
              <w:rPr>
                <w:sz w:val="18"/>
                <w:szCs w:val="18"/>
                <w:color w:val="auto"/>
              </w:rPr>
            </w:pPr>
          </w:p>
        </w:tc>
      </w:tr>
      <w:tr>
        <w:trPr>
          <w:trHeight w:val="233"/>
        </w:trPr>
        <w:tc>
          <w:tcPr>
            <w:tcW w:w="140" w:type="dxa"/>
            <w:vAlign w:val="bottom"/>
          </w:tcPr>
          <w:p>
            <w:pPr>
              <w:spacing w:after="0"/>
              <w:rPr>
                <w:sz w:val="20"/>
                <w:szCs w:val="20"/>
                <w:color w:val="auto"/>
              </w:rPr>
            </w:pPr>
          </w:p>
        </w:tc>
        <w:tc>
          <w:tcPr>
            <w:tcW w:w="65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Cost</w:t>
            </w:r>
          </w:p>
        </w:tc>
        <w:tc>
          <w:tcPr>
            <w:tcW w:w="4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r>
      <w:tr>
        <w:trPr>
          <w:trHeight w:val="199"/>
        </w:trPr>
        <w:tc>
          <w:tcPr>
            <w:tcW w:w="140" w:type="dxa"/>
            <w:vAlign w:val="bottom"/>
          </w:tcPr>
          <w:p>
            <w:pPr>
              <w:spacing w:after="0"/>
              <w:rPr>
                <w:sz w:val="17"/>
                <w:szCs w:val="17"/>
                <w:color w:val="auto"/>
              </w:rPr>
            </w:pPr>
          </w:p>
        </w:tc>
        <w:tc>
          <w:tcPr>
            <w:tcW w:w="6520" w:type="dxa"/>
            <w:vAlign w:val="bottom"/>
          </w:tcPr>
          <w:p>
            <w:pPr>
              <w:ind w:left="100"/>
              <w:spacing w:after="0"/>
              <w:rPr>
                <w:sz w:val="20"/>
                <w:szCs w:val="20"/>
                <w:color w:val="auto"/>
              </w:rPr>
            </w:pPr>
            <w:r>
              <w:rPr>
                <w:rFonts w:ascii="Arial" w:cs="Arial" w:eastAsia="Arial" w:hAnsi="Arial"/>
                <w:sz w:val="16"/>
                <w:szCs w:val="16"/>
                <w:color w:val="auto"/>
              </w:rPr>
              <w:t>Balance as at March 31, 2022</w:t>
            </w:r>
          </w:p>
        </w:tc>
        <w:tc>
          <w:tcPr>
            <w:tcW w:w="4380" w:type="dxa"/>
            <w:vAlign w:val="bottom"/>
          </w:tcPr>
          <w:p>
            <w:pPr>
              <w:jc w:val="right"/>
              <w:spacing w:after="0"/>
              <w:rPr>
                <w:sz w:val="20"/>
                <w:szCs w:val="20"/>
                <w:color w:val="auto"/>
              </w:rPr>
            </w:pPr>
            <w:r>
              <w:rPr>
                <w:rFonts w:ascii="Arial" w:cs="Arial" w:eastAsia="Arial" w:hAnsi="Arial"/>
                <w:sz w:val="16"/>
                <w:szCs w:val="16"/>
                <w:color w:val="auto"/>
              </w:rPr>
              <w:t>22,892</w:t>
            </w:r>
          </w:p>
        </w:tc>
      </w:tr>
      <w:tr>
        <w:trPr>
          <w:trHeight w:val="208"/>
        </w:trPr>
        <w:tc>
          <w:tcPr>
            <w:tcW w:w="140" w:type="dxa"/>
            <w:vAlign w:val="bottom"/>
          </w:tcPr>
          <w:p>
            <w:pPr>
              <w:spacing w:after="0"/>
              <w:rPr>
                <w:sz w:val="18"/>
                <w:szCs w:val="18"/>
                <w:color w:val="auto"/>
              </w:rPr>
            </w:pPr>
          </w:p>
        </w:tc>
        <w:tc>
          <w:tcPr>
            <w:tcW w:w="65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Effect of foreign exchange</w:t>
            </w:r>
          </w:p>
        </w:tc>
        <w:tc>
          <w:tcPr>
            <w:tcW w:w="4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w:t>
            </w:r>
          </w:p>
        </w:tc>
      </w:tr>
      <w:tr>
        <w:trPr>
          <w:trHeight w:val="200"/>
        </w:trPr>
        <w:tc>
          <w:tcPr>
            <w:tcW w:w="140" w:type="dxa"/>
            <w:vAlign w:val="bottom"/>
          </w:tcPr>
          <w:p>
            <w:pPr>
              <w:spacing w:after="0"/>
              <w:rPr>
                <w:sz w:val="17"/>
                <w:szCs w:val="17"/>
                <w:color w:val="auto"/>
              </w:rPr>
            </w:pPr>
          </w:p>
        </w:tc>
        <w:tc>
          <w:tcPr>
            <w:tcW w:w="65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Balance as at September 30, 2022</w:t>
            </w:r>
          </w:p>
        </w:tc>
        <w:tc>
          <w:tcPr>
            <w:tcW w:w="4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25,111</w:t>
            </w:r>
          </w:p>
        </w:tc>
      </w:tr>
    </w:tbl>
    <w:p>
      <w:pPr>
        <w:spacing w:after="0" w:line="224" w:lineRule="exact"/>
        <w:rPr>
          <w:sz w:val="20"/>
          <w:szCs w:val="20"/>
          <w:color w:val="auto"/>
        </w:rPr>
      </w:pPr>
    </w:p>
    <w:p>
      <w:pPr>
        <w:ind w:left="302" w:right="7660" w:hanging="302"/>
        <w:spacing w:after="0" w:line="483" w:lineRule="auto"/>
        <w:tabs>
          <w:tab w:leader="none" w:pos="326" w:val="left"/>
        </w:tabs>
        <w:numPr>
          <w:ilvl w:val="0"/>
          <w:numId w:val="4"/>
        </w:numPr>
        <w:rPr>
          <w:rFonts w:ascii="Arial" w:cs="Arial" w:eastAsia="Arial" w:hAnsi="Arial"/>
          <w:sz w:val="16"/>
          <w:szCs w:val="16"/>
          <w:b w:val="1"/>
          <w:bCs w:val="1"/>
          <w:color w:val="2D5F91"/>
        </w:rPr>
      </w:pPr>
      <w:r>
        <w:rPr>
          <w:rFonts w:ascii="Arial" w:cs="Arial" w:eastAsia="Arial" w:hAnsi="Arial"/>
          <w:sz w:val="16"/>
          <w:szCs w:val="16"/>
          <w:b w:val="1"/>
          <w:bCs w:val="1"/>
          <w:color w:val="2D5F91"/>
        </w:rPr>
        <w:t xml:space="preserve">CONTINGENT CONSIDERATION PAYABLE </w:t>
      </w:r>
      <w:r>
        <w:rPr>
          <w:rFonts w:ascii="Arial" w:cs="Arial" w:eastAsia="Arial" w:hAnsi="Arial"/>
          <w:sz w:val="16"/>
          <w:szCs w:val="16"/>
          <w:b w:val="1"/>
          <w:bCs w:val="1"/>
          <w:color w:val="000000"/>
        </w:rPr>
        <w:t>Former Adelia Shareholders</w:t>
      </w:r>
    </w:p>
    <w:p>
      <w:pPr>
        <w:jc w:val="both"/>
        <w:ind w:left="302"/>
        <w:spacing w:after="0" w:line="257" w:lineRule="auto"/>
        <w:rPr>
          <w:sz w:val="20"/>
          <w:szCs w:val="20"/>
          <w:color w:val="auto"/>
        </w:rPr>
      </w:pPr>
      <w:r>
        <w:rPr>
          <w:rFonts w:ascii="Arial" w:cs="Arial" w:eastAsia="Arial" w:hAnsi="Arial"/>
          <w:sz w:val="16"/>
          <w:szCs w:val="16"/>
          <w:color w:val="auto"/>
        </w:rPr>
        <w:t>The Company had commitments to the former shareholders of Adelia (“Former Adelia Shareholders”) based on the achievement of certain milestones (the “Milestones”) as set out in the contribution agreement entered in connection with Cybin’s acquisition of Adelia (the “Contribution Agreement”). These Milestones were paid in class B common shares of Cybin US (“Class B Shares”) at a price per Class B Share equal to ten times the current trading price of the Common Shares on the relevant pricing date (note 8). The final Milestone was achieved on August 31, 2022. The Company does not have any further commitments to the Former Adelia Shareholders as it relates to the issuance of Class B Shares for the achievement of Milestones, other than the exchange of such shares into Common Shares in accordance with their terms.</w:t>
      </w:r>
    </w:p>
    <w:p>
      <w:pPr>
        <w:spacing w:after="0" w:line="15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following table presents the change in the carrying value of the contingent consideration for the six-month period ended September 30, 2022:</w:t>
      </w:r>
    </w:p>
    <w:p>
      <w:pPr>
        <w:spacing w:after="0" w:line="224" w:lineRule="exact"/>
        <w:rPr>
          <w:sz w:val="20"/>
          <w:szCs w:val="20"/>
          <w:color w:val="auto"/>
        </w:rPr>
      </w:pPr>
    </w:p>
    <w:tbl>
      <w:tblPr>
        <w:tblLayout w:type="fixed"/>
        <w:tblInd w:w="302"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4200" w:type="dxa"/>
            <w:vAlign w:val="bottom"/>
          </w:tcPr>
          <w:p>
            <w:pPr>
              <w:jc w:val="right"/>
              <w:spacing w:after="0"/>
              <w:rPr>
                <w:sz w:val="20"/>
                <w:szCs w:val="20"/>
                <w:color w:val="auto"/>
              </w:rPr>
            </w:pPr>
            <w:r>
              <w:rPr>
                <w:rFonts w:ascii="Arial" w:cs="Arial" w:eastAsia="Arial" w:hAnsi="Arial"/>
                <w:sz w:val="16"/>
                <w:szCs w:val="16"/>
                <w:b w:val="1"/>
                <w:bCs w:val="1"/>
                <w:color w:val="auto"/>
              </w:rPr>
              <w:t>$000’s</w:t>
            </w:r>
          </w:p>
        </w:tc>
      </w:tr>
      <w:tr>
        <w:trPr>
          <w:trHeight w:val="25"/>
        </w:trPr>
        <w:tc>
          <w:tcPr>
            <w:tcW w:w="62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199"/>
        </w:trPr>
        <w:tc>
          <w:tcPr>
            <w:tcW w:w="6280" w:type="dxa"/>
            <w:vAlign w:val="bottom"/>
          </w:tcPr>
          <w:p>
            <w:pPr>
              <w:spacing w:after="0"/>
              <w:rPr>
                <w:sz w:val="20"/>
                <w:szCs w:val="20"/>
                <w:color w:val="auto"/>
              </w:rPr>
            </w:pPr>
            <w:r>
              <w:rPr>
                <w:rFonts w:ascii="Arial" w:cs="Arial" w:eastAsia="Arial" w:hAnsi="Arial"/>
                <w:sz w:val="16"/>
                <w:szCs w:val="16"/>
                <w:color w:val="auto"/>
              </w:rPr>
              <w:t>Balance as at March 31, 2022</w:t>
            </w:r>
          </w:p>
        </w:tc>
        <w:tc>
          <w:tcPr>
            <w:tcW w:w="4200" w:type="dxa"/>
            <w:vAlign w:val="bottom"/>
          </w:tcPr>
          <w:p>
            <w:pPr>
              <w:jc w:val="right"/>
              <w:spacing w:after="0"/>
              <w:rPr>
                <w:sz w:val="20"/>
                <w:szCs w:val="20"/>
                <w:color w:val="auto"/>
              </w:rPr>
            </w:pPr>
            <w:r>
              <w:rPr>
                <w:rFonts w:ascii="Arial" w:cs="Arial" w:eastAsia="Arial" w:hAnsi="Arial"/>
                <w:sz w:val="16"/>
                <w:szCs w:val="16"/>
                <w:color w:val="auto"/>
              </w:rPr>
              <w:t>2,646</w:t>
            </w:r>
          </w:p>
        </w:tc>
      </w:tr>
      <w:tr>
        <w:trPr>
          <w:trHeight w:val="257"/>
        </w:trPr>
        <w:tc>
          <w:tcPr>
            <w:tcW w:w="6280" w:type="dxa"/>
            <w:vAlign w:val="bottom"/>
          </w:tcPr>
          <w:p>
            <w:pPr>
              <w:spacing w:after="0"/>
              <w:rPr>
                <w:sz w:val="20"/>
                <w:szCs w:val="20"/>
                <w:color w:val="auto"/>
              </w:rPr>
            </w:pPr>
            <w:r>
              <w:rPr>
                <w:rFonts w:ascii="Arial" w:cs="Arial" w:eastAsia="Arial" w:hAnsi="Arial"/>
                <w:sz w:val="16"/>
                <w:szCs w:val="16"/>
                <w:color w:val="auto"/>
              </w:rPr>
              <w:t>Milestone achieved</w:t>
            </w:r>
          </w:p>
        </w:tc>
        <w:tc>
          <w:tcPr>
            <w:tcW w:w="4200" w:type="dxa"/>
            <w:vAlign w:val="bottom"/>
          </w:tcPr>
          <w:p>
            <w:pPr>
              <w:jc w:val="right"/>
              <w:spacing w:after="0"/>
              <w:rPr>
                <w:sz w:val="20"/>
                <w:szCs w:val="20"/>
                <w:color w:val="auto"/>
              </w:rPr>
            </w:pPr>
            <w:r>
              <w:rPr>
                <w:rFonts w:ascii="Arial" w:cs="Arial" w:eastAsia="Arial" w:hAnsi="Arial"/>
                <w:sz w:val="16"/>
                <w:szCs w:val="16"/>
                <w:color w:val="auto"/>
              </w:rPr>
              <w:t>(2,988)</w:t>
            </w:r>
          </w:p>
        </w:tc>
      </w:tr>
      <w:tr>
        <w:trPr>
          <w:trHeight w:val="232"/>
        </w:trPr>
        <w:tc>
          <w:tcPr>
            <w:tcW w:w="6280" w:type="dxa"/>
            <w:vAlign w:val="bottom"/>
          </w:tcPr>
          <w:p>
            <w:pPr>
              <w:spacing w:after="0"/>
              <w:rPr>
                <w:sz w:val="20"/>
                <w:szCs w:val="20"/>
                <w:color w:val="auto"/>
              </w:rPr>
            </w:pPr>
            <w:r>
              <w:rPr>
                <w:rFonts w:ascii="Arial" w:cs="Arial" w:eastAsia="Arial" w:hAnsi="Arial"/>
                <w:sz w:val="16"/>
                <w:szCs w:val="16"/>
                <w:color w:val="auto"/>
              </w:rPr>
              <w:t>Change in fair value</w:t>
            </w:r>
          </w:p>
        </w:tc>
        <w:tc>
          <w:tcPr>
            <w:tcW w:w="420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08"/>
        </w:trPr>
        <w:tc>
          <w:tcPr>
            <w:tcW w:w="6280" w:type="dxa"/>
            <w:vAlign w:val="bottom"/>
          </w:tcPr>
          <w:p>
            <w:pPr>
              <w:spacing w:after="0"/>
              <w:rPr>
                <w:sz w:val="20"/>
                <w:szCs w:val="20"/>
                <w:color w:val="auto"/>
              </w:rPr>
            </w:pPr>
            <w:r>
              <w:rPr>
                <w:rFonts w:ascii="Arial" w:cs="Arial" w:eastAsia="Arial" w:hAnsi="Arial"/>
                <w:sz w:val="16"/>
                <w:szCs w:val="16"/>
                <w:color w:val="auto"/>
              </w:rPr>
              <w:t>Accretion expense</w:t>
            </w:r>
          </w:p>
        </w:tc>
        <w:tc>
          <w:tcPr>
            <w:tcW w:w="42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
        </w:trPr>
        <w:tc>
          <w:tcPr>
            <w:tcW w:w="62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17"/>
        </w:trPr>
        <w:tc>
          <w:tcPr>
            <w:tcW w:w="6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at September 30, 2022</w:t>
            </w:r>
          </w:p>
        </w:tc>
        <w:tc>
          <w:tcPr>
            <w:tcW w:w="4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44" w:lineRule="exact"/>
        <w:rPr>
          <w:sz w:val="20"/>
          <w:szCs w:val="20"/>
          <w:color w:val="auto"/>
        </w:rPr>
      </w:pPr>
    </w:p>
    <w:p>
      <w:pPr>
        <w:jc w:val="both"/>
        <w:ind w:left="302"/>
        <w:spacing w:after="0" w:line="259" w:lineRule="auto"/>
        <w:rPr>
          <w:sz w:val="20"/>
          <w:szCs w:val="20"/>
          <w:color w:val="auto"/>
        </w:rPr>
      </w:pPr>
      <w:r>
        <w:rPr>
          <w:rFonts w:ascii="Arial" w:cs="Arial" w:eastAsia="Arial" w:hAnsi="Arial"/>
          <w:sz w:val="16"/>
          <w:szCs w:val="16"/>
          <w:color w:val="auto"/>
        </w:rPr>
        <w:t>As a result of changes in fair value of the contingent consideration, for the three and six months ended September 30, 2022, the Company recorded an expense of $21 and $329 ,respectively, in the statement of loss and comprehensive loss as “change in fair value of contingent consideration”. In addition, for the six-month period ended September 30, 2022, the Company recorded an accretion expense of $13 in the statement of loss and comprehensive loss as “contingent consideration accretion”.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11 of 25</w:t>
      </w:r>
    </w:p>
    <w:p>
      <w:pPr>
        <w:sectPr>
          <w:pgSz w:w="11900" w:h="16838" w:orient="portrait"/>
          <w:cols w:equalWidth="0" w:num="1">
            <w:col w:w="11242"/>
          </w:cols>
          <w:pgMar w:left="318" w:top="171" w:right="339" w:bottom="1440" w:gutter="0" w:footer="0" w:header="0"/>
        </w:sectPr>
      </w:pPr>
    </w:p>
    <w:bookmarkStart w:id="14" w:name="page15"/>
    <w:bookmarkEnd w:id="14"/>
    <w:p>
      <w:pPr>
        <w:ind w:left="562"/>
        <w:spacing w:after="0"/>
        <w:rPr>
          <w:sz w:val="20"/>
          <w:szCs w:val="20"/>
          <w:color w:val="auto"/>
        </w:rPr>
      </w:pPr>
      <w:r>
        <w:rPr>
          <w:rFonts w:ascii="Arial" w:cs="Arial" w:eastAsia="Arial" w:hAnsi="Arial"/>
          <w:sz w:val="20"/>
          <w:szCs w:val="20"/>
          <w:b w:val="1"/>
          <w:bCs w:val="1"/>
          <w:color w:val="auto"/>
        </w:rPr>
        <w:t>CYBIN INC.</w:t>
      </w:r>
    </w:p>
    <w:p>
      <w:pPr>
        <w:spacing w:after="0" w:line="19" w:lineRule="exact"/>
        <w:rPr>
          <w:sz w:val="20"/>
          <w:szCs w:val="20"/>
          <w:color w:val="auto"/>
        </w:rPr>
      </w:pPr>
    </w:p>
    <w:p>
      <w:pPr>
        <w:ind w:left="562"/>
        <w:spacing w:after="0"/>
        <w:rPr>
          <w:sz w:val="20"/>
          <w:szCs w:val="20"/>
          <w:color w:val="auto"/>
        </w:rPr>
      </w:pPr>
      <w:r>
        <w:rPr>
          <w:rFonts w:ascii="Arial" w:cs="Arial" w:eastAsia="Arial" w:hAnsi="Arial"/>
          <w:sz w:val="20"/>
          <w:szCs w:val="20"/>
          <w:b w:val="1"/>
          <w:bCs w:val="1"/>
          <w:color w:val="auto"/>
        </w:rPr>
        <w:t>NOTES TO THE CONDENSED INTERIM CONSOLIDATED FINANCIAL STATEMENTS</w:t>
      </w:r>
    </w:p>
    <w:p>
      <w:pPr>
        <w:ind w:left="562"/>
        <w:spacing w:after="0"/>
        <w:rPr>
          <w:sz w:val="20"/>
          <w:szCs w:val="20"/>
          <w:color w:val="auto"/>
        </w:rPr>
      </w:pPr>
      <w:r>
        <w:rPr>
          <w:rFonts w:ascii="Arial" w:cs="Arial" w:eastAsia="Arial" w:hAnsi="Arial"/>
          <w:sz w:val="18"/>
          <w:szCs w:val="18"/>
          <w:b w:val="1"/>
          <w:bCs w:val="1"/>
          <w:color w:val="auto"/>
        </w:rPr>
        <w:t>For the three months ended September 30, 2022 and September 30, 2021</w:t>
      </w:r>
    </w:p>
    <w:p>
      <w:pPr>
        <w:spacing w:after="0" w:line="9" w:lineRule="exact"/>
        <w:rPr>
          <w:sz w:val="20"/>
          <w:szCs w:val="20"/>
          <w:color w:val="auto"/>
        </w:rPr>
      </w:pPr>
    </w:p>
    <w:p>
      <w:pPr>
        <w:ind w:left="562"/>
        <w:spacing w:after="0"/>
        <w:rPr>
          <w:sz w:val="20"/>
          <w:szCs w:val="20"/>
          <w:color w:val="auto"/>
        </w:rPr>
      </w:pPr>
      <w:r>
        <w:rPr>
          <w:rFonts w:ascii="Arial" w:cs="Arial" w:eastAsia="Arial" w:hAnsi="Arial"/>
          <w:sz w:val="16"/>
          <w:szCs w:val="16"/>
          <w:b w:val="1"/>
          <w:bCs w:val="1"/>
          <w:color w:val="auto"/>
        </w:rPr>
        <w:t>(All amounts expressed in thousands of Canadian dollars, except share and per share amounts and those amounts indicated as</w:t>
      </w:r>
    </w:p>
    <w:p>
      <w:pPr>
        <w:spacing w:after="0" w:line="18" w:lineRule="exact"/>
        <w:rPr>
          <w:sz w:val="20"/>
          <w:szCs w:val="20"/>
          <w:color w:val="auto"/>
        </w:rPr>
      </w:pPr>
    </w:p>
    <w:p>
      <w:pPr>
        <w:ind w:left="562"/>
        <w:spacing w:after="0"/>
        <w:rPr>
          <w:sz w:val="20"/>
          <w:szCs w:val="20"/>
          <w:color w:val="auto"/>
        </w:rPr>
      </w:pPr>
      <w:r>
        <w:rPr>
          <w:rFonts w:ascii="Arial" w:cs="Arial" w:eastAsia="Arial" w:hAnsi="Arial"/>
          <w:sz w:val="16"/>
          <w:szCs w:val="16"/>
          <w:b w:val="1"/>
          <w:bCs w:val="1"/>
          <w:color w:val="auto"/>
        </w:rPr>
        <w:t>being in US dollars, which are in thousands of US dollars)</w:t>
      </w:r>
    </w:p>
    <w:p>
      <w:pPr>
        <w:spacing w:after="0" w:line="11" w:lineRule="exact"/>
        <w:rPr>
          <w:sz w:val="20"/>
          <w:szCs w:val="20"/>
          <w:color w:val="auto"/>
        </w:rPr>
      </w:pPr>
    </w:p>
    <w:p>
      <w:pPr>
        <w:ind w:left="5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56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 w:hanging="322"/>
        <w:spacing w:after="0"/>
        <w:tabs>
          <w:tab w:leader="none" w:pos="322" w:val="left"/>
        </w:tabs>
        <w:numPr>
          <w:ilvl w:val="0"/>
          <w:numId w:val="5"/>
        </w:numPr>
        <w:rPr>
          <w:rFonts w:ascii="Arial" w:cs="Arial" w:eastAsia="Arial" w:hAnsi="Arial"/>
          <w:sz w:val="16"/>
          <w:szCs w:val="16"/>
          <w:b w:val="1"/>
          <w:bCs w:val="1"/>
          <w:color w:val="2D5F91"/>
        </w:rPr>
      </w:pPr>
      <w:r>
        <w:rPr>
          <w:rFonts w:ascii="Arial" w:cs="Arial" w:eastAsia="Arial" w:hAnsi="Arial"/>
          <w:sz w:val="16"/>
          <w:szCs w:val="16"/>
          <w:b w:val="1"/>
          <w:bCs w:val="1"/>
          <w:color w:val="2D5F91"/>
        </w:rPr>
        <w:t>SHARE CAPITAL</w:t>
      </w:r>
    </w:p>
    <w:p>
      <w:pPr>
        <w:spacing w:after="0" w:line="183" w:lineRule="exact"/>
        <w:rPr>
          <w:sz w:val="20"/>
          <w:szCs w:val="20"/>
          <w:color w:val="auto"/>
        </w:rPr>
      </w:pPr>
    </w:p>
    <w:p>
      <w:pPr>
        <w:ind w:left="602" w:hanging="309"/>
        <w:spacing w:after="0"/>
        <w:tabs>
          <w:tab w:leader="none" w:pos="60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Authorized share capital</w:t>
      </w:r>
    </w:p>
    <w:p>
      <w:pPr>
        <w:spacing w:after="0" w:line="190" w:lineRule="exact"/>
        <w:rPr>
          <w:sz w:val="20"/>
          <w:szCs w:val="20"/>
          <w:color w:val="auto"/>
        </w:rPr>
      </w:pPr>
    </w:p>
    <w:p>
      <w:pPr>
        <w:ind w:left="302" w:right="20"/>
        <w:spacing w:after="0" w:line="269" w:lineRule="auto"/>
        <w:rPr>
          <w:sz w:val="20"/>
          <w:szCs w:val="20"/>
          <w:color w:val="auto"/>
        </w:rPr>
      </w:pPr>
      <w:r>
        <w:rPr>
          <w:rFonts w:ascii="Arial" w:cs="Arial" w:eastAsia="Arial" w:hAnsi="Arial"/>
          <w:sz w:val="16"/>
          <w:szCs w:val="16"/>
          <w:color w:val="auto"/>
        </w:rPr>
        <w:t>Unlimited number of Common Shares and an unlimited number of preferred shares without par value. The board of directors of Cybin would determine the designation, rights, privileges, and conditions attached to any preferred shares prior to issuance.</w:t>
      </w:r>
    </w:p>
    <w:p>
      <w:pPr>
        <w:spacing w:after="0" w:line="117" w:lineRule="exact"/>
        <w:rPr>
          <w:sz w:val="20"/>
          <w:szCs w:val="20"/>
          <w:color w:val="auto"/>
        </w:rPr>
      </w:pPr>
    </w:p>
    <w:p>
      <w:pPr>
        <w:ind w:left="602" w:hanging="309"/>
        <w:spacing w:after="0"/>
        <w:tabs>
          <w:tab w:leader="none" w:pos="60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Issued share capital</w:t>
      </w:r>
    </w:p>
    <w:p>
      <w:pPr>
        <w:spacing w:after="0" w:line="183"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Common Shares</w:t>
      </w:r>
    </w:p>
    <w:p>
      <w:pPr>
        <w:spacing w:after="0" w:line="190" w:lineRule="exact"/>
        <w:rPr>
          <w:sz w:val="20"/>
          <w:szCs w:val="20"/>
          <w:color w:val="auto"/>
        </w:rPr>
      </w:pPr>
    </w:p>
    <w:p>
      <w:pPr>
        <w:jc w:val="both"/>
        <w:ind w:left="302" w:right="20"/>
        <w:spacing w:after="0" w:line="257" w:lineRule="auto"/>
        <w:rPr>
          <w:sz w:val="20"/>
          <w:szCs w:val="20"/>
          <w:color w:val="auto"/>
        </w:rPr>
      </w:pPr>
      <w:r>
        <w:rPr>
          <w:rFonts w:ascii="Arial" w:cs="Arial" w:eastAsia="Arial" w:hAnsi="Arial"/>
          <w:sz w:val="16"/>
          <w:szCs w:val="16"/>
          <w:color w:val="auto"/>
        </w:rPr>
        <w:t>On August 8, 2022, the Company established an at-the-market equity program (the “ATM Program”) that allows the Company to issue and sell up to US$35,000 of Common Shares from treasury to the public, from time to time. Distributions of Common Shares under the ATM Program, are made pursuant to the terms and conditions of an at-the-market equity distribution agreement (the “Distribution Agreement”) dated August 8, 2022 among the Company, Cantor Fitzgerald Canada Corporation and Cantor Fitzgerald &amp; Co. The ATM Program is effective until the earlier of the issuance and sale of all of the Common Shares issuable pursuant to the ATM Program and August 5, 2023 unless earlier terminated in accordance with the terms of the Distribution Agreement.</w:t>
      </w:r>
    </w:p>
    <w:p>
      <w:pPr>
        <w:spacing w:after="0" w:line="150" w:lineRule="exact"/>
        <w:rPr>
          <w:sz w:val="20"/>
          <w:szCs w:val="20"/>
          <w:color w:val="auto"/>
        </w:rPr>
      </w:pPr>
    </w:p>
    <w:p>
      <w:pPr>
        <w:jc w:val="both"/>
        <w:ind w:left="302" w:right="20"/>
        <w:spacing w:after="0" w:line="262" w:lineRule="auto"/>
        <w:rPr>
          <w:sz w:val="20"/>
          <w:szCs w:val="20"/>
          <w:color w:val="auto"/>
        </w:rPr>
      </w:pPr>
      <w:r>
        <w:rPr>
          <w:rFonts w:ascii="Arial" w:cs="Arial" w:eastAsia="Arial" w:hAnsi="Arial"/>
          <w:sz w:val="16"/>
          <w:szCs w:val="16"/>
          <w:color w:val="auto"/>
        </w:rPr>
        <w:t>Up to September 30, 2022, the Company had sold 5,331,630 Common Shares under the ATM program, of which 213,452 were not yet settled, at an average price of $0.9666 (US$0.7317) per Common Share, for aggregate gross proceeds of $5,154 (US$3,901), of which $392 (US$285) was receivable at September 30, 2022.</w:t>
      </w:r>
    </w:p>
    <w:p>
      <w:pPr>
        <w:spacing w:after="0" w:line="135"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Preferred Shares</w:t>
      </w:r>
    </w:p>
    <w:p>
      <w:pPr>
        <w:spacing w:after="0" w:line="19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As at September 30, 2022 the Company has nil preferred shares outstanding (March 31, 2022 - nil).</w:t>
      </w:r>
    </w:p>
    <w:p>
      <w:pPr>
        <w:spacing w:after="0" w:line="150" w:lineRule="exact"/>
        <w:rPr>
          <w:sz w:val="20"/>
          <w:szCs w:val="20"/>
          <w:color w:val="auto"/>
        </w:rPr>
      </w:pPr>
    </w:p>
    <w:p>
      <w:pPr>
        <w:ind w:left="302"/>
        <w:spacing w:after="0"/>
        <w:rPr>
          <w:sz w:val="20"/>
          <w:szCs w:val="20"/>
          <w:color w:val="auto"/>
        </w:rPr>
      </w:pPr>
      <w:r>
        <w:rPr>
          <w:rFonts w:ascii="Arial" w:cs="Arial" w:eastAsia="Arial" w:hAnsi="Arial"/>
          <w:sz w:val="16"/>
          <w:szCs w:val="16"/>
          <w:b w:val="1"/>
          <w:bCs w:val="1"/>
          <w:i w:val="1"/>
          <w:iCs w:val="1"/>
          <w:color w:val="auto"/>
        </w:rPr>
        <w:t>Cybin US Class B Shares</w:t>
      </w:r>
    </w:p>
    <w:p>
      <w:pPr>
        <w:spacing w:after="0" w:line="48" w:lineRule="exact"/>
        <w:rPr>
          <w:sz w:val="20"/>
          <w:szCs w:val="20"/>
          <w:color w:val="auto"/>
        </w:rPr>
      </w:pPr>
    </w:p>
    <w:tbl>
      <w:tblPr>
        <w:tblLayout w:type="fixed"/>
        <w:tblInd w:w="302" w:type="dxa"/>
        <w:tblCellMar>
          <w:top w:w="0" w:type="dxa"/>
          <w:left w:w="0" w:type="dxa"/>
          <w:bottom w:w="0" w:type="dxa"/>
          <w:right w:w="0" w:type="dxa"/>
        </w:tblCellMar>
      </w:tblPr>
      <w:tr>
        <w:trPr>
          <w:trHeight w:val="216"/>
        </w:trPr>
        <w:tc>
          <w:tcPr>
            <w:tcW w:w="618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 of Class B Shares</w:t>
            </w:r>
          </w:p>
        </w:tc>
      </w:tr>
      <w:tr>
        <w:trPr>
          <w:trHeight w:val="208"/>
        </w:trPr>
        <w:tc>
          <w:tcPr>
            <w:tcW w:w="6180" w:type="dxa"/>
            <w:vAlign w:val="bottom"/>
          </w:tcPr>
          <w:p>
            <w:pPr>
              <w:ind w:left="40"/>
              <w:spacing w:after="0"/>
              <w:rPr>
                <w:sz w:val="20"/>
                <w:szCs w:val="20"/>
                <w:color w:val="auto"/>
              </w:rPr>
            </w:pPr>
            <w:r>
              <w:rPr>
                <w:rFonts w:ascii="Arial" w:cs="Arial" w:eastAsia="Arial" w:hAnsi="Arial"/>
                <w:sz w:val="16"/>
                <w:szCs w:val="16"/>
                <w:b w:val="1"/>
                <w:bCs w:val="1"/>
                <w:color w:val="auto"/>
              </w:rPr>
              <w:t>Balance as at March 31, 2022</w:t>
            </w:r>
          </w:p>
        </w:tc>
        <w:tc>
          <w:tcPr>
            <w:tcW w:w="4380" w:type="dxa"/>
            <w:vAlign w:val="bottom"/>
          </w:tcPr>
          <w:p>
            <w:pPr>
              <w:jc w:val="right"/>
              <w:spacing w:after="0"/>
              <w:rPr>
                <w:sz w:val="20"/>
                <w:szCs w:val="20"/>
                <w:color w:val="auto"/>
              </w:rPr>
            </w:pPr>
            <w:r>
              <w:rPr>
                <w:rFonts w:ascii="Arial" w:cs="Arial" w:eastAsia="Arial" w:hAnsi="Arial"/>
                <w:sz w:val="16"/>
                <w:szCs w:val="16"/>
                <w:color w:val="auto"/>
              </w:rPr>
              <w:t>1,047,135.1</w:t>
            </w:r>
          </w:p>
        </w:tc>
      </w:tr>
      <w:tr>
        <w:trPr>
          <w:trHeight w:val="199"/>
        </w:trPr>
        <w:tc>
          <w:tcPr>
            <w:tcW w:w="6180" w:type="dxa"/>
            <w:vAlign w:val="bottom"/>
          </w:tcPr>
          <w:p>
            <w:pPr>
              <w:ind w:left="40"/>
              <w:spacing w:after="0"/>
              <w:rPr>
                <w:sz w:val="20"/>
                <w:szCs w:val="20"/>
                <w:color w:val="auto"/>
              </w:rPr>
            </w:pPr>
            <w:r>
              <w:rPr>
                <w:rFonts w:ascii="Arial" w:cs="Arial" w:eastAsia="Arial" w:hAnsi="Arial"/>
                <w:sz w:val="16"/>
                <w:szCs w:val="16"/>
                <w:color w:val="auto"/>
              </w:rPr>
              <w:t>Issued on achievement of milestones</w:t>
            </w:r>
          </w:p>
        </w:tc>
        <w:tc>
          <w:tcPr>
            <w:tcW w:w="4380" w:type="dxa"/>
            <w:vAlign w:val="bottom"/>
          </w:tcPr>
          <w:p>
            <w:pPr>
              <w:jc w:val="right"/>
              <w:spacing w:after="0"/>
              <w:rPr>
                <w:sz w:val="20"/>
                <w:szCs w:val="20"/>
                <w:color w:val="auto"/>
              </w:rPr>
            </w:pPr>
            <w:r>
              <w:rPr>
                <w:rFonts w:ascii="Arial" w:cs="Arial" w:eastAsia="Arial" w:hAnsi="Arial"/>
                <w:sz w:val="16"/>
                <w:szCs w:val="16"/>
                <w:color w:val="auto"/>
              </w:rPr>
              <w:t>360,374.2</w:t>
            </w:r>
          </w:p>
        </w:tc>
      </w:tr>
      <w:tr>
        <w:trPr>
          <w:trHeight w:val="208"/>
        </w:trPr>
        <w:tc>
          <w:tcPr>
            <w:tcW w:w="6180" w:type="dxa"/>
            <w:vAlign w:val="bottom"/>
            <w:tcBorders>
              <w:bottom w:val="single" w:sz="8" w:color="929292"/>
            </w:tcBorders>
          </w:tcPr>
          <w:p>
            <w:pPr>
              <w:ind w:left="40"/>
              <w:spacing w:after="0"/>
              <w:rPr>
                <w:sz w:val="20"/>
                <w:szCs w:val="20"/>
                <w:color w:val="auto"/>
              </w:rPr>
            </w:pPr>
            <w:r>
              <w:rPr>
                <w:rFonts w:ascii="Arial" w:cs="Arial" w:eastAsia="Arial" w:hAnsi="Arial"/>
                <w:sz w:val="16"/>
                <w:szCs w:val="16"/>
                <w:color w:val="auto"/>
              </w:rPr>
              <w:t>Converted into Common Shares</w:t>
            </w:r>
          </w:p>
        </w:tc>
        <w:tc>
          <w:tcPr>
            <w:tcW w:w="4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(38,023.0)</w:t>
            </w:r>
          </w:p>
        </w:tc>
      </w:tr>
      <w:tr>
        <w:trPr>
          <w:trHeight w:val="200"/>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at September 30, 2022</w:t>
            </w:r>
          </w:p>
        </w:tc>
        <w:tc>
          <w:tcPr>
            <w:tcW w:w="4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1,369,486.3</w:t>
            </w:r>
          </w:p>
        </w:tc>
      </w:tr>
    </w:tbl>
    <w:p>
      <w:pPr>
        <w:spacing w:after="0" w:line="244" w:lineRule="exact"/>
        <w:rPr>
          <w:sz w:val="20"/>
          <w:szCs w:val="20"/>
          <w:color w:val="auto"/>
        </w:rPr>
      </w:pPr>
    </w:p>
    <w:p>
      <w:pPr>
        <w:jc w:val="both"/>
        <w:ind w:left="302"/>
        <w:spacing w:after="0" w:line="258" w:lineRule="auto"/>
        <w:rPr>
          <w:sz w:val="20"/>
          <w:szCs w:val="20"/>
          <w:color w:val="auto"/>
        </w:rPr>
      </w:pPr>
      <w:r>
        <w:rPr>
          <w:rFonts w:ascii="Arial" w:cs="Arial" w:eastAsia="Arial" w:hAnsi="Arial"/>
          <w:sz w:val="16"/>
          <w:szCs w:val="16"/>
          <w:color w:val="auto"/>
        </w:rPr>
        <w:t>As at September 30, 2022, 1,369,486.3 Class B Shares were outstanding (March 31, 2022 - 1,047,135.1), which are exchangeable for a total of 13,694,863 Common Shares (March 31, 2022 - 10,471,351) (note 7). No Class B Shares were exchangeable prior to December 14, 2021, and not more than: (i) 33 1/3% of the Class B Shares are to be exchangeable prior to December 14, 2022; (ii) 66 2/3% of the Class B Shares are to be exchangeable prior to December 14, 2023; and (iii) thereafter, 100% of the Class B Shares are to be exchangeable. These condensed interim consolidated financial statements reflect all of the issued Class B Shares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12 of 25</w:t>
      </w:r>
    </w:p>
    <w:p>
      <w:pPr>
        <w:sectPr>
          <w:pgSz w:w="11900" w:h="16838" w:orient="portrait"/>
          <w:cols w:equalWidth="0" w:num="1">
            <w:col w:w="11262"/>
          </w:cols>
          <w:pgMar w:left="318" w:top="171" w:right="31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27305</wp:posOffset>
            </wp:positionV>
            <wp:extent cx="71456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During the six-month period ended September 30, 2022, the Company completed the following Class B Shares issuances and conversions:</w:t>
      </w:r>
    </w:p>
    <w:p>
      <w:pPr>
        <w:spacing w:after="0" w:line="203" w:lineRule="exact"/>
        <w:rPr>
          <w:sz w:val="20"/>
          <w:szCs w:val="20"/>
          <w:color w:val="auto"/>
        </w:rPr>
      </w:pPr>
    </w:p>
    <w:p>
      <w:pPr>
        <w:jc w:val="both"/>
        <w:ind w:left="240"/>
        <w:spacing w:after="0" w:line="258" w:lineRule="auto"/>
        <w:rPr>
          <w:sz w:val="20"/>
          <w:szCs w:val="20"/>
          <w:color w:val="auto"/>
        </w:rPr>
      </w:pPr>
      <w:r>
        <w:rPr>
          <w:rFonts w:ascii="Arial" w:cs="Arial" w:eastAsia="Arial" w:hAnsi="Arial"/>
          <w:sz w:val="16"/>
          <w:szCs w:val="16"/>
          <w:color w:val="auto"/>
        </w:rPr>
        <w:t>On April 1, 2022, pursuant to the terms of the Contribution Agreement,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May 5, 2022, a Former Adelia Shareholder exchanged 38,023 Class B Shares for 380,230 Common Shares.</w:t>
      </w:r>
    </w:p>
    <w:p>
      <w:pPr>
        <w:spacing w:after="0" w:line="170" w:lineRule="exact"/>
        <w:rPr>
          <w:sz w:val="20"/>
          <w:szCs w:val="20"/>
          <w:color w:val="auto"/>
        </w:rPr>
      </w:pPr>
    </w:p>
    <w:p>
      <w:pPr>
        <w:jc w:val="both"/>
        <w:ind w:left="240"/>
        <w:spacing w:after="0" w:line="259" w:lineRule="auto"/>
        <w:rPr>
          <w:sz w:val="20"/>
          <w:szCs w:val="20"/>
          <w:color w:val="auto"/>
        </w:rPr>
      </w:pPr>
      <w:r>
        <w:rPr>
          <w:rFonts w:ascii="Arial" w:cs="Arial" w:eastAsia="Arial" w:hAnsi="Arial"/>
          <w:sz w:val="16"/>
          <w:szCs w:val="16"/>
          <w:color w:val="auto"/>
        </w:rPr>
        <w:t>On June 24, 2022, pursuant to the terms of the Contribution Agreement, 266,933.1 Class B Shares were issued to Former Adelia Shareholders due to the achievement of certain Milestones identified as Y2, Q2 (i), (vi), Y2, Q3 (ii), Year 2 Q4 (i) and Year 3 Q1 (i), (ii), (iii), as contemplated by the terms of the Contribution Agreement, having an aggregate value of $2,033 at a price per Class B Share of $7.62. These Class B Shares are exchangeable for a total of 2,669,331 Common Shares, representing an effective issue price of $0.762 per Common Share.</w:t>
      </w:r>
    </w:p>
    <w:p>
      <w:pPr>
        <w:spacing w:after="0" w:line="159" w:lineRule="exact"/>
        <w:rPr>
          <w:sz w:val="20"/>
          <w:szCs w:val="20"/>
          <w:color w:val="auto"/>
        </w:rPr>
      </w:pPr>
    </w:p>
    <w:p>
      <w:pPr>
        <w:jc w:val="both"/>
        <w:ind w:left="240"/>
        <w:spacing w:after="0" w:line="259" w:lineRule="auto"/>
        <w:rPr>
          <w:sz w:val="20"/>
          <w:szCs w:val="20"/>
          <w:color w:val="auto"/>
        </w:rPr>
      </w:pPr>
      <w:r>
        <w:rPr>
          <w:rFonts w:ascii="Arial" w:cs="Arial" w:eastAsia="Arial" w:hAnsi="Arial"/>
          <w:sz w:val="16"/>
          <w:szCs w:val="16"/>
          <w:color w:val="auto"/>
        </w:rPr>
        <w:t>On June 27, 2022, pursuant to the terms of the Contribution Agreement, 37,366.2 Class B Shares were issued to Former Adelia Shareholders due to the achievement of the Milestone identified as Y2, Q3 (i), as contemplated by the terms of the Contribution Agreement, having an aggregate value of $280 at a price per Class B Share of $7.50. These Class B Shares are exchangeable for a total of 373,662 Common Shares, representing an effective issue price of $0.75 per Common Share.</w:t>
      </w:r>
    </w:p>
    <w:p>
      <w:pPr>
        <w:spacing w:after="0" w:line="147" w:lineRule="exact"/>
        <w:rPr>
          <w:sz w:val="20"/>
          <w:szCs w:val="20"/>
          <w:color w:val="auto"/>
        </w:rPr>
      </w:pPr>
    </w:p>
    <w:p>
      <w:pPr>
        <w:jc w:val="both"/>
        <w:ind w:left="240"/>
        <w:spacing w:after="0" w:line="259" w:lineRule="auto"/>
        <w:rPr>
          <w:sz w:val="20"/>
          <w:szCs w:val="20"/>
          <w:color w:val="auto"/>
        </w:rPr>
      </w:pPr>
      <w:r>
        <w:rPr>
          <w:rFonts w:ascii="Arial" w:cs="Arial" w:eastAsia="Arial" w:hAnsi="Arial"/>
          <w:sz w:val="16"/>
          <w:szCs w:val="16"/>
          <w:color w:val="auto"/>
        </w:rPr>
        <w:t>On August 31, 2022, pursuant to the terms of the Contribution Agreement, 33,190.1 Class B Shares were issued to Former Adelia Shareholders due to the achievement of the Milestone identified as Y2, Q4 (ii), as contemplated by the terms of the Contribution Agreement, having an aggregate value of $468 at a price per Class B Share of $14.10. These Class B Shares are exchangeable for a total of 331,901 Common Shares, representing an effective issue price of $1.41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13 of 25</w:t>
      </w:r>
    </w:p>
    <w:p>
      <w:pPr>
        <w:sectPr>
          <w:pgSz w:w="11900" w:h="16838" w:orient="portrait"/>
          <w:cols w:equalWidth="0" w:num="1">
            <w:col w:w="11180"/>
          </w:cols>
          <w:pgMar w:left="380" w:top="171"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27305</wp:posOffset>
            </wp:positionV>
            <wp:extent cx="71456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309"/>
        <w:spacing w:after="0"/>
        <w:tabs>
          <w:tab w:leader="none" w:pos="54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u w:val="single" w:color="auto"/>
          <w:color w:val="auto"/>
        </w:rPr>
        <w:t>Warrants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continuity of the outstanding warrants for the six-month period ended September 30, 2022 is as follows:</w:t>
      </w:r>
    </w:p>
    <w:p>
      <w:pPr>
        <w:spacing w:after="0" w:line="170"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38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Number of Warrants</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1"/>
        </w:trPr>
        <w:tc>
          <w:tcPr>
            <w:tcW w:w="50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5"/>
        </w:trPr>
        <w:tc>
          <w:tcPr>
            <w:tcW w:w="502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rPr>
              <w:t>Common Share Purchase Warrants</w:t>
            </w:r>
          </w:p>
        </w:tc>
        <w:tc>
          <w:tcPr>
            <w:tcW w:w="38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5020" w:type="dxa"/>
            <w:vAlign w:val="bottom"/>
            <w:tcBorders>
              <w:bottom w:val="single" w:sz="8" w:color="auto"/>
            </w:tcBorders>
            <w:vMerge w:val="continue"/>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20" w:type="dxa"/>
            <w:vAlign w:val="bottom"/>
          </w:tcPr>
          <w:p>
            <w:pPr>
              <w:ind w:left="60"/>
              <w:spacing w:after="0"/>
              <w:rPr>
                <w:sz w:val="20"/>
                <w:szCs w:val="20"/>
                <w:color w:val="auto"/>
              </w:rPr>
            </w:pPr>
            <w:r>
              <w:rPr>
                <w:rFonts w:ascii="Arial" w:cs="Arial" w:eastAsia="Arial" w:hAnsi="Arial"/>
                <w:sz w:val="16"/>
                <w:szCs w:val="16"/>
                <w:color w:val="auto"/>
              </w:rPr>
              <w:t>As at March 31, 2022</w:t>
            </w:r>
          </w:p>
        </w:tc>
        <w:tc>
          <w:tcPr>
            <w:tcW w:w="3840" w:type="dxa"/>
            <w:vAlign w:val="bottom"/>
          </w:tcPr>
          <w:p>
            <w:pPr>
              <w:jc w:val="right"/>
              <w:ind w:right="159"/>
              <w:spacing w:after="0"/>
              <w:rPr>
                <w:sz w:val="20"/>
                <w:szCs w:val="20"/>
                <w:color w:val="auto"/>
              </w:rPr>
            </w:pPr>
            <w:r>
              <w:rPr>
                <w:rFonts w:ascii="Arial" w:cs="Arial" w:eastAsia="Arial" w:hAnsi="Arial"/>
                <w:sz w:val="16"/>
                <w:szCs w:val="16"/>
                <w:color w:val="auto"/>
              </w:rPr>
              <w:t>25,548,836</w:t>
            </w:r>
          </w:p>
        </w:tc>
        <w:tc>
          <w:tcPr>
            <w:tcW w:w="170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8"/>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Exercised</w:t>
            </w:r>
          </w:p>
        </w:tc>
        <w:tc>
          <w:tcPr>
            <w:tcW w:w="3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(1,164,638)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0"/>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Outstanding as at September 30, 2022</w:t>
            </w:r>
          </w:p>
        </w:tc>
        <w:tc>
          <w:tcPr>
            <w:tcW w:w="3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24,384,198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200"/>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Exercisable as at September 30, 2022</w:t>
            </w:r>
          </w:p>
        </w:tc>
        <w:tc>
          <w:tcPr>
            <w:tcW w:w="3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24,184,198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w:t>
            </w:r>
          </w:p>
        </w:tc>
        <w:tc>
          <w:tcPr>
            <w:tcW w:w="0" w:type="dxa"/>
            <w:vAlign w:val="bottom"/>
          </w:tcPr>
          <w:p>
            <w:pPr>
              <w:spacing w:after="0"/>
              <w:rPr>
                <w:sz w:val="1"/>
                <w:szCs w:val="1"/>
                <w:color w:val="auto"/>
              </w:rPr>
            </w:pPr>
          </w:p>
        </w:tc>
      </w:tr>
      <w:tr>
        <w:trPr>
          <w:trHeight w:val="334"/>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i w:val="1"/>
                <w:iCs w:val="1"/>
                <w:color w:val="auto"/>
              </w:rPr>
              <w:t>Unit Purchase Warrants</w:t>
            </w:r>
            <w:r>
              <w:rPr>
                <w:rFonts w:ascii="Arial" w:cs="Arial" w:eastAsia="Arial" w:hAnsi="Arial"/>
                <w:sz w:val="21"/>
                <w:szCs w:val="21"/>
                <w:b w:val="1"/>
                <w:bCs w:val="1"/>
                <w:i w:val="1"/>
                <w:iCs w:val="1"/>
                <w:color w:val="auto"/>
                <w:vertAlign w:val="superscript"/>
              </w:rPr>
              <w:t>(1)</w:t>
            </w:r>
          </w:p>
        </w:tc>
        <w:tc>
          <w:tcPr>
            <w:tcW w:w="38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020" w:type="dxa"/>
            <w:vAlign w:val="bottom"/>
          </w:tcPr>
          <w:p>
            <w:pPr>
              <w:ind w:left="60"/>
              <w:spacing w:after="0"/>
              <w:rPr>
                <w:sz w:val="20"/>
                <w:szCs w:val="20"/>
                <w:color w:val="auto"/>
              </w:rPr>
            </w:pPr>
            <w:r>
              <w:rPr>
                <w:rFonts w:ascii="Arial" w:cs="Arial" w:eastAsia="Arial" w:hAnsi="Arial"/>
                <w:sz w:val="16"/>
                <w:szCs w:val="16"/>
                <w:color w:val="auto"/>
              </w:rPr>
              <w:t>As at March 31, 2022</w:t>
            </w:r>
          </w:p>
        </w:tc>
        <w:tc>
          <w:tcPr>
            <w:tcW w:w="3840" w:type="dxa"/>
            <w:vAlign w:val="bottom"/>
          </w:tcPr>
          <w:p>
            <w:pPr>
              <w:jc w:val="right"/>
              <w:ind w:right="159"/>
              <w:spacing w:after="0"/>
              <w:rPr>
                <w:sz w:val="20"/>
                <w:szCs w:val="20"/>
                <w:color w:val="auto"/>
              </w:rPr>
            </w:pPr>
            <w:r>
              <w:rPr>
                <w:rFonts w:ascii="Arial" w:cs="Arial" w:eastAsia="Arial" w:hAnsi="Arial"/>
                <w:sz w:val="16"/>
                <w:szCs w:val="16"/>
                <w:color w:val="auto"/>
              </w:rPr>
              <w:t>868,740</w:t>
            </w:r>
          </w:p>
        </w:tc>
        <w:tc>
          <w:tcPr>
            <w:tcW w:w="170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8"/>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Exercised</w:t>
            </w:r>
          </w:p>
        </w:tc>
        <w:tc>
          <w:tcPr>
            <w:tcW w:w="3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Outstanding as at September 30, 2022</w:t>
            </w:r>
          </w:p>
        </w:tc>
        <w:tc>
          <w:tcPr>
            <w:tcW w:w="3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868,740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r>
        <w:trPr>
          <w:trHeight w:val="200"/>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Exercisable as at September 30, 2022</w:t>
            </w:r>
          </w:p>
        </w:tc>
        <w:tc>
          <w:tcPr>
            <w:tcW w:w="3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868,740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40" w:hanging="9"/>
        <w:spacing w:after="0" w:line="222" w:lineRule="auto"/>
        <w:tabs>
          <w:tab w:leader="none" w:pos="408"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Each unit consists of one Common Share and one half of one Common Share purchase warrant, with each Common Share purchase warrant being exercisable to acquire one Common Share at an exercise price of $3.25 per Common Share.</w:t>
      </w:r>
    </w:p>
    <w:p>
      <w:pPr>
        <w:spacing w:after="0" w:line="212" w:lineRule="exact"/>
        <w:rPr>
          <w:sz w:val="20"/>
          <w:szCs w:val="20"/>
          <w:color w:val="auto"/>
        </w:rPr>
      </w:pPr>
    </w:p>
    <w:p>
      <w:pPr>
        <w:ind w:left="240" w:right="20"/>
        <w:spacing w:after="0" w:line="269" w:lineRule="auto"/>
        <w:rPr>
          <w:sz w:val="20"/>
          <w:szCs w:val="20"/>
          <w:color w:val="auto"/>
        </w:rPr>
      </w:pPr>
      <w:r>
        <w:rPr>
          <w:rFonts w:ascii="Arial" w:cs="Arial" w:eastAsia="Arial" w:hAnsi="Arial"/>
          <w:sz w:val="16"/>
          <w:szCs w:val="16"/>
          <w:color w:val="auto"/>
        </w:rPr>
        <w:t>During the three and six months ended September 30, 2022, 65,000 and 1,164,638 Common Share purchase warrants were exercised by various holders for aggregate proceeds to the Company of $48 and $362, respectively.</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summarizes information about warrants outstanding at September 30, 2022:</w:t>
      </w:r>
    </w:p>
    <w:p>
      <w:pPr>
        <w:spacing w:after="0" w:line="15"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7"/>
        </w:trPr>
        <w:tc>
          <w:tcPr>
            <w:tcW w:w="3480" w:type="dxa"/>
            <w:vAlign w:val="bottom"/>
          </w:tcPr>
          <w:p>
            <w:pPr>
              <w:spacing w:after="0"/>
              <w:rPr>
                <w:sz w:val="14"/>
                <w:szCs w:val="14"/>
                <w:color w:val="auto"/>
              </w:rPr>
            </w:pPr>
          </w:p>
        </w:tc>
        <w:tc>
          <w:tcPr>
            <w:tcW w:w="1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Warrants</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Warrants</w:t>
            </w:r>
          </w:p>
        </w:tc>
        <w:tc>
          <w:tcPr>
            <w:tcW w:w="1520" w:type="dxa"/>
            <w:vAlign w:val="bottom"/>
            <w:vMerge w:val="continue"/>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Estimated grant</w:t>
            </w:r>
          </w:p>
        </w:tc>
        <w:tc>
          <w:tcPr>
            <w:tcW w:w="15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of remaining</w:t>
            </w:r>
          </w:p>
        </w:tc>
        <w:tc>
          <w:tcPr>
            <w:tcW w:w="0" w:type="dxa"/>
            <w:vAlign w:val="bottom"/>
          </w:tcPr>
          <w:p>
            <w:pPr>
              <w:spacing w:after="0"/>
              <w:rPr>
                <w:sz w:val="1"/>
                <w:szCs w:val="1"/>
                <w:color w:val="auto"/>
              </w:rPr>
            </w:pPr>
          </w:p>
        </w:tc>
      </w:tr>
      <w:tr>
        <w:trPr>
          <w:trHeight w:val="159"/>
        </w:trPr>
        <w:tc>
          <w:tcPr>
            <w:tcW w:w="34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Date of Expiry</w:t>
            </w:r>
          </w:p>
        </w:tc>
        <w:tc>
          <w:tcPr>
            <w:tcW w:w="18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520" w:type="dxa"/>
            <w:vAlign w:val="bottom"/>
          </w:tcPr>
          <w:p>
            <w:pPr>
              <w:jc w:val="right"/>
              <w:ind w:right="39"/>
              <w:spacing w:after="0" w:line="159" w:lineRule="exact"/>
              <w:rPr>
                <w:sz w:val="20"/>
                <w:szCs w:val="20"/>
                <w:color w:val="auto"/>
              </w:rPr>
            </w:pPr>
            <w:r>
              <w:rPr>
                <w:rFonts w:ascii="Arial" w:cs="Arial" w:eastAsia="Arial" w:hAnsi="Arial"/>
                <w:sz w:val="16"/>
                <w:szCs w:val="16"/>
                <w:b w:val="1"/>
                <w:bCs w:val="1"/>
                <w:color w:val="auto"/>
              </w:rPr>
              <w:t>average of</w:t>
            </w:r>
          </w:p>
        </w:tc>
        <w:tc>
          <w:tcPr>
            <w:tcW w:w="1340" w:type="dxa"/>
            <w:vAlign w:val="bottom"/>
            <w:vMerge w:val="continue"/>
          </w:tcPr>
          <w:p>
            <w:pPr>
              <w:spacing w:after="0"/>
              <w:rPr>
                <w:sz w:val="13"/>
                <w:szCs w:val="13"/>
                <w:color w:val="auto"/>
              </w:rPr>
            </w:pP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199"/>
        </w:trPr>
        <w:tc>
          <w:tcPr>
            <w:tcW w:w="3480" w:type="dxa"/>
            <w:vAlign w:val="bottom"/>
            <w:vMerge w:val="continue"/>
          </w:tcPr>
          <w:p>
            <w:pPr>
              <w:spacing w:after="0"/>
              <w:rPr>
                <w:sz w:val="17"/>
                <w:szCs w:val="17"/>
                <w:color w:val="auto"/>
              </w:rPr>
            </w:pPr>
          </w:p>
        </w:tc>
        <w:tc>
          <w:tcPr>
            <w:tcW w:w="1880" w:type="dxa"/>
            <w:vAlign w:val="bottom"/>
          </w:tcPr>
          <w:p>
            <w:pPr>
              <w:jc w:val="right"/>
              <w:ind w:right="179"/>
              <w:spacing w:after="0"/>
              <w:rPr>
                <w:sz w:val="20"/>
                <w:szCs w:val="20"/>
                <w:color w:val="auto"/>
              </w:rPr>
            </w:pPr>
            <w:r>
              <w:rPr>
                <w:rFonts w:ascii="Arial" w:cs="Arial" w:eastAsia="Arial" w:hAnsi="Arial"/>
                <w:sz w:val="16"/>
                <w:szCs w:val="16"/>
                <w:b w:val="1"/>
                <w:bCs w:val="1"/>
                <w:color w:val="auto"/>
              </w:rPr>
              <w:t>outstanding</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exercisable</w:t>
            </w: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exercisable price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date fair value</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contractual life</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08"/>
        </w:trPr>
        <w:tc>
          <w:tcPr>
            <w:tcW w:w="34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Common Share Purchase Warrants</w:t>
            </w: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80" w:type="dxa"/>
            <w:vAlign w:val="bottom"/>
          </w:tcPr>
          <w:p>
            <w:pPr>
              <w:spacing w:after="0"/>
              <w:rPr>
                <w:sz w:val="20"/>
                <w:szCs w:val="20"/>
                <w:color w:val="auto"/>
              </w:rPr>
            </w:pPr>
            <w:r>
              <w:rPr>
                <w:rFonts w:ascii="Arial" w:cs="Arial" w:eastAsia="Arial" w:hAnsi="Arial"/>
                <w:sz w:val="16"/>
                <w:szCs w:val="16"/>
                <w:color w:val="auto"/>
              </w:rPr>
              <w:t>October 19, 2022</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113,713</w:t>
            </w:r>
          </w:p>
        </w:tc>
        <w:tc>
          <w:tcPr>
            <w:tcW w:w="1220" w:type="dxa"/>
            <w:vAlign w:val="bottom"/>
          </w:tcPr>
          <w:p>
            <w:pPr>
              <w:jc w:val="right"/>
              <w:spacing w:after="0"/>
              <w:rPr>
                <w:sz w:val="20"/>
                <w:szCs w:val="20"/>
                <w:color w:val="auto"/>
              </w:rPr>
            </w:pPr>
            <w:r>
              <w:rPr>
                <w:rFonts w:ascii="Arial" w:cs="Arial" w:eastAsia="Arial" w:hAnsi="Arial"/>
                <w:sz w:val="16"/>
                <w:szCs w:val="16"/>
                <w:color w:val="auto"/>
              </w:rPr>
              <w:t>113,713</w:t>
            </w:r>
          </w:p>
        </w:tc>
        <w:tc>
          <w:tcPr>
            <w:tcW w:w="1520" w:type="dxa"/>
            <w:vAlign w:val="bottom"/>
          </w:tcPr>
          <w:p>
            <w:pPr>
              <w:jc w:val="right"/>
              <w:spacing w:after="0"/>
              <w:rPr>
                <w:sz w:val="20"/>
                <w:szCs w:val="20"/>
                <w:color w:val="auto"/>
              </w:rPr>
            </w:pPr>
            <w:r>
              <w:rPr>
                <w:rFonts w:ascii="Arial" w:cs="Arial" w:eastAsia="Arial" w:hAnsi="Arial"/>
                <w:sz w:val="16"/>
                <w:szCs w:val="16"/>
                <w:color w:val="auto"/>
              </w:rPr>
              <w:t>0.75</w:t>
            </w:r>
          </w:p>
        </w:tc>
        <w:tc>
          <w:tcPr>
            <w:tcW w:w="1340" w:type="dxa"/>
            <w:vAlign w:val="bottom"/>
          </w:tcPr>
          <w:p>
            <w:pPr>
              <w:jc w:val="right"/>
              <w:spacing w:after="0"/>
              <w:rPr>
                <w:sz w:val="20"/>
                <w:szCs w:val="20"/>
                <w:color w:val="auto"/>
              </w:rPr>
            </w:pPr>
            <w:r>
              <w:rPr>
                <w:rFonts w:ascii="Arial" w:cs="Arial" w:eastAsia="Arial" w:hAnsi="Arial"/>
                <w:sz w:val="16"/>
                <w:szCs w:val="16"/>
                <w:color w:val="auto"/>
              </w:rPr>
              <w:t>42</w:t>
            </w:r>
          </w:p>
        </w:tc>
        <w:tc>
          <w:tcPr>
            <w:tcW w:w="152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6"/>
                <w:szCs w:val="16"/>
                <w:color w:val="auto"/>
              </w:rPr>
              <w:t>November 3, 2022</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1,040,000</w:t>
            </w:r>
          </w:p>
        </w:tc>
        <w:tc>
          <w:tcPr>
            <w:tcW w:w="1220" w:type="dxa"/>
            <w:vAlign w:val="bottom"/>
          </w:tcPr>
          <w:p>
            <w:pPr>
              <w:jc w:val="right"/>
              <w:spacing w:after="0"/>
              <w:rPr>
                <w:sz w:val="20"/>
                <w:szCs w:val="20"/>
                <w:color w:val="auto"/>
              </w:rPr>
            </w:pPr>
            <w:r>
              <w:rPr>
                <w:rFonts w:ascii="Arial" w:cs="Arial" w:eastAsia="Arial" w:hAnsi="Arial"/>
                <w:sz w:val="16"/>
                <w:szCs w:val="16"/>
                <w:color w:val="auto"/>
              </w:rPr>
              <w:t>1,040,000</w:t>
            </w:r>
          </w:p>
        </w:tc>
        <w:tc>
          <w:tcPr>
            <w:tcW w:w="1520" w:type="dxa"/>
            <w:vAlign w:val="bottom"/>
          </w:tcPr>
          <w:p>
            <w:pPr>
              <w:jc w:val="right"/>
              <w:spacing w:after="0"/>
              <w:rPr>
                <w:sz w:val="20"/>
                <w:szCs w:val="20"/>
                <w:color w:val="auto"/>
              </w:rPr>
            </w:pPr>
            <w:r>
              <w:rPr>
                <w:rFonts w:ascii="Arial" w:cs="Arial" w:eastAsia="Arial" w:hAnsi="Arial"/>
                <w:sz w:val="16"/>
                <w:szCs w:val="16"/>
                <w:color w:val="auto"/>
              </w:rPr>
              <w:t>0.75</w:t>
            </w:r>
          </w:p>
        </w:tc>
        <w:tc>
          <w:tcPr>
            <w:tcW w:w="1340" w:type="dxa"/>
            <w:vAlign w:val="bottom"/>
          </w:tcPr>
          <w:p>
            <w:pPr>
              <w:jc w:val="right"/>
              <w:spacing w:after="0"/>
              <w:rPr>
                <w:sz w:val="20"/>
                <w:szCs w:val="20"/>
                <w:color w:val="auto"/>
              </w:rPr>
            </w:pPr>
            <w:r>
              <w:rPr>
                <w:rFonts w:ascii="Arial" w:cs="Arial" w:eastAsia="Arial" w:hAnsi="Arial"/>
                <w:sz w:val="16"/>
                <w:szCs w:val="16"/>
                <w:color w:val="auto"/>
              </w:rPr>
              <w:t>376</w:t>
            </w:r>
          </w:p>
        </w:tc>
        <w:tc>
          <w:tcPr>
            <w:tcW w:w="152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6"/>
                <w:szCs w:val="16"/>
                <w:color w:val="auto"/>
              </w:rPr>
              <w:t>August 3, 2023</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658,860</w:t>
            </w:r>
          </w:p>
        </w:tc>
        <w:tc>
          <w:tcPr>
            <w:tcW w:w="1220" w:type="dxa"/>
            <w:vAlign w:val="bottom"/>
          </w:tcPr>
          <w:p>
            <w:pPr>
              <w:jc w:val="right"/>
              <w:spacing w:after="0"/>
              <w:rPr>
                <w:sz w:val="20"/>
                <w:szCs w:val="20"/>
                <w:color w:val="auto"/>
              </w:rPr>
            </w:pPr>
            <w:r>
              <w:rPr>
                <w:rFonts w:ascii="Arial" w:cs="Arial" w:eastAsia="Arial" w:hAnsi="Arial"/>
                <w:sz w:val="16"/>
                <w:szCs w:val="16"/>
                <w:color w:val="auto"/>
              </w:rPr>
              <w:t>658,860</w:t>
            </w:r>
          </w:p>
        </w:tc>
        <w:tc>
          <w:tcPr>
            <w:tcW w:w="1520" w:type="dxa"/>
            <w:vAlign w:val="bottom"/>
          </w:tcPr>
          <w:p>
            <w:pPr>
              <w:jc w:val="right"/>
              <w:spacing w:after="0"/>
              <w:rPr>
                <w:sz w:val="20"/>
                <w:szCs w:val="20"/>
                <w:color w:val="auto"/>
              </w:rPr>
            </w:pPr>
            <w:r>
              <w:rPr>
                <w:rFonts w:ascii="Arial" w:cs="Arial" w:eastAsia="Arial" w:hAnsi="Arial"/>
                <w:sz w:val="16"/>
                <w:szCs w:val="16"/>
                <w:color w:val="auto"/>
              </w:rPr>
              <w:t>3.4</w:t>
            </w:r>
          </w:p>
        </w:tc>
        <w:tc>
          <w:tcPr>
            <w:tcW w:w="1340" w:type="dxa"/>
            <w:vAlign w:val="bottom"/>
          </w:tcPr>
          <w:p>
            <w:pPr>
              <w:jc w:val="right"/>
              <w:spacing w:after="0"/>
              <w:rPr>
                <w:sz w:val="20"/>
                <w:szCs w:val="20"/>
                <w:color w:val="auto"/>
              </w:rPr>
            </w:pPr>
            <w:r>
              <w:rPr>
                <w:rFonts w:ascii="Arial" w:cs="Arial" w:eastAsia="Arial" w:hAnsi="Arial"/>
                <w:sz w:val="16"/>
                <w:szCs w:val="16"/>
                <w:color w:val="auto"/>
              </w:rPr>
              <w:t>1,229</w:t>
            </w:r>
          </w:p>
        </w:tc>
        <w:tc>
          <w:tcPr>
            <w:tcW w:w="1520" w:type="dxa"/>
            <w:vAlign w:val="bottom"/>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6"/>
                <w:szCs w:val="16"/>
                <w:color w:val="auto"/>
              </w:rPr>
              <w:t>February 1, 2024</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7,146,500</w:t>
            </w:r>
          </w:p>
        </w:tc>
        <w:tc>
          <w:tcPr>
            <w:tcW w:w="1220" w:type="dxa"/>
            <w:vAlign w:val="bottom"/>
          </w:tcPr>
          <w:p>
            <w:pPr>
              <w:jc w:val="right"/>
              <w:spacing w:after="0"/>
              <w:rPr>
                <w:sz w:val="20"/>
                <w:szCs w:val="20"/>
                <w:color w:val="auto"/>
              </w:rPr>
            </w:pPr>
            <w:r>
              <w:rPr>
                <w:rFonts w:ascii="Arial" w:cs="Arial" w:eastAsia="Arial" w:hAnsi="Arial"/>
                <w:sz w:val="16"/>
                <w:szCs w:val="16"/>
                <w:color w:val="auto"/>
              </w:rPr>
              <w:t>7,146,500</w:t>
            </w:r>
          </w:p>
        </w:tc>
        <w:tc>
          <w:tcPr>
            <w:tcW w:w="1520" w:type="dxa"/>
            <w:vAlign w:val="bottom"/>
          </w:tcPr>
          <w:p>
            <w:pPr>
              <w:jc w:val="right"/>
              <w:spacing w:after="0"/>
              <w:rPr>
                <w:sz w:val="20"/>
                <w:szCs w:val="20"/>
                <w:color w:val="auto"/>
              </w:rPr>
            </w:pPr>
            <w:r>
              <w:rPr>
                <w:rFonts w:ascii="Arial" w:cs="Arial" w:eastAsia="Arial" w:hAnsi="Arial"/>
                <w:sz w:val="16"/>
                <w:szCs w:val="16"/>
                <w:color w:val="auto"/>
              </w:rPr>
              <w:t>3.25</w:t>
            </w:r>
          </w:p>
        </w:tc>
        <w:tc>
          <w:tcPr>
            <w:tcW w:w="1340" w:type="dxa"/>
            <w:vAlign w:val="bottom"/>
          </w:tcPr>
          <w:p>
            <w:pPr>
              <w:jc w:val="right"/>
              <w:spacing w:after="0"/>
              <w:rPr>
                <w:sz w:val="20"/>
                <w:szCs w:val="20"/>
                <w:color w:val="auto"/>
              </w:rPr>
            </w:pPr>
            <w:r>
              <w:rPr>
                <w:rFonts w:ascii="Arial" w:cs="Arial" w:eastAsia="Arial" w:hAnsi="Arial"/>
                <w:sz w:val="16"/>
                <w:szCs w:val="16"/>
                <w:color w:val="auto"/>
              </w:rPr>
              <w:t>5,454</w:t>
            </w:r>
          </w:p>
        </w:tc>
        <w:tc>
          <w:tcPr>
            <w:tcW w:w="152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6"/>
                <w:szCs w:val="16"/>
                <w:color w:val="auto"/>
              </w:rPr>
              <w:t>June 15, 2025</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12,800,000</w:t>
            </w:r>
          </w:p>
        </w:tc>
        <w:tc>
          <w:tcPr>
            <w:tcW w:w="1220" w:type="dxa"/>
            <w:vAlign w:val="bottom"/>
          </w:tcPr>
          <w:p>
            <w:pPr>
              <w:jc w:val="right"/>
              <w:spacing w:after="0"/>
              <w:rPr>
                <w:sz w:val="20"/>
                <w:szCs w:val="20"/>
                <w:color w:val="auto"/>
              </w:rPr>
            </w:pPr>
            <w:r>
              <w:rPr>
                <w:rFonts w:ascii="Arial" w:cs="Arial" w:eastAsia="Arial" w:hAnsi="Arial"/>
                <w:sz w:val="16"/>
                <w:szCs w:val="16"/>
                <w:color w:val="auto"/>
              </w:rPr>
              <w:t>12,600,000</w:t>
            </w:r>
          </w:p>
        </w:tc>
        <w:tc>
          <w:tcPr>
            <w:tcW w:w="1520" w:type="dxa"/>
            <w:vAlign w:val="bottom"/>
          </w:tcPr>
          <w:p>
            <w:pPr>
              <w:jc w:val="right"/>
              <w:spacing w:after="0"/>
              <w:rPr>
                <w:sz w:val="20"/>
                <w:szCs w:val="20"/>
                <w:color w:val="auto"/>
              </w:rPr>
            </w:pPr>
            <w:r>
              <w:rPr>
                <w:rFonts w:ascii="Arial" w:cs="Arial" w:eastAsia="Arial" w:hAnsi="Arial"/>
                <w:sz w:val="16"/>
                <w:szCs w:val="16"/>
                <w:color w:val="auto"/>
              </w:rPr>
              <w:t>0.25</w:t>
            </w:r>
          </w:p>
        </w:tc>
        <w:tc>
          <w:tcPr>
            <w:tcW w:w="1340" w:type="dxa"/>
            <w:vAlign w:val="bottom"/>
          </w:tcPr>
          <w:p>
            <w:pPr>
              <w:jc w:val="right"/>
              <w:spacing w:after="0"/>
              <w:rPr>
                <w:sz w:val="20"/>
                <w:szCs w:val="20"/>
                <w:color w:val="auto"/>
              </w:rPr>
            </w:pPr>
            <w:r>
              <w:rPr>
                <w:rFonts w:ascii="Arial" w:cs="Arial" w:eastAsia="Arial" w:hAnsi="Arial"/>
                <w:sz w:val="16"/>
                <w:szCs w:val="16"/>
                <w:color w:val="auto"/>
              </w:rPr>
              <w:t>2,318</w:t>
            </w:r>
          </w:p>
        </w:tc>
        <w:tc>
          <w:tcPr>
            <w:tcW w:w="152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6"/>
                <w:szCs w:val="16"/>
                <w:color w:val="auto"/>
              </w:rPr>
              <w:t>August 20, 2025</w:t>
            </w:r>
          </w:p>
        </w:tc>
        <w:tc>
          <w:tcPr>
            <w:tcW w:w="1880" w:type="dxa"/>
            <w:vAlign w:val="bottom"/>
          </w:tcPr>
          <w:p>
            <w:pPr>
              <w:jc w:val="right"/>
              <w:ind w:right="199"/>
              <w:spacing w:after="0"/>
              <w:rPr>
                <w:sz w:val="20"/>
                <w:szCs w:val="20"/>
                <w:color w:val="auto"/>
              </w:rPr>
            </w:pPr>
            <w:r>
              <w:rPr>
                <w:rFonts w:ascii="Arial" w:cs="Arial" w:eastAsia="Arial" w:hAnsi="Arial"/>
                <w:sz w:val="16"/>
                <w:szCs w:val="16"/>
                <w:color w:val="auto"/>
              </w:rPr>
              <w:t>1,475,125</w:t>
            </w:r>
          </w:p>
        </w:tc>
        <w:tc>
          <w:tcPr>
            <w:tcW w:w="1220" w:type="dxa"/>
            <w:vAlign w:val="bottom"/>
          </w:tcPr>
          <w:p>
            <w:pPr>
              <w:jc w:val="right"/>
              <w:spacing w:after="0"/>
              <w:rPr>
                <w:sz w:val="20"/>
                <w:szCs w:val="20"/>
                <w:color w:val="auto"/>
              </w:rPr>
            </w:pPr>
            <w:r>
              <w:rPr>
                <w:rFonts w:ascii="Arial" w:cs="Arial" w:eastAsia="Arial" w:hAnsi="Arial"/>
                <w:sz w:val="16"/>
                <w:szCs w:val="16"/>
                <w:color w:val="auto"/>
              </w:rPr>
              <w:t>1,475,125</w:t>
            </w:r>
          </w:p>
        </w:tc>
        <w:tc>
          <w:tcPr>
            <w:tcW w:w="1520" w:type="dxa"/>
            <w:vAlign w:val="bottom"/>
          </w:tcPr>
          <w:p>
            <w:pPr>
              <w:jc w:val="right"/>
              <w:spacing w:after="0"/>
              <w:rPr>
                <w:sz w:val="20"/>
                <w:szCs w:val="20"/>
                <w:color w:val="auto"/>
              </w:rPr>
            </w:pPr>
            <w:r>
              <w:rPr>
                <w:rFonts w:ascii="Arial" w:cs="Arial" w:eastAsia="Arial" w:hAnsi="Arial"/>
                <w:sz w:val="16"/>
                <w:szCs w:val="16"/>
                <w:color w:val="auto"/>
              </w:rPr>
              <w:t>0.64</w:t>
            </w:r>
          </w:p>
        </w:tc>
        <w:tc>
          <w:tcPr>
            <w:tcW w:w="1340" w:type="dxa"/>
            <w:vAlign w:val="bottom"/>
          </w:tcPr>
          <w:p>
            <w:pPr>
              <w:jc w:val="right"/>
              <w:spacing w:after="0"/>
              <w:rPr>
                <w:sz w:val="20"/>
                <w:szCs w:val="20"/>
                <w:color w:val="auto"/>
              </w:rPr>
            </w:pPr>
            <w:r>
              <w:rPr>
                <w:rFonts w:ascii="Arial" w:cs="Arial" w:eastAsia="Arial" w:hAnsi="Arial"/>
                <w:sz w:val="16"/>
                <w:szCs w:val="16"/>
                <w:color w:val="auto"/>
              </w:rPr>
              <w:t>680</w:t>
            </w:r>
          </w:p>
        </w:tc>
        <w:tc>
          <w:tcPr>
            <w:tcW w:w="152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8"/>
        </w:trPr>
        <w:tc>
          <w:tcPr>
            <w:tcW w:w="3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November 15, 2025</w:t>
            </w:r>
          </w:p>
        </w:tc>
        <w:tc>
          <w:tcPr>
            <w:tcW w:w="1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1,150,000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1,150,000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0"/>
        </w:trPr>
        <w:tc>
          <w:tcPr>
            <w:tcW w:w="34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24,384,198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24,184,198</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14 of 25</w:t>
      </w:r>
    </w:p>
    <w:p>
      <w:pPr>
        <w:sectPr>
          <w:pgSz w:w="11900" w:h="16838" w:orient="portrait"/>
          <w:cols w:equalWidth="0" w:num="1">
            <w:col w:w="11200"/>
          </w:cols>
          <w:pgMar w:left="380" w:top="171" w:right="31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27305</wp:posOffset>
            </wp:positionV>
            <wp:extent cx="71456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23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Warrants</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Warrants</w:t>
            </w:r>
          </w:p>
        </w:tc>
        <w:tc>
          <w:tcPr>
            <w:tcW w:w="1520" w:type="dxa"/>
            <w:vAlign w:val="bottom"/>
            <w:vMerge w:val="continue"/>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Estimated grant</w:t>
            </w:r>
          </w:p>
        </w:tc>
        <w:tc>
          <w:tcPr>
            <w:tcW w:w="15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of remaining</w:t>
            </w:r>
          </w:p>
        </w:tc>
        <w:tc>
          <w:tcPr>
            <w:tcW w:w="0" w:type="dxa"/>
            <w:vAlign w:val="bottom"/>
          </w:tcPr>
          <w:p>
            <w:pPr>
              <w:spacing w:after="0"/>
              <w:rPr>
                <w:sz w:val="1"/>
                <w:szCs w:val="1"/>
                <w:color w:val="auto"/>
              </w:rPr>
            </w:pPr>
          </w:p>
        </w:tc>
      </w:tr>
      <w:tr>
        <w:trPr>
          <w:trHeight w:val="159"/>
        </w:trPr>
        <w:tc>
          <w:tcPr>
            <w:tcW w:w="30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Date of Expiry</w:t>
            </w:r>
          </w:p>
        </w:tc>
        <w:tc>
          <w:tcPr>
            <w:tcW w:w="23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520" w:type="dxa"/>
            <w:vAlign w:val="bottom"/>
          </w:tcPr>
          <w:p>
            <w:pPr>
              <w:jc w:val="right"/>
              <w:ind w:right="39"/>
              <w:spacing w:after="0" w:line="159" w:lineRule="exact"/>
              <w:rPr>
                <w:sz w:val="20"/>
                <w:szCs w:val="20"/>
                <w:color w:val="auto"/>
              </w:rPr>
            </w:pPr>
            <w:r>
              <w:rPr>
                <w:rFonts w:ascii="Arial" w:cs="Arial" w:eastAsia="Arial" w:hAnsi="Arial"/>
                <w:sz w:val="16"/>
                <w:szCs w:val="16"/>
                <w:b w:val="1"/>
                <w:bCs w:val="1"/>
                <w:color w:val="auto"/>
              </w:rPr>
              <w:t>average of</w:t>
            </w:r>
          </w:p>
        </w:tc>
        <w:tc>
          <w:tcPr>
            <w:tcW w:w="1340" w:type="dxa"/>
            <w:vAlign w:val="bottom"/>
            <w:vMerge w:val="continue"/>
          </w:tcPr>
          <w:p>
            <w:pPr>
              <w:spacing w:after="0"/>
              <w:rPr>
                <w:sz w:val="13"/>
                <w:szCs w:val="13"/>
                <w:color w:val="auto"/>
              </w:rPr>
            </w:pP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199"/>
        </w:trPr>
        <w:tc>
          <w:tcPr>
            <w:tcW w:w="3040" w:type="dxa"/>
            <w:vAlign w:val="bottom"/>
            <w:vMerge w:val="continue"/>
          </w:tcPr>
          <w:p>
            <w:pPr>
              <w:spacing w:after="0"/>
              <w:rPr>
                <w:sz w:val="17"/>
                <w:szCs w:val="17"/>
                <w:color w:val="auto"/>
              </w:rPr>
            </w:pPr>
          </w:p>
        </w:tc>
        <w:tc>
          <w:tcPr>
            <w:tcW w:w="2320" w:type="dxa"/>
            <w:vAlign w:val="bottom"/>
          </w:tcPr>
          <w:p>
            <w:pPr>
              <w:jc w:val="right"/>
              <w:ind w:right="179"/>
              <w:spacing w:after="0"/>
              <w:rPr>
                <w:sz w:val="20"/>
                <w:szCs w:val="20"/>
                <w:color w:val="auto"/>
              </w:rPr>
            </w:pPr>
            <w:r>
              <w:rPr>
                <w:rFonts w:ascii="Arial" w:cs="Arial" w:eastAsia="Arial" w:hAnsi="Arial"/>
                <w:sz w:val="16"/>
                <w:szCs w:val="16"/>
                <w:b w:val="1"/>
                <w:bCs w:val="1"/>
                <w:color w:val="auto"/>
              </w:rPr>
              <w:t>outstanding</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exercisable</w:t>
            </w: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exercisable price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date fair value</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contractual life</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529"/>
        </w:trPr>
        <w:tc>
          <w:tcPr>
            <w:tcW w:w="30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Unit Purchase Warrants</w:t>
            </w:r>
          </w:p>
        </w:tc>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February 4, 2024</w:t>
            </w:r>
          </w:p>
        </w:tc>
        <w:tc>
          <w:tcPr>
            <w:tcW w:w="2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868,740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868,740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0"/>
        </w:trPr>
        <w:tc>
          <w:tcPr>
            <w:tcW w:w="30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868,740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868,740</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ind w:left="240" w:right="20"/>
        <w:spacing w:after="0" w:line="269" w:lineRule="auto"/>
        <w:rPr>
          <w:sz w:val="20"/>
          <w:szCs w:val="20"/>
          <w:color w:val="auto"/>
        </w:rPr>
      </w:pPr>
      <w:r>
        <w:rPr>
          <w:rFonts w:ascii="Arial" w:cs="Arial" w:eastAsia="Arial" w:hAnsi="Arial"/>
          <w:sz w:val="16"/>
          <w:szCs w:val="16"/>
          <w:color w:val="auto"/>
        </w:rPr>
        <w:t>The Company recognized share-based payments compensation related to the issuance of Common Share purchase warrants for the three and six month periods ended September 30, 2022 of $2 and $6 respectively.</w:t>
      </w:r>
    </w:p>
    <w:p>
      <w:pPr>
        <w:spacing w:after="0" w:line="130" w:lineRule="exact"/>
        <w:rPr>
          <w:sz w:val="20"/>
          <w:szCs w:val="20"/>
          <w:color w:val="auto"/>
        </w:rPr>
      </w:pPr>
    </w:p>
    <w:p>
      <w:pPr>
        <w:ind w:left="540" w:hanging="309"/>
        <w:spacing w:after="0"/>
        <w:tabs>
          <w:tab w:leader="none" w:pos="54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options</w:t>
      </w:r>
    </w:p>
    <w:p>
      <w:pPr>
        <w:spacing w:after="0" w:line="190" w:lineRule="exact"/>
        <w:rPr>
          <w:sz w:val="20"/>
          <w:szCs w:val="20"/>
          <w:color w:val="auto"/>
        </w:rPr>
      </w:pPr>
    </w:p>
    <w:p>
      <w:pPr>
        <w:jc w:val="both"/>
        <w:ind w:left="240" w:right="20"/>
        <w:spacing w:after="0" w:line="258" w:lineRule="auto"/>
        <w:rPr>
          <w:sz w:val="20"/>
          <w:szCs w:val="20"/>
          <w:color w:val="auto"/>
        </w:rPr>
      </w:pPr>
      <w:r>
        <w:rPr>
          <w:rFonts w:ascii="Arial" w:cs="Arial" w:eastAsia="Arial" w:hAnsi="Arial"/>
          <w:sz w:val="16"/>
          <w:szCs w:val="16"/>
          <w:color w:val="auto"/>
        </w:rPr>
        <w:t>On November 5, 2020, Cybin adopted an equity incentive plan. Under the plan, the board of directors may grant share-based awards to acquire such number of Common Shares as is equal to up to 20% of the total number of issued and outstanding Common Shares at the time such awards are granted. Options granted under the plan vest over a period of time at the discretion of the board of directors. On August 16, 2021, the board of directors and the shareholders approved an amendment to the equity incentive plan to modify certain provisions for awards granted to residents of the United States, to increase the fixed number of Incentive Stock Options (as defined in the plan) and certain other housekeeping amendments.</w:t>
      </w:r>
    </w:p>
    <w:p>
      <w:pPr>
        <w:spacing w:after="0" w:line="14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820" w:type="dxa"/>
            <w:vAlign w:val="bottom"/>
          </w:tcPr>
          <w:p>
            <w:pPr>
              <w:spacing w:after="0"/>
              <w:rPr>
                <w:sz w:val="20"/>
                <w:szCs w:val="20"/>
                <w:color w:val="auto"/>
              </w:rPr>
            </w:pPr>
            <w:r>
              <w:rPr>
                <w:rFonts w:ascii="Arial" w:cs="Arial" w:eastAsia="Arial" w:hAnsi="Arial"/>
                <w:sz w:val="16"/>
                <w:szCs w:val="16"/>
                <w:color w:val="auto"/>
              </w:rPr>
              <w:t>The changes in options for the six-month period ended September 30, 2022 are as follows:</w:t>
            </w:r>
          </w:p>
        </w:tc>
        <w:tc>
          <w:tcPr>
            <w:tcW w:w="2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820" w:type="dxa"/>
            <w:vAlign w:val="bottom"/>
          </w:tcPr>
          <w:p>
            <w:pPr>
              <w:spacing w:after="0"/>
              <w:rPr>
                <w:sz w:val="24"/>
                <w:szCs w:val="24"/>
                <w:color w:val="auto"/>
              </w:rPr>
            </w:pPr>
          </w:p>
        </w:tc>
        <w:tc>
          <w:tcPr>
            <w:tcW w:w="20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Number of Options</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00"/>
        </w:trPr>
        <w:tc>
          <w:tcPr>
            <w:tcW w:w="68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6820" w:type="dxa"/>
            <w:vAlign w:val="bottom"/>
          </w:tcPr>
          <w:p>
            <w:pPr>
              <w:ind w:left="60"/>
              <w:spacing w:after="0"/>
              <w:rPr>
                <w:sz w:val="20"/>
                <w:szCs w:val="20"/>
                <w:color w:val="auto"/>
              </w:rPr>
            </w:pPr>
            <w:r>
              <w:rPr>
                <w:rFonts w:ascii="Arial" w:cs="Arial" w:eastAsia="Arial" w:hAnsi="Arial"/>
                <w:sz w:val="16"/>
                <w:szCs w:val="16"/>
                <w:color w:val="auto"/>
              </w:rPr>
              <w:t>As at March 31, 2022</w:t>
            </w: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28,885,002</w:t>
            </w:r>
          </w:p>
        </w:tc>
        <w:tc>
          <w:tcPr>
            <w:tcW w:w="170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8"/>
        </w:trPr>
        <w:tc>
          <w:tcPr>
            <w:tcW w:w="6820" w:type="dxa"/>
            <w:vAlign w:val="bottom"/>
          </w:tcPr>
          <w:p>
            <w:pPr>
              <w:ind w:left="60"/>
              <w:spacing w:after="0"/>
              <w:rPr>
                <w:sz w:val="20"/>
                <w:szCs w:val="20"/>
                <w:color w:val="auto"/>
              </w:rPr>
            </w:pPr>
            <w:r>
              <w:rPr>
                <w:rFonts w:ascii="Arial" w:cs="Arial" w:eastAsia="Arial" w:hAnsi="Arial"/>
                <w:sz w:val="16"/>
                <w:szCs w:val="16"/>
                <w:color w:val="auto"/>
              </w:rPr>
              <w:t>Granted</w:t>
            </w: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1,900,000</w:t>
            </w:r>
          </w:p>
        </w:tc>
        <w:tc>
          <w:tcPr>
            <w:tcW w:w="1700" w:type="dxa"/>
            <w:vAlign w:val="bottom"/>
          </w:tcPr>
          <w:p>
            <w:pPr>
              <w:jc w:val="right"/>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08"/>
        </w:trPr>
        <w:tc>
          <w:tcPr>
            <w:tcW w:w="68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Forfeited</w:t>
            </w:r>
          </w:p>
        </w:tc>
        <w:tc>
          <w:tcPr>
            <w:tcW w:w="2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(365,250)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0"/>
        </w:trPr>
        <w:tc>
          <w:tcPr>
            <w:tcW w:w="6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Outstanding as at September 30, 2022</w:t>
            </w:r>
          </w:p>
        </w:tc>
        <w:tc>
          <w:tcPr>
            <w:tcW w:w="2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30,014,752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w:t>
            </w:r>
          </w:p>
        </w:tc>
        <w:tc>
          <w:tcPr>
            <w:tcW w:w="0" w:type="dxa"/>
            <w:vAlign w:val="bottom"/>
          </w:tcPr>
          <w:p>
            <w:pPr>
              <w:spacing w:after="0"/>
              <w:rPr>
                <w:sz w:val="1"/>
                <w:szCs w:val="1"/>
                <w:color w:val="auto"/>
              </w:rPr>
            </w:pPr>
          </w:p>
        </w:tc>
      </w:tr>
      <w:tr>
        <w:trPr>
          <w:trHeight w:val="200"/>
        </w:trPr>
        <w:tc>
          <w:tcPr>
            <w:tcW w:w="6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Exercisable as at September 30, 2022</w:t>
            </w:r>
          </w:p>
        </w:tc>
        <w:tc>
          <w:tcPr>
            <w:tcW w:w="2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25,607,462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During the six-month period ended September 30, 2022, the Company completed the following option issuances:</w:t>
      </w:r>
    </w:p>
    <w:p>
      <w:pPr>
        <w:spacing w:after="0" w:line="251"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On June 30, 2022, the Company granted options to purchase up to: 65,000 Common Shares to employees, with an exercise price of $1.00 per Common Share and vesting over two years. The options will expire on June 30, 2027. The aggregate estimated grant date fair value was determined to be $32, calculated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15 of 25</w:t>
      </w:r>
    </w:p>
    <w:p>
      <w:pPr>
        <w:sectPr>
          <w:pgSz w:w="11900" w:h="16838" w:orient="portrait"/>
          <w:cols w:equalWidth="0" w:num="1">
            <w:col w:w="11200"/>
          </w:cols>
          <w:pgMar w:left="380" w:top="171" w:right="31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27305</wp:posOffset>
            </wp:positionV>
            <wp:extent cx="71456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0.72</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bl>
    <w:p>
      <w:pPr>
        <w:spacing w:after="0" w:line="305"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June 30, 2022, the Company granted options to purchase up to 500,000 Common Shares to consultants, with an exercise price of $0.90 per Common Share. The options vested immediately and will expire on June 30, 2025. The estimated grant date fair value was determined to be $183, calculated using the Black-Scholes option pricing model with the following assumptions:</w:t>
      </w:r>
    </w:p>
    <w:p>
      <w:pPr>
        <w:spacing w:after="0" w:line="179"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0.72</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August 15, 2022, the Company granted options to purchase up to 800,000 Common Shares to consultants, with an exercise price of $1.00 per Common Share and vesting over two years. The options will expire on August 15, 2025. The estimated grant date fair value was determined to be $429, calculated using the Black-Scholes option pricing model with the following assumptions:</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0.97</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bl>
    <w:p>
      <w:pPr>
        <w:spacing w:after="0" w:line="244"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On August 15, 2022, the Company granted options to purchase up to 20,000 Common Shares to an employee, with an exercise price of $1.00 per Common Share and vesting over two years. The options will expire on August 15, 2027. The estimated grant date fair value was determined to be $14, calculated using the Black-Scholes option pricing model with the following assumptions:</w:t>
      </w:r>
    </w:p>
    <w:p>
      <w:pPr>
        <w:spacing w:after="0" w:line="179"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0.97</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16 of 25</w:t>
      </w:r>
    </w:p>
    <w:p>
      <w:pPr>
        <w:sectPr>
          <w:pgSz w:w="11900" w:h="16838" w:orient="portrait"/>
          <w:cols w:equalWidth="0" w:num="1">
            <w:col w:w="11180"/>
          </w:cols>
          <w:pgMar w:left="380" w:top="171"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27305</wp:posOffset>
            </wp:positionV>
            <wp:extent cx="71456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On September 30, 2022, the Company granted options to purchase up to 270,000 Common Shares to consultants, with an exercise price of $0.75 per Common Share and vesting over two years. The options will expire on September 30, 2025. The estimated grant date fair value was determined to be $102, calculated using the Black-Scholes option pricing model with the following assumptions:</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54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8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8"/>
        </w:trPr>
        <w:tc>
          <w:tcPr>
            <w:tcW w:w="654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0.67</w:t>
            </w:r>
          </w:p>
        </w:tc>
      </w:tr>
      <w:tr>
        <w:trPr>
          <w:trHeight w:val="208"/>
        </w:trPr>
        <w:tc>
          <w:tcPr>
            <w:tcW w:w="6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28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r>
    </w:tbl>
    <w:p>
      <w:pPr>
        <w:spacing w:after="0" w:line="244"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6"/>
          <w:szCs w:val="16"/>
          <w:color w:val="auto"/>
        </w:rPr>
        <w:t>On September 30, 2022, the Company granted options to purchase up to 245,000 Common Shares to employees, with an exercise price of $1.00 per Common Share and vesting over two years. The options will expire on September 30, 2027. The estimated grant date fair value was determined to be $98, calculated using the Black-Scholes option pricing model with the following assumptions:</w:t>
      </w:r>
    </w:p>
    <w:p>
      <w:pPr>
        <w:spacing w:after="0" w:line="179"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228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18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3.32%</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800" w:type="dxa"/>
            <w:vAlign w:val="bottom"/>
            <w:gridSpan w:val="3"/>
          </w:tcPr>
          <w:p>
            <w:pPr>
              <w:ind w:left="60"/>
              <w:spacing w:after="0"/>
              <w:rPr>
                <w:sz w:val="20"/>
                <w:szCs w:val="20"/>
                <w:color w:val="auto"/>
              </w:rPr>
            </w:pPr>
            <w:r>
              <w:rPr>
                <w:rFonts w:ascii="Arial" w:cs="Arial" w:eastAsia="Arial" w:hAnsi="Arial"/>
                <w:sz w:val="16"/>
                <w:szCs w:val="16"/>
                <w:color w:val="auto"/>
              </w:rPr>
              <w:t>Expected annual volatility, based on comparable companies</w:t>
            </w: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8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1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8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1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8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1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0.67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Exercise price</w:t>
            </w:r>
          </w:p>
        </w:tc>
        <w:tc>
          <w:tcPr>
            <w:tcW w:w="18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80" w:type="dxa"/>
            <w:vAlign w:val="bottom"/>
            <w:gridSpan w:val="4"/>
          </w:tcPr>
          <w:p>
            <w:pPr>
              <w:spacing w:after="0"/>
              <w:rPr>
                <w:sz w:val="20"/>
                <w:szCs w:val="20"/>
                <w:color w:val="auto"/>
              </w:rPr>
            </w:pPr>
            <w:r>
              <w:rPr>
                <w:rFonts w:ascii="Arial" w:cs="Arial" w:eastAsia="Arial" w:hAnsi="Arial"/>
                <w:sz w:val="16"/>
                <w:szCs w:val="16"/>
                <w:color w:val="auto"/>
              </w:rPr>
              <w:t>The following summarizes information about stock options outstanding on September 30, 2022:</w:t>
            </w: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options</w:t>
            </w:r>
          </w:p>
        </w:tc>
        <w:tc>
          <w:tcPr>
            <w:tcW w:w="17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Number of options</w:t>
            </w:r>
          </w:p>
        </w:tc>
        <w:tc>
          <w:tcPr>
            <w:tcW w:w="16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Weighted average</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Recognized</w:t>
            </w:r>
          </w:p>
        </w:tc>
        <w:tc>
          <w:tcPr>
            <w:tcW w:w="0" w:type="dxa"/>
            <w:vAlign w:val="bottom"/>
          </w:tcPr>
          <w:p>
            <w:pPr>
              <w:spacing w:after="0"/>
              <w:rPr>
                <w:sz w:val="1"/>
                <w:szCs w:val="1"/>
                <w:color w:val="auto"/>
              </w:rPr>
            </w:pPr>
          </w:p>
        </w:tc>
      </w:tr>
      <w:tr>
        <w:trPr>
          <w:trHeight w:val="167"/>
        </w:trPr>
        <w:tc>
          <w:tcPr>
            <w:tcW w:w="2280" w:type="dxa"/>
            <w:vAlign w:val="bottom"/>
          </w:tcPr>
          <w:p>
            <w:pPr>
              <w:spacing w:after="0"/>
              <w:rPr>
                <w:sz w:val="14"/>
                <w:szCs w:val="14"/>
                <w:color w:val="auto"/>
              </w:rPr>
            </w:pPr>
          </w:p>
        </w:tc>
        <w:tc>
          <w:tcPr>
            <w:tcW w:w="18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Exercise Price</w:t>
            </w:r>
          </w:p>
        </w:tc>
        <w:tc>
          <w:tcPr>
            <w:tcW w:w="172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720" w:type="dxa"/>
            <w:vAlign w:val="bottom"/>
            <w:gridSpan w:val="2"/>
          </w:tcPr>
          <w:p>
            <w:pPr>
              <w:jc w:val="right"/>
              <w:ind w:right="80"/>
              <w:spacing w:after="0" w:line="168" w:lineRule="exact"/>
              <w:rPr>
                <w:sz w:val="20"/>
                <w:szCs w:val="20"/>
                <w:color w:val="auto"/>
              </w:rPr>
            </w:pPr>
            <w:r>
              <w:rPr>
                <w:rFonts w:ascii="Arial" w:cs="Arial" w:eastAsia="Arial" w:hAnsi="Arial"/>
                <w:sz w:val="16"/>
                <w:szCs w:val="16"/>
                <w:b w:val="1"/>
                <w:bCs w:val="1"/>
                <w:color w:val="auto"/>
              </w:rPr>
              <w:t>estimated grant date</w:t>
            </w: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outstanding</w:t>
            </w: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exercisable</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remaining life</w:t>
            </w:r>
          </w:p>
        </w:tc>
        <w:tc>
          <w:tcPr>
            <w:tcW w:w="1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0"/>
        </w:trPr>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Expiry date</w:t>
            </w:r>
          </w:p>
        </w:tc>
        <w:tc>
          <w:tcPr>
            <w:tcW w:w="1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Years</w:t>
            </w:r>
          </w:p>
        </w:tc>
        <w:tc>
          <w:tcPr>
            <w:tcW w:w="1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199"/>
        </w:trPr>
        <w:tc>
          <w:tcPr>
            <w:tcW w:w="2280" w:type="dxa"/>
            <w:vAlign w:val="bottom"/>
          </w:tcPr>
          <w:p>
            <w:pPr>
              <w:spacing w:after="0"/>
              <w:rPr>
                <w:sz w:val="20"/>
                <w:szCs w:val="20"/>
                <w:color w:val="auto"/>
              </w:rPr>
            </w:pPr>
            <w:r>
              <w:rPr>
                <w:rFonts w:ascii="Arial" w:cs="Arial" w:eastAsia="Arial" w:hAnsi="Arial"/>
                <w:sz w:val="16"/>
                <w:szCs w:val="16"/>
                <w:color w:val="auto"/>
              </w:rPr>
              <w:t>October 11, 2022</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3.15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93,750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93,750</w:t>
            </w:r>
          </w:p>
        </w:tc>
        <w:tc>
          <w:tcPr>
            <w:tcW w:w="1660" w:type="dxa"/>
            <w:vAlign w:val="bottom"/>
          </w:tcPr>
          <w:p>
            <w:pPr>
              <w:jc w:val="right"/>
              <w:spacing w:after="0"/>
              <w:rPr>
                <w:sz w:val="20"/>
                <w:szCs w:val="20"/>
                <w:color w:val="auto"/>
              </w:rPr>
            </w:pPr>
            <w:r>
              <w:rPr>
                <w:rFonts w:ascii="Arial" w:cs="Arial" w:eastAsia="Arial" w:hAnsi="Arial"/>
                <w:sz w:val="16"/>
                <w:szCs w:val="16"/>
                <w:color w:val="auto"/>
              </w:rPr>
              <w:t>0.03</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November 27, 2022</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0.91</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200,000</w:t>
            </w:r>
          </w:p>
        </w:tc>
        <w:tc>
          <w:tcPr>
            <w:tcW w:w="1660" w:type="dxa"/>
            <w:vAlign w:val="bottom"/>
          </w:tcPr>
          <w:p>
            <w:pPr>
              <w:jc w:val="right"/>
              <w:spacing w:after="0"/>
              <w:rPr>
                <w:sz w:val="20"/>
                <w:szCs w:val="20"/>
                <w:color w:val="auto"/>
              </w:rPr>
            </w:pPr>
            <w:r>
              <w:rPr>
                <w:rFonts w:ascii="Arial" w:cs="Arial" w:eastAsia="Arial" w:hAnsi="Arial"/>
                <w:sz w:val="16"/>
                <w:szCs w:val="16"/>
                <w:color w:val="auto"/>
              </w:rPr>
              <w:t>0.16</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December 11, 2022</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0.67</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59,952</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59,952</w:t>
            </w:r>
          </w:p>
        </w:tc>
        <w:tc>
          <w:tcPr>
            <w:tcW w:w="1660" w:type="dxa"/>
            <w:vAlign w:val="bottom"/>
          </w:tcPr>
          <w:p>
            <w:pPr>
              <w:jc w:val="right"/>
              <w:spacing w:after="0"/>
              <w:rPr>
                <w:sz w:val="20"/>
                <w:szCs w:val="20"/>
                <w:color w:val="auto"/>
              </w:rPr>
            </w:pPr>
            <w:r>
              <w:rPr>
                <w:rFonts w:ascii="Arial" w:cs="Arial" w:eastAsia="Arial" w:hAnsi="Arial"/>
                <w:sz w:val="16"/>
                <w:szCs w:val="16"/>
                <w:color w:val="auto"/>
              </w:rPr>
              <w:t>0.20</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December 31, 2022</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2.78</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700,000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700,000</w:t>
            </w:r>
          </w:p>
        </w:tc>
        <w:tc>
          <w:tcPr>
            <w:tcW w:w="1660" w:type="dxa"/>
            <w:vAlign w:val="bottom"/>
          </w:tcPr>
          <w:p>
            <w:pPr>
              <w:jc w:val="right"/>
              <w:spacing w:after="0"/>
              <w:rPr>
                <w:sz w:val="20"/>
                <w:szCs w:val="20"/>
                <w:color w:val="auto"/>
              </w:rPr>
            </w:pPr>
            <w:r>
              <w:rPr>
                <w:rFonts w:ascii="Arial" w:cs="Arial" w:eastAsia="Arial" w:hAnsi="Arial"/>
                <w:sz w:val="16"/>
                <w:szCs w:val="16"/>
                <w:color w:val="auto"/>
              </w:rPr>
              <w:t>0.25</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June 30, 2023</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2.78</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20,000</w:t>
            </w:r>
          </w:p>
        </w:tc>
        <w:tc>
          <w:tcPr>
            <w:tcW w:w="1660" w:type="dxa"/>
            <w:vAlign w:val="bottom"/>
          </w:tcPr>
          <w:p>
            <w:pPr>
              <w:jc w:val="right"/>
              <w:spacing w:after="0"/>
              <w:rPr>
                <w:sz w:val="20"/>
                <w:szCs w:val="20"/>
                <w:color w:val="auto"/>
              </w:rPr>
            </w:pPr>
            <w:r>
              <w:rPr>
                <w:rFonts w:ascii="Arial" w:cs="Arial" w:eastAsia="Arial" w:hAnsi="Arial"/>
                <w:sz w:val="16"/>
                <w:szCs w:val="16"/>
                <w:color w:val="auto"/>
              </w:rPr>
              <w:t>0.75</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November 5, 2023</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2.90</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156,250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125,000</w:t>
            </w:r>
          </w:p>
        </w:tc>
        <w:tc>
          <w:tcPr>
            <w:tcW w:w="1660" w:type="dxa"/>
            <w:vAlign w:val="bottom"/>
          </w:tcPr>
          <w:p>
            <w:pPr>
              <w:jc w:val="right"/>
              <w:spacing w:after="0"/>
              <w:rPr>
                <w:sz w:val="20"/>
                <w:szCs w:val="20"/>
                <w:color w:val="auto"/>
              </w:rPr>
            </w:pPr>
            <w:r>
              <w:rPr>
                <w:rFonts w:ascii="Arial" w:cs="Arial" w:eastAsia="Arial" w:hAnsi="Arial"/>
                <w:sz w:val="16"/>
                <w:szCs w:val="16"/>
                <w:color w:val="auto"/>
              </w:rPr>
              <w:t>1.10</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June 15, 2025</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0.25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2,350,000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2,350,000</w:t>
            </w:r>
          </w:p>
        </w:tc>
        <w:tc>
          <w:tcPr>
            <w:tcW w:w="1660" w:type="dxa"/>
            <w:vAlign w:val="bottom"/>
          </w:tcPr>
          <w:p>
            <w:pPr>
              <w:jc w:val="right"/>
              <w:spacing w:after="0"/>
              <w:rPr>
                <w:sz w:val="20"/>
                <w:szCs w:val="20"/>
                <w:color w:val="auto"/>
              </w:rPr>
            </w:pPr>
            <w:r>
              <w:rPr>
                <w:rFonts w:ascii="Arial" w:cs="Arial" w:eastAsia="Arial" w:hAnsi="Arial"/>
                <w:sz w:val="16"/>
                <w:szCs w:val="16"/>
                <w:color w:val="auto"/>
              </w:rPr>
              <w:t>2.71</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June 30, 2025</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0.90</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500,000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500,000</w:t>
            </w:r>
          </w:p>
        </w:tc>
        <w:tc>
          <w:tcPr>
            <w:tcW w:w="1660" w:type="dxa"/>
            <w:vAlign w:val="bottom"/>
          </w:tcPr>
          <w:p>
            <w:pPr>
              <w:jc w:val="right"/>
              <w:spacing w:after="0"/>
              <w:rPr>
                <w:sz w:val="20"/>
                <w:szCs w:val="20"/>
                <w:color w:val="auto"/>
              </w:rPr>
            </w:pPr>
            <w:r>
              <w:rPr>
                <w:rFonts w:ascii="Arial" w:cs="Arial" w:eastAsia="Arial" w:hAnsi="Arial"/>
                <w:sz w:val="16"/>
                <w:szCs w:val="16"/>
                <w:color w:val="auto"/>
              </w:rPr>
              <w:t>2.75</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August 14, 2025</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800,000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200,000</w:t>
            </w:r>
          </w:p>
        </w:tc>
        <w:tc>
          <w:tcPr>
            <w:tcW w:w="1660" w:type="dxa"/>
            <w:vAlign w:val="bottom"/>
          </w:tcPr>
          <w:p>
            <w:pPr>
              <w:jc w:val="right"/>
              <w:spacing w:after="0"/>
              <w:rPr>
                <w:sz w:val="20"/>
                <w:szCs w:val="20"/>
                <w:color w:val="auto"/>
              </w:rPr>
            </w:pPr>
            <w:r>
              <w:rPr>
                <w:rFonts w:ascii="Arial" w:cs="Arial" w:eastAsia="Arial" w:hAnsi="Arial"/>
                <w:sz w:val="16"/>
                <w:szCs w:val="16"/>
                <w:color w:val="auto"/>
              </w:rPr>
              <w:t>2.87</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September 30, 2025</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0.75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270,000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33,750</w:t>
            </w:r>
          </w:p>
        </w:tc>
        <w:tc>
          <w:tcPr>
            <w:tcW w:w="1660" w:type="dxa"/>
            <w:vAlign w:val="bottom"/>
          </w:tcPr>
          <w:p>
            <w:pPr>
              <w:jc w:val="right"/>
              <w:spacing w:after="0"/>
              <w:rPr>
                <w:sz w:val="20"/>
                <w:szCs w:val="20"/>
                <w:color w:val="auto"/>
              </w:rPr>
            </w:pPr>
            <w:r>
              <w:rPr>
                <w:rFonts w:ascii="Arial" w:cs="Arial" w:eastAsia="Arial" w:hAnsi="Arial"/>
                <w:sz w:val="16"/>
                <w:szCs w:val="16"/>
                <w:color w:val="auto"/>
              </w:rPr>
              <w:t>3.00</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October 12, 2025</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0.75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3,000,000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3,000,000</w:t>
            </w:r>
          </w:p>
        </w:tc>
        <w:tc>
          <w:tcPr>
            <w:tcW w:w="1660" w:type="dxa"/>
            <w:vAlign w:val="bottom"/>
          </w:tcPr>
          <w:p>
            <w:pPr>
              <w:jc w:val="right"/>
              <w:spacing w:after="0"/>
              <w:rPr>
                <w:sz w:val="20"/>
                <w:szCs w:val="20"/>
                <w:color w:val="auto"/>
              </w:rPr>
            </w:pPr>
            <w:r>
              <w:rPr>
                <w:rFonts w:ascii="Arial" w:cs="Arial" w:eastAsia="Arial" w:hAnsi="Arial"/>
                <w:sz w:val="16"/>
                <w:szCs w:val="16"/>
                <w:color w:val="auto"/>
              </w:rPr>
              <w:t>3.04</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November 4, 2025</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0.75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6,000,000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6,000,000</w:t>
            </w:r>
          </w:p>
        </w:tc>
        <w:tc>
          <w:tcPr>
            <w:tcW w:w="1660" w:type="dxa"/>
            <w:vAlign w:val="bottom"/>
          </w:tcPr>
          <w:p>
            <w:pPr>
              <w:jc w:val="right"/>
              <w:spacing w:after="0"/>
              <w:rPr>
                <w:sz w:val="20"/>
                <w:szCs w:val="20"/>
                <w:color w:val="auto"/>
              </w:rPr>
            </w:pPr>
            <w:r>
              <w:rPr>
                <w:rFonts w:ascii="Arial" w:cs="Arial" w:eastAsia="Arial" w:hAnsi="Arial"/>
                <w:sz w:val="16"/>
                <w:szCs w:val="16"/>
                <w:color w:val="auto"/>
              </w:rPr>
              <w:t>3.10</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3,125</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November 13, 2025</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0.88</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500,000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500,000</w:t>
            </w:r>
          </w:p>
        </w:tc>
        <w:tc>
          <w:tcPr>
            <w:tcW w:w="1660" w:type="dxa"/>
            <w:vAlign w:val="bottom"/>
          </w:tcPr>
          <w:p>
            <w:pPr>
              <w:jc w:val="right"/>
              <w:spacing w:after="0"/>
              <w:rPr>
                <w:sz w:val="20"/>
                <w:szCs w:val="20"/>
                <w:color w:val="auto"/>
              </w:rPr>
            </w:pPr>
            <w:r>
              <w:rPr>
                <w:rFonts w:ascii="Arial" w:cs="Arial" w:eastAsia="Arial" w:hAnsi="Arial"/>
                <w:sz w:val="16"/>
                <w:szCs w:val="16"/>
                <w:color w:val="auto"/>
              </w:rPr>
              <w:t>3.12</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December 11, 2025</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1.48</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700,000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675,000</w:t>
            </w:r>
          </w:p>
        </w:tc>
        <w:tc>
          <w:tcPr>
            <w:tcW w:w="1660" w:type="dxa"/>
            <w:vAlign w:val="bottom"/>
          </w:tcPr>
          <w:p>
            <w:pPr>
              <w:jc w:val="right"/>
              <w:spacing w:after="0"/>
              <w:rPr>
                <w:sz w:val="20"/>
                <w:szCs w:val="20"/>
                <w:color w:val="auto"/>
              </w:rPr>
            </w:pPr>
            <w:r>
              <w:rPr>
                <w:rFonts w:ascii="Arial" w:cs="Arial" w:eastAsia="Arial" w:hAnsi="Arial"/>
                <w:sz w:val="16"/>
                <w:szCs w:val="16"/>
                <w:color w:val="auto"/>
              </w:rPr>
              <w:t>3.20</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17 of 25</w:t>
      </w:r>
    </w:p>
    <w:p>
      <w:pPr>
        <w:sectPr>
          <w:pgSz w:w="11900" w:h="16838" w:orient="portrait"/>
          <w:cols w:equalWidth="0" w:num="1">
            <w:col w:w="11200"/>
          </w:cols>
          <w:pgMar w:left="380" w:top="171" w:right="31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27305</wp:posOffset>
            </wp:positionV>
            <wp:extent cx="71456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options</w:t>
            </w:r>
          </w:p>
        </w:tc>
        <w:tc>
          <w:tcPr>
            <w:tcW w:w="17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Number of options</w:t>
            </w:r>
          </w:p>
        </w:tc>
        <w:tc>
          <w:tcPr>
            <w:tcW w:w="16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Weighted average</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Recognized</w:t>
            </w: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Exercise Price</w:t>
            </w:r>
          </w:p>
        </w:tc>
        <w:tc>
          <w:tcPr>
            <w:tcW w:w="172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7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estimated grant date</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outstanding</w:t>
            </w: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exercisable</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remaining life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99"/>
        </w:trPr>
        <w:tc>
          <w:tcPr>
            <w:tcW w:w="2140" w:type="dxa"/>
            <w:vAlign w:val="bottom"/>
          </w:tcPr>
          <w:p>
            <w:pPr>
              <w:spacing w:after="0"/>
              <w:rPr>
                <w:sz w:val="20"/>
                <w:szCs w:val="20"/>
                <w:color w:val="auto"/>
              </w:rPr>
            </w:pPr>
            <w:r>
              <w:rPr>
                <w:rFonts w:ascii="Arial" w:cs="Arial" w:eastAsia="Arial" w:hAnsi="Arial"/>
                <w:sz w:val="16"/>
                <w:szCs w:val="16"/>
                <w:color w:val="auto"/>
              </w:rPr>
              <w:t>December 14, 2025</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1.74</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2,264,100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2,261,599</w:t>
            </w:r>
          </w:p>
        </w:tc>
        <w:tc>
          <w:tcPr>
            <w:tcW w:w="1660" w:type="dxa"/>
            <w:vAlign w:val="bottom"/>
          </w:tcPr>
          <w:p>
            <w:pPr>
              <w:jc w:val="right"/>
              <w:spacing w:after="0"/>
              <w:rPr>
                <w:sz w:val="20"/>
                <w:szCs w:val="20"/>
                <w:color w:val="auto"/>
              </w:rPr>
            </w:pPr>
            <w:r>
              <w:rPr>
                <w:rFonts w:ascii="Arial" w:cs="Arial" w:eastAsia="Arial" w:hAnsi="Arial"/>
                <w:sz w:val="16"/>
                <w:szCs w:val="16"/>
                <w:color w:val="auto"/>
              </w:rPr>
              <w:t>3.21</w:t>
            </w:r>
          </w:p>
        </w:tc>
        <w:tc>
          <w:tcPr>
            <w:tcW w:w="1720" w:type="dxa"/>
            <w:vAlign w:val="bottom"/>
          </w:tcPr>
          <w:p>
            <w:pPr>
              <w:jc w:val="right"/>
              <w:spacing w:after="0"/>
              <w:rPr>
                <w:sz w:val="20"/>
                <w:szCs w:val="20"/>
                <w:color w:val="auto"/>
              </w:rPr>
            </w:pPr>
            <w:r>
              <w:rPr>
                <w:rFonts w:ascii="Arial" w:cs="Arial" w:eastAsia="Arial" w:hAnsi="Arial"/>
                <w:sz w:val="16"/>
                <w:szCs w:val="16"/>
                <w:color w:val="auto"/>
              </w:rPr>
              <w:t>2,809</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December 28, 2025</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1.89</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760,000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760,000</w:t>
            </w:r>
          </w:p>
        </w:tc>
        <w:tc>
          <w:tcPr>
            <w:tcW w:w="1660" w:type="dxa"/>
            <w:vAlign w:val="bottom"/>
          </w:tcPr>
          <w:p>
            <w:pPr>
              <w:jc w:val="right"/>
              <w:spacing w:after="0"/>
              <w:rPr>
                <w:sz w:val="20"/>
                <w:szCs w:val="20"/>
                <w:color w:val="auto"/>
              </w:rPr>
            </w:pPr>
            <w:r>
              <w:rPr>
                <w:rFonts w:ascii="Arial" w:cs="Arial" w:eastAsia="Arial" w:hAnsi="Arial"/>
                <w:sz w:val="16"/>
                <w:szCs w:val="16"/>
                <w:color w:val="auto"/>
              </w:rPr>
              <w:t>3.25</w:t>
            </w:r>
          </w:p>
        </w:tc>
        <w:tc>
          <w:tcPr>
            <w:tcW w:w="1720" w:type="dxa"/>
            <w:vAlign w:val="bottom"/>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January 2,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1.89</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225,000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196,875</w:t>
            </w:r>
          </w:p>
        </w:tc>
        <w:tc>
          <w:tcPr>
            <w:tcW w:w="1660" w:type="dxa"/>
            <w:vAlign w:val="bottom"/>
          </w:tcPr>
          <w:p>
            <w:pPr>
              <w:jc w:val="right"/>
              <w:spacing w:after="0"/>
              <w:rPr>
                <w:sz w:val="20"/>
                <w:szCs w:val="20"/>
                <w:color w:val="auto"/>
              </w:rPr>
            </w:pPr>
            <w:r>
              <w:rPr>
                <w:rFonts w:ascii="Arial" w:cs="Arial" w:eastAsia="Arial" w:hAnsi="Arial"/>
                <w:sz w:val="16"/>
                <w:szCs w:val="16"/>
                <w:color w:val="auto"/>
              </w:rPr>
              <w:t>3.26</w:t>
            </w:r>
          </w:p>
        </w:tc>
        <w:tc>
          <w:tcPr>
            <w:tcW w:w="172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February 15,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2.03</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170,000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139,375</w:t>
            </w:r>
          </w:p>
        </w:tc>
        <w:tc>
          <w:tcPr>
            <w:tcW w:w="1660" w:type="dxa"/>
            <w:vAlign w:val="bottom"/>
          </w:tcPr>
          <w:p>
            <w:pPr>
              <w:jc w:val="right"/>
              <w:spacing w:after="0"/>
              <w:rPr>
                <w:sz w:val="20"/>
                <w:szCs w:val="20"/>
                <w:color w:val="auto"/>
              </w:rPr>
            </w:pPr>
            <w:r>
              <w:rPr>
                <w:rFonts w:ascii="Arial" w:cs="Arial" w:eastAsia="Arial" w:hAnsi="Arial"/>
                <w:sz w:val="16"/>
                <w:szCs w:val="16"/>
                <w:color w:val="auto"/>
              </w:rPr>
              <w:t>3.38</w:t>
            </w:r>
          </w:p>
        </w:tc>
        <w:tc>
          <w:tcPr>
            <w:tcW w:w="172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February 16,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2.03</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150,000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131,250</w:t>
            </w:r>
          </w:p>
        </w:tc>
        <w:tc>
          <w:tcPr>
            <w:tcW w:w="1660" w:type="dxa"/>
            <w:vAlign w:val="bottom"/>
          </w:tcPr>
          <w:p>
            <w:pPr>
              <w:jc w:val="right"/>
              <w:spacing w:after="0"/>
              <w:rPr>
                <w:sz w:val="20"/>
                <w:szCs w:val="20"/>
                <w:color w:val="auto"/>
              </w:rPr>
            </w:pPr>
            <w:r>
              <w:rPr>
                <w:rFonts w:ascii="Arial" w:cs="Arial" w:eastAsia="Arial" w:hAnsi="Arial"/>
                <w:sz w:val="16"/>
                <w:szCs w:val="16"/>
                <w:color w:val="auto"/>
              </w:rPr>
              <w:t>3.38</w:t>
            </w:r>
          </w:p>
        </w:tc>
        <w:tc>
          <w:tcPr>
            <w:tcW w:w="172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10,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1.39</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1,272,600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1,205,611</w:t>
            </w:r>
          </w:p>
        </w:tc>
        <w:tc>
          <w:tcPr>
            <w:tcW w:w="1660" w:type="dxa"/>
            <w:vAlign w:val="bottom"/>
          </w:tcPr>
          <w:p>
            <w:pPr>
              <w:jc w:val="right"/>
              <w:spacing w:after="0"/>
              <w:rPr>
                <w:sz w:val="20"/>
                <w:szCs w:val="20"/>
                <w:color w:val="auto"/>
              </w:rPr>
            </w:pPr>
            <w:r>
              <w:rPr>
                <w:rFonts w:ascii="Arial" w:cs="Arial" w:eastAsia="Arial" w:hAnsi="Arial"/>
                <w:sz w:val="16"/>
                <w:szCs w:val="16"/>
                <w:color w:val="auto"/>
              </w:rPr>
              <w:t>3.44</w:t>
            </w:r>
          </w:p>
        </w:tc>
        <w:tc>
          <w:tcPr>
            <w:tcW w:w="1720" w:type="dxa"/>
            <w:vAlign w:val="bottom"/>
          </w:tcPr>
          <w:p>
            <w:pPr>
              <w:jc w:val="right"/>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15,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1.55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262,500</w:t>
            </w:r>
          </w:p>
        </w:tc>
        <w:tc>
          <w:tcPr>
            <w:tcW w:w="1660" w:type="dxa"/>
            <w:vAlign w:val="bottom"/>
          </w:tcPr>
          <w:p>
            <w:pPr>
              <w:jc w:val="right"/>
              <w:spacing w:after="0"/>
              <w:rPr>
                <w:sz w:val="20"/>
                <w:szCs w:val="20"/>
                <w:color w:val="auto"/>
              </w:rPr>
            </w:pPr>
            <w:r>
              <w:rPr>
                <w:rFonts w:ascii="Arial" w:cs="Arial" w:eastAsia="Arial" w:hAnsi="Arial"/>
                <w:sz w:val="16"/>
                <w:szCs w:val="16"/>
                <w:color w:val="auto"/>
              </w:rPr>
              <w:t>3.46</w:t>
            </w:r>
          </w:p>
        </w:tc>
        <w:tc>
          <w:tcPr>
            <w:tcW w:w="1720" w:type="dxa"/>
            <w:vAlign w:val="bottom"/>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28,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1.36</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1,575,000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1,484,375</w:t>
            </w:r>
          </w:p>
        </w:tc>
        <w:tc>
          <w:tcPr>
            <w:tcW w:w="1660" w:type="dxa"/>
            <w:vAlign w:val="bottom"/>
          </w:tcPr>
          <w:p>
            <w:pPr>
              <w:jc w:val="right"/>
              <w:spacing w:after="0"/>
              <w:rPr>
                <w:sz w:val="20"/>
                <w:szCs w:val="20"/>
                <w:color w:val="auto"/>
              </w:rPr>
            </w:pPr>
            <w:r>
              <w:rPr>
                <w:rFonts w:ascii="Arial" w:cs="Arial" w:eastAsia="Arial" w:hAnsi="Arial"/>
                <w:sz w:val="16"/>
                <w:szCs w:val="16"/>
                <w:color w:val="auto"/>
              </w:rPr>
              <w:t>3.49</w:t>
            </w:r>
          </w:p>
        </w:tc>
        <w:tc>
          <w:tcPr>
            <w:tcW w:w="1720" w:type="dxa"/>
            <w:vAlign w:val="bottom"/>
          </w:tcPr>
          <w:p>
            <w:pPr>
              <w:jc w:val="right"/>
              <w:spacing w:after="0"/>
              <w:rPr>
                <w:sz w:val="20"/>
                <w:szCs w:val="20"/>
                <w:color w:val="auto"/>
              </w:rPr>
            </w:pPr>
            <w:r>
              <w:rPr>
                <w:rFonts w:ascii="Arial" w:cs="Arial" w:eastAsia="Arial" w:hAnsi="Arial"/>
                <w:sz w:val="16"/>
                <w:szCs w:val="16"/>
                <w:color w:val="auto"/>
              </w:rPr>
              <w:t>1,525</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29,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1.32</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37,500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37,500</w:t>
            </w:r>
          </w:p>
        </w:tc>
        <w:tc>
          <w:tcPr>
            <w:tcW w:w="1660" w:type="dxa"/>
            <w:vAlign w:val="bottom"/>
          </w:tcPr>
          <w:p>
            <w:pPr>
              <w:jc w:val="right"/>
              <w:spacing w:after="0"/>
              <w:rPr>
                <w:sz w:val="20"/>
                <w:szCs w:val="20"/>
                <w:color w:val="auto"/>
              </w:rPr>
            </w:pPr>
            <w:r>
              <w:rPr>
                <w:rFonts w:ascii="Arial" w:cs="Arial" w:eastAsia="Arial" w:hAnsi="Arial"/>
                <w:sz w:val="16"/>
                <w:szCs w:val="16"/>
                <w:color w:val="auto"/>
              </w:rPr>
              <w:t>3.50</w:t>
            </w:r>
          </w:p>
        </w:tc>
        <w:tc>
          <w:tcPr>
            <w:tcW w:w="17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31,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1.35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345,000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251,875</w:t>
            </w:r>
          </w:p>
        </w:tc>
        <w:tc>
          <w:tcPr>
            <w:tcW w:w="1660" w:type="dxa"/>
            <w:vAlign w:val="bottom"/>
          </w:tcPr>
          <w:p>
            <w:pPr>
              <w:jc w:val="right"/>
              <w:spacing w:after="0"/>
              <w:rPr>
                <w:sz w:val="20"/>
                <w:szCs w:val="20"/>
                <w:color w:val="auto"/>
              </w:rPr>
            </w:pPr>
            <w:r>
              <w:rPr>
                <w:rFonts w:ascii="Arial" w:cs="Arial" w:eastAsia="Arial" w:hAnsi="Arial"/>
                <w:sz w:val="16"/>
                <w:szCs w:val="16"/>
                <w:color w:val="auto"/>
              </w:rPr>
              <w:t>3.50</w:t>
            </w:r>
          </w:p>
        </w:tc>
        <w:tc>
          <w:tcPr>
            <w:tcW w:w="172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June 28,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2.90</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3,360,000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2,315,625</w:t>
            </w:r>
          </w:p>
        </w:tc>
        <w:tc>
          <w:tcPr>
            <w:tcW w:w="1660" w:type="dxa"/>
            <w:vAlign w:val="bottom"/>
          </w:tcPr>
          <w:p>
            <w:pPr>
              <w:jc w:val="right"/>
              <w:spacing w:after="0"/>
              <w:rPr>
                <w:sz w:val="20"/>
                <w:szCs w:val="20"/>
                <w:color w:val="auto"/>
              </w:rPr>
            </w:pPr>
            <w:r>
              <w:rPr>
                <w:rFonts w:ascii="Arial" w:cs="Arial" w:eastAsia="Arial" w:hAnsi="Arial"/>
                <w:sz w:val="16"/>
                <w:szCs w:val="16"/>
                <w:color w:val="auto"/>
              </w:rPr>
              <w:t>3.75</w:t>
            </w:r>
          </w:p>
        </w:tc>
        <w:tc>
          <w:tcPr>
            <w:tcW w:w="1720" w:type="dxa"/>
            <w:vAlign w:val="bottom"/>
          </w:tcPr>
          <w:p>
            <w:pPr>
              <w:jc w:val="right"/>
              <w:spacing w:after="0"/>
              <w:rPr>
                <w:sz w:val="20"/>
                <w:szCs w:val="20"/>
                <w:color w:val="auto"/>
              </w:rPr>
            </w:pPr>
            <w:r>
              <w:rPr>
                <w:rFonts w:ascii="Arial" w:cs="Arial" w:eastAsia="Arial" w:hAnsi="Arial"/>
                <w:sz w:val="16"/>
                <w:szCs w:val="16"/>
                <w:color w:val="auto"/>
              </w:rPr>
              <w:t>6,675</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August 16,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2.48</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215,000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134,375</w:t>
            </w:r>
          </w:p>
        </w:tc>
        <w:tc>
          <w:tcPr>
            <w:tcW w:w="1660" w:type="dxa"/>
            <w:vAlign w:val="bottom"/>
          </w:tcPr>
          <w:p>
            <w:pPr>
              <w:jc w:val="right"/>
              <w:spacing w:after="0"/>
              <w:rPr>
                <w:sz w:val="20"/>
                <w:szCs w:val="20"/>
                <w:color w:val="auto"/>
              </w:rPr>
            </w:pPr>
            <w:r>
              <w:rPr>
                <w:rFonts w:ascii="Arial" w:cs="Arial" w:eastAsia="Arial" w:hAnsi="Arial"/>
                <w:sz w:val="16"/>
                <w:szCs w:val="16"/>
                <w:color w:val="auto"/>
              </w:rPr>
              <w:t>3.88</w:t>
            </w:r>
          </w:p>
        </w:tc>
        <w:tc>
          <w:tcPr>
            <w:tcW w:w="172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August 18,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2.48</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187,500</w:t>
            </w:r>
          </w:p>
        </w:tc>
        <w:tc>
          <w:tcPr>
            <w:tcW w:w="1660" w:type="dxa"/>
            <w:vAlign w:val="bottom"/>
          </w:tcPr>
          <w:p>
            <w:pPr>
              <w:jc w:val="right"/>
              <w:spacing w:after="0"/>
              <w:rPr>
                <w:sz w:val="20"/>
                <w:szCs w:val="20"/>
                <w:color w:val="auto"/>
              </w:rPr>
            </w:pPr>
            <w:r>
              <w:rPr>
                <w:rFonts w:ascii="Arial" w:cs="Arial" w:eastAsia="Arial" w:hAnsi="Arial"/>
                <w:sz w:val="16"/>
                <w:szCs w:val="16"/>
                <w:color w:val="auto"/>
              </w:rPr>
              <w:t>3.88</w:t>
            </w:r>
          </w:p>
        </w:tc>
        <w:tc>
          <w:tcPr>
            <w:tcW w:w="1720" w:type="dxa"/>
            <w:vAlign w:val="bottom"/>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September 27,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3.15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545,000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272,500</w:t>
            </w:r>
          </w:p>
        </w:tc>
        <w:tc>
          <w:tcPr>
            <w:tcW w:w="1660" w:type="dxa"/>
            <w:vAlign w:val="bottom"/>
          </w:tcPr>
          <w:p>
            <w:pPr>
              <w:jc w:val="right"/>
              <w:spacing w:after="0"/>
              <w:rPr>
                <w:sz w:val="20"/>
                <w:szCs w:val="20"/>
                <w:color w:val="auto"/>
              </w:rPr>
            </w:pPr>
            <w:r>
              <w:rPr>
                <w:rFonts w:ascii="Arial" w:cs="Arial" w:eastAsia="Arial" w:hAnsi="Arial"/>
                <w:sz w:val="16"/>
                <w:szCs w:val="16"/>
                <w:color w:val="auto"/>
              </w:rPr>
              <w:t>3.99</w:t>
            </w:r>
          </w:p>
        </w:tc>
        <w:tc>
          <w:tcPr>
            <w:tcW w:w="1720" w:type="dxa"/>
            <w:vAlign w:val="bottom"/>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September 27,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2.87</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195,000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121,875</w:t>
            </w:r>
          </w:p>
        </w:tc>
        <w:tc>
          <w:tcPr>
            <w:tcW w:w="1660" w:type="dxa"/>
            <w:vAlign w:val="bottom"/>
          </w:tcPr>
          <w:p>
            <w:pPr>
              <w:jc w:val="right"/>
              <w:spacing w:after="0"/>
              <w:rPr>
                <w:sz w:val="20"/>
                <w:szCs w:val="20"/>
                <w:color w:val="auto"/>
              </w:rPr>
            </w:pPr>
            <w:r>
              <w:rPr>
                <w:rFonts w:ascii="Arial" w:cs="Arial" w:eastAsia="Arial" w:hAnsi="Arial"/>
                <w:sz w:val="16"/>
                <w:szCs w:val="16"/>
                <w:color w:val="auto"/>
              </w:rPr>
              <w:t>3.99</w:t>
            </w:r>
          </w:p>
        </w:tc>
        <w:tc>
          <w:tcPr>
            <w:tcW w:w="172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September 30,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3.15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100,000</w:t>
            </w:r>
          </w:p>
        </w:tc>
        <w:tc>
          <w:tcPr>
            <w:tcW w:w="1660" w:type="dxa"/>
            <w:vAlign w:val="bottom"/>
          </w:tcPr>
          <w:p>
            <w:pPr>
              <w:jc w:val="right"/>
              <w:spacing w:after="0"/>
              <w:rPr>
                <w:sz w:val="20"/>
                <w:szCs w:val="20"/>
                <w:color w:val="auto"/>
              </w:rPr>
            </w:pPr>
            <w:r>
              <w:rPr>
                <w:rFonts w:ascii="Arial" w:cs="Arial" w:eastAsia="Arial" w:hAnsi="Arial"/>
                <w:sz w:val="16"/>
                <w:szCs w:val="16"/>
                <w:color w:val="auto"/>
              </w:rPr>
              <w:t>4.00</w:t>
            </w:r>
          </w:p>
        </w:tc>
        <w:tc>
          <w:tcPr>
            <w:tcW w:w="172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December 31,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3.15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40,000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20,000</w:t>
            </w:r>
          </w:p>
        </w:tc>
        <w:tc>
          <w:tcPr>
            <w:tcW w:w="1660" w:type="dxa"/>
            <w:vAlign w:val="bottom"/>
          </w:tcPr>
          <w:p>
            <w:pPr>
              <w:jc w:val="right"/>
              <w:spacing w:after="0"/>
              <w:rPr>
                <w:sz w:val="20"/>
                <w:szCs w:val="20"/>
                <w:color w:val="auto"/>
              </w:rPr>
            </w:pPr>
            <w:r>
              <w:rPr>
                <w:rFonts w:ascii="Arial" w:cs="Arial" w:eastAsia="Arial" w:hAnsi="Arial"/>
                <w:sz w:val="16"/>
                <w:szCs w:val="16"/>
                <w:color w:val="auto"/>
              </w:rPr>
              <w:t>4.25</w:t>
            </w:r>
          </w:p>
        </w:tc>
        <w:tc>
          <w:tcPr>
            <w:tcW w:w="17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December 31, 2026</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1.50</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1,250,000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262,500</w:t>
            </w:r>
          </w:p>
        </w:tc>
        <w:tc>
          <w:tcPr>
            <w:tcW w:w="1660" w:type="dxa"/>
            <w:vAlign w:val="bottom"/>
          </w:tcPr>
          <w:p>
            <w:pPr>
              <w:jc w:val="right"/>
              <w:spacing w:after="0"/>
              <w:rPr>
                <w:sz w:val="20"/>
                <w:szCs w:val="20"/>
                <w:color w:val="auto"/>
              </w:rPr>
            </w:pPr>
            <w:r>
              <w:rPr>
                <w:rFonts w:ascii="Arial" w:cs="Arial" w:eastAsia="Arial" w:hAnsi="Arial"/>
                <w:sz w:val="16"/>
                <w:szCs w:val="16"/>
                <w:color w:val="auto"/>
              </w:rPr>
              <w:t>4.25</w:t>
            </w:r>
          </w:p>
        </w:tc>
        <w:tc>
          <w:tcPr>
            <w:tcW w:w="1720" w:type="dxa"/>
            <w:vAlign w:val="bottom"/>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4, 2027</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1.13</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1,075,600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537,800</w:t>
            </w:r>
          </w:p>
        </w:tc>
        <w:tc>
          <w:tcPr>
            <w:tcW w:w="1660" w:type="dxa"/>
            <w:vAlign w:val="bottom"/>
          </w:tcPr>
          <w:p>
            <w:pPr>
              <w:jc w:val="right"/>
              <w:spacing w:after="0"/>
              <w:rPr>
                <w:sz w:val="20"/>
                <w:szCs w:val="20"/>
                <w:color w:val="auto"/>
              </w:rPr>
            </w:pPr>
            <w:r>
              <w:rPr>
                <w:rFonts w:ascii="Arial" w:cs="Arial" w:eastAsia="Arial" w:hAnsi="Arial"/>
                <w:sz w:val="16"/>
                <w:szCs w:val="16"/>
                <w:color w:val="auto"/>
              </w:rPr>
              <w:t>4.43</w:t>
            </w:r>
          </w:p>
        </w:tc>
        <w:tc>
          <w:tcPr>
            <w:tcW w:w="172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4, 2027</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3.15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60,000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22,500</w:t>
            </w:r>
          </w:p>
        </w:tc>
        <w:tc>
          <w:tcPr>
            <w:tcW w:w="1660" w:type="dxa"/>
            <w:vAlign w:val="bottom"/>
          </w:tcPr>
          <w:p>
            <w:pPr>
              <w:jc w:val="right"/>
              <w:spacing w:after="0"/>
              <w:rPr>
                <w:sz w:val="20"/>
                <w:szCs w:val="20"/>
                <w:color w:val="auto"/>
              </w:rPr>
            </w:pPr>
            <w:r>
              <w:rPr>
                <w:rFonts w:ascii="Arial" w:cs="Arial" w:eastAsia="Arial" w:hAnsi="Arial"/>
                <w:sz w:val="16"/>
                <w:szCs w:val="16"/>
                <w:color w:val="auto"/>
              </w:rPr>
              <w:t>4.43</w:t>
            </w:r>
          </w:p>
        </w:tc>
        <w:tc>
          <w:tcPr>
            <w:tcW w:w="17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March 8, 2027</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400,000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400,000</w:t>
            </w:r>
          </w:p>
        </w:tc>
        <w:tc>
          <w:tcPr>
            <w:tcW w:w="1660" w:type="dxa"/>
            <w:vAlign w:val="bottom"/>
          </w:tcPr>
          <w:p>
            <w:pPr>
              <w:jc w:val="right"/>
              <w:spacing w:after="0"/>
              <w:rPr>
                <w:sz w:val="20"/>
                <w:szCs w:val="20"/>
                <w:color w:val="auto"/>
              </w:rPr>
            </w:pPr>
            <w:r>
              <w:rPr>
                <w:rFonts w:ascii="Arial" w:cs="Arial" w:eastAsia="Arial" w:hAnsi="Arial"/>
                <w:sz w:val="16"/>
                <w:szCs w:val="16"/>
                <w:color w:val="auto"/>
              </w:rPr>
              <w:t>4.44</w:t>
            </w:r>
          </w:p>
        </w:tc>
        <w:tc>
          <w:tcPr>
            <w:tcW w:w="172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June 30, 2027</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65,000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11,250</w:t>
            </w:r>
          </w:p>
        </w:tc>
        <w:tc>
          <w:tcPr>
            <w:tcW w:w="1660" w:type="dxa"/>
            <w:vAlign w:val="bottom"/>
          </w:tcPr>
          <w:p>
            <w:pPr>
              <w:jc w:val="right"/>
              <w:spacing w:after="0"/>
              <w:rPr>
                <w:sz w:val="20"/>
                <w:szCs w:val="20"/>
                <w:color w:val="auto"/>
              </w:rPr>
            </w:pPr>
            <w:r>
              <w:rPr>
                <w:rFonts w:ascii="Arial" w:cs="Arial" w:eastAsia="Arial" w:hAnsi="Arial"/>
                <w:sz w:val="16"/>
                <w:szCs w:val="16"/>
                <w:color w:val="auto"/>
              </w:rPr>
              <w:t>4.75</w:t>
            </w:r>
          </w:p>
        </w:tc>
        <w:tc>
          <w:tcPr>
            <w:tcW w:w="17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20"/>
                <w:szCs w:val="20"/>
                <w:color w:val="auto"/>
              </w:rPr>
            </w:pPr>
            <w:r>
              <w:rPr>
                <w:rFonts w:ascii="Arial" w:cs="Arial" w:eastAsia="Arial" w:hAnsi="Arial"/>
                <w:sz w:val="16"/>
                <w:szCs w:val="16"/>
                <w:color w:val="auto"/>
              </w:rPr>
              <w:t>August 14, 2027</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20,000</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5,000</w:t>
            </w:r>
          </w:p>
        </w:tc>
        <w:tc>
          <w:tcPr>
            <w:tcW w:w="1660" w:type="dxa"/>
            <w:vAlign w:val="bottom"/>
          </w:tcPr>
          <w:p>
            <w:pPr>
              <w:jc w:val="right"/>
              <w:spacing w:after="0"/>
              <w:rPr>
                <w:sz w:val="20"/>
                <w:szCs w:val="20"/>
                <w:color w:val="auto"/>
              </w:rPr>
            </w:pPr>
            <w:r>
              <w:rPr>
                <w:rFonts w:ascii="Arial" w:cs="Arial" w:eastAsia="Arial" w:hAnsi="Arial"/>
                <w:sz w:val="16"/>
                <w:szCs w:val="16"/>
                <w:color w:val="auto"/>
              </w:rPr>
              <w:t>4.87</w:t>
            </w:r>
          </w:p>
        </w:tc>
        <w:tc>
          <w:tcPr>
            <w:tcW w:w="17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September 30, 2027</w:t>
            </w:r>
          </w:p>
        </w:tc>
        <w:tc>
          <w:tcPr>
            <w:tcW w:w="1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w:t>
            </w: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245,000</w:t>
            </w:r>
          </w:p>
        </w:tc>
        <w:tc>
          <w:tcPr>
            <w:tcW w:w="1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28,125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0"/>
        </w:trPr>
        <w:tc>
          <w:tcPr>
            <w:tcW w:w="21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30,419,752</w:t>
            </w: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25,607,462</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3.24</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26,834</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left="240" w:right="20"/>
        <w:spacing w:after="0" w:line="269" w:lineRule="auto"/>
        <w:rPr>
          <w:sz w:val="20"/>
          <w:szCs w:val="20"/>
          <w:color w:val="auto"/>
        </w:rPr>
      </w:pPr>
      <w:r>
        <w:rPr>
          <w:rFonts w:ascii="Arial" w:cs="Arial" w:eastAsia="Arial" w:hAnsi="Arial"/>
          <w:sz w:val="16"/>
          <w:szCs w:val="16"/>
          <w:color w:val="auto"/>
        </w:rPr>
        <w:t>The Company recognized share-based payments expense related to the issuance of stock options for the three and six months ended September 30, 2022 of $1,070 and $3,221, respectively.</w:t>
      </w:r>
    </w:p>
    <w:p>
      <w:pPr>
        <w:spacing w:after="0" w:line="150" w:lineRule="exact"/>
        <w:rPr>
          <w:sz w:val="20"/>
          <w:szCs w:val="20"/>
          <w:color w:val="auto"/>
        </w:rPr>
      </w:pPr>
    </w:p>
    <w:p>
      <w:pPr>
        <w:jc w:val="both"/>
        <w:ind w:left="240" w:right="20"/>
        <w:spacing w:after="0" w:line="269" w:lineRule="auto"/>
        <w:rPr>
          <w:sz w:val="20"/>
          <w:szCs w:val="20"/>
          <w:color w:val="auto"/>
        </w:rPr>
      </w:pPr>
      <w:r>
        <w:rPr>
          <w:rFonts w:ascii="Arial" w:cs="Arial" w:eastAsia="Arial" w:hAnsi="Arial"/>
          <w:sz w:val="16"/>
          <w:szCs w:val="16"/>
          <w:color w:val="auto"/>
        </w:rPr>
        <w:t>The outstanding options and warrants disclosed above were anti-dilutive for the three and six months ended September 30, 2022 and did not impact the calculation of the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Page 18 of 25</w:t>
      </w:r>
    </w:p>
    <w:p>
      <w:pPr>
        <w:sectPr>
          <w:pgSz w:w="11900" w:h="16838" w:orient="portrait"/>
          <w:cols w:equalWidth="0" w:num="1">
            <w:col w:w="11200"/>
          </w:cols>
          <w:pgMar w:left="380" w:top="171" w:right="319" w:bottom="1440" w:gutter="0" w:footer="0" w:header="0"/>
        </w:sectPr>
      </w:pPr>
    </w:p>
    <w:bookmarkStart w:id="21" w:name="page22"/>
    <w:bookmarkEnd w:id="21"/>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left="62" w:right="24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56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2" w:hanging="322"/>
        <w:spacing w:after="0"/>
        <w:tabs>
          <w:tab w:leader="none" w:pos="322" w:val="left"/>
        </w:tabs>
        <w:numPr>
          <w:ilvl w:val="0"/>
          <w:numId w:val="11"/>
        </w:numPr>
        <w:rPr>
          <w:rFonts w:ascii="Arial" w:cs="Arial" w:eastAsia="Arial" w:hAnsi="Arial"/>
          <w:sz w:val="16"/>
          <w:szCs w:val="16"/>
          <w:b w:val="1"/>
          <w:bCs w:val="1"/>
          <w:color w:val="2D5F91"/>
        </w:rPr>
      </w:pPr>
      <w:r>
        <w:rPr>
          <w:rFonts w:ascii="Arial" w:cs="Arial" w:eastAsia="Arial" w:hAnsi="Arial"/>
          <w:sz w:val="16"/>
          <w:szCs w:val="16"/>
          <w:b w:val="1"/>
          <w:bCs w:val="1"/>
          <w:color w:val="2D5F91"/>
        </w:rPr>
        <w:t>RELATED PARTY TRANSACTIONS AND BALANCES</w:t>
      </w:r>
    </w:p>
    <w:p>
      <w:pPr>
        <w:spacing w:after="0" w:line="203" w:lineRule="exact"/>
        <w:rPr>
          <w:sz w:val="20"/>
          <w:szCs w:val="20"/>
          <w:color w:val="auto"/>
        </w:rPr>
      </w:pPr>
    </w:p>
    <w:p>
      <w:pPr>
        <w:ind w:left="302"/>
        <w:spacing w:after="0" w:line="269" w:lineRule="auto"/>
        <w:rPr>
          <w:sz w:val="20"/>
          <w:szCs w:val="20"/>
          <w:color w:val="auto"/>
        </w:rPr>
      </w:pPr>
      <w:r>
        <w:rPr>
          <w:rFonts w:ascii="Arial" w:cs="Arial" w:eastAsia="Arial" w:hAnsi="Arial"/>
          <w:sz w:val="16"/>
          <w:szCs w:val="16"/>
          <w:color w:val="auto"/>
        </w:rPr>
        <w:t>Key management personnel include persons having the authority and responsibility for planning, directing, and controlling the activities of the Company as a whole. The Company has determined its key management personnel to be executive officers and directors of the Company.</w:t>
      </w:r>
    </w:p>
    <w:p>
      <w:pPr>
        <w:spacing w:after="0" w:line="137" w:lineRule="exact"/>
        <w:rPr>
          <w:sz w:val="20"/>
          <w:szCs w:val="20"/>
          <w:color w:val="auto"/>
        </w:rPr>
      </w:pPr>
    </w:p>
    <w:p>
      <w:pPr>
        <w:ind w:left="302"/>
        <w:spacing w:after="0" w:line="269" w:lineRule="auto"/>
        <w:rPr>
          <w:sz w:val="20"/>
          <w:szCs w:val="20"/>
          <w:color w:val="auto"/>
        </w:rPr>
      </w:pPr>
      <w:r>
        <w:rPr>
          <w:rFonts w:ascii="Arial" w:cs="Arial" w:eastAsia="Arial" w:hAnsi="Arial"/>
          <w:sz w:val="16"/>
          <w:szCs w:val="16"/>
          <w:color w:val="auto"/>
        </w:rPr>
        <w:t>At September 30, 2022, accounts payable and accrued liabilities include accrued executive bonuses of $1,036 payable on future achievements of the Company.</w:t>
      </w:r>
    </w:p>
    <w:p>
      <w:pPr>
        <w:spacing w:after="0" w:line="137"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remuneration of key management personnel for the three and six months ended September 30, 2021 and 2022 are as follows:</w:t>
      </w:r>
    </w:p>
    <w:p>
      <w:pPr>
        <w:spacing w:after="0" w:line="183" w:lineRule="exact"/>
        <w:rPr>
          <w:sz w:val="20"/>
          <w:szCs w:val="20"/>
          <w:color w:val="auto"/>
        </w:rPr>
      </w:pPr>
    </w:p>
    <w:tbl>
      <w:tblPr>
        <w:tblLayout w:type="fixed"/>
        <w:tblInd w:w="302"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4340" w:type="dxa"/>
            <w:vAlign w:val="bottom"/>
            <w:gridSpan w:val="2"/>
            <w:vMerge w:val="restart"/>
          </w:tcPr>
          <w:p>
            <w:pPr>
              <w:jc w:val="right"/>
              <w:ind w:right="499"/>
              <w:spacing w:after="0"/>
              <w:rPr>
                <w:sz w:val="20"/>
                <w:szCs w:val="20"/>
                <w:color w:val="auto"/>
              </w:rPr>
            </w:pPr>
            <w:r>
              <w:rPr>
                <w:rFonts w:ascii="Arial" w:cs="Arial" w:eastAsia="Arial" w:hAnsi="Arial"/>
                <w:sz w:val="16"/>
                <w:szCs w:val="16"/>
                <w:b w:val="1"/>
                <w:bCs w:val="1"/>
                <w:color w:val="auto"/>
              </w:rPr>
              <w:t>Three-months ended September 30,</w:t>
            </w:r>
          </w:p>
        </w:tc>
        <w:tc>
          <w:tcPr>
            <w:tcW w:w="116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Six-months ended</w:t>
            </w:r>
          </w:p>
        </w:tc>
        <w:tc>
          <w:tcPr>
            <w:tcW w:w="0" w:type="dxa"/>
            <w:vAlign w:val="bottom"/>
          </w:tcPr>
          <w:p>
            <w:pPr>
              <w:spacing w:after="0"/>
              <w:rPr>
                <w:sz w:val="1"/>
                <w:szCs w:val="1"/>
                <w:color w:val="auto"/>
              </w:rPr>
            </w:pPr>
          </w:p>
        </w:tc>
      </w:tr>
      <w:tr>
        <w:trPr>
          <w:trHeight w:val="211"/>
        </w:trPr>
        <w:tc>
          <w:tcPr>
            <w:tcW w:w="3420" w:type="dxa"/>
            <w:vAlign w:val="bottom"/>
          </w:tcPr>
          <w:p>
            <w:pPr>
              <w:spacing w:after="0"/>
              <w:rPr>
                <w:sz w:val="18"/>
                <w:szCs w:val="18"/>
                <w:color w:val="auto"/>
              </w:rPr>
            </w:pPr>
          </w:p>
        </w:tc>
        <w:tc>
          <w:tcPr>
            <w:tcW w:w="43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27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6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$000’s</w:t>
            </w:r>
          </w:p>
        </w:tc>
        <w:tc>
          <w:tcPr>
            <w:tcW w:w="16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$000’s</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$000’s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212"/>
        </w:trPr>
        <w:tc>
          <w:tcPr>
            <w:tcW w:w="3420" w:type="dxa"/>
            <w:vAlign w:val="bottom"/>
          </w:tcPr>
          <w:p>
            <w:pPr>
              <w:ind w:left="60"/>
              <w:spacing w:after="0" w:line="212" w:lineRule="exact"/>
              <w:rPr>
                <w:sz w:val="20"/>
                <w:szCs w:val="20"/>
                <w:color w:val="auto"/>
              </w:rPr>
            </w:pPr>
            <w:r>
              <w:rPr>
                <w:rFonts w:ascii="Arial" w:cs="Arial" w:eastAsia="Arial" w:hAnsi="Arial"/>
                <w:sz w:val="16"/>
                <w:szCs w:val="16"/>
                <w:color w:val="auto"/>
              </w:rPr>
              <w:t>Payroll, consulting and benefits</w:t>
            </w:r>
            <w:r>
              <w:rPr>
                <w:rFonts w:ascii="Arial" w:cs="Arial" w:eastAsia="Arial" w:hAnsi="Arial"/>
                <w:sz w:val="21"/>
                <w:szCs w:val="21"/>
                <w:color w:val="auto"/>
                <w:vertAlign w:val="superscript"/>
              </w:rPr>
              <w:t>(1)</w:t>
            </w:r>
          </w:p>
        </w:tc>
        <w:tc>
          <w:tcPr>
            <w:tcW w:w="2700" w:type="dxa"/>
            <w:vAlign w:val="bottom"/>
          </w:tcPr>
          <w:p>
            <w:pPr>
              <w:jc w:val="right"/>
              <w:ind w:right="499"/>
              <w:spacing w:after="0"/>
              <w:rPr>
                <w:sz w:val="20"/>
                <w:szCs w:val="20"/>
                <w:color w:val="auto"/>
              </w:rPr>
            </w:pPr>
            <w:r>
              <w:rPr>
                <w:rFonts w:ascii="Arial" w:cs="Arial" w:eastAsia="Arial" w:hAnsi="Arial"/>
                <w:sz w:val="16"/>
                <w:szCs w:val="16"/>
                <w:b w:val="1"/>
                <w:bCs w:val="1"/>
                <w:color w:val="auto"/>
              </w:rPr>
              <w:t>1,400</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1,840</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2,780</w:t>
            </w:r>
          </w:p>
        </w:tc>
        <w:tc>
          <w:tcPr>
            <w:tcW w:w="1600" w:type="dxa"/>
            <w:vAlign w:val="bottom"/>
          </w:tcPr>
          <w:p>
            <w:pPr>
              <w:jc w:val="right"/>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195"/>
        </w:trPr>
        <w:tc>
          <w:tcPr>
            <w:tcW w:w="3420" w:type="dxa"/>
            <w:vAlign w:val="bottom"/>
          </w:tcPr>
          <w:p>
            <w:pPr>
              <w:ind w:left="60"/>
              <w:spacing w:after="0"/>
              <w:rPr>
                <w:sz w:val="20"/>
                <w:szCs w:val="20"/>
                <w:color w:val="auto"/>
              </w:rPr>
            </w:pPr>
            <w:r>
              <w:rPr>
                <w:rFonts w:ascii="Arial" w:cs="Arial" w:eastAsia="Arial" w:hAnsi="Arial"/>
                <w:sz w:val="16"/>
                <w:szCs w:val="16"/>
                <w:color w:val="auto"/>
              </w:rPr>
              <w:t>Share-based compensation</w:t>
            </w:r>
          </w:p>
        </w:tc>
        <w:tc>
          <w:tcPr>
            <w:tcW w:w="270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678</w:t>
            </w:r>
          </w:p>
        </w:tc>
        <w:tc>
          <w:tcPr>
            <w:tcW w:w="1640" w:type="dxa"/>
            <w:vAlign w:val="bottom"/>
          </w:tcPr>
          <w:p>
            <w:pPr>
              <w:spacing w:after="0"/>
              <w:rPr>
                <w:sz w:val="16"/>
                <w:szCs w:val="16"/>
                <w:color w:val="auto"/>
              </w:rPr>
            </w:pPr>
          </w:p>
        </w:tc>
        <w:tc>
          <w:tcPr>
            <w:tcW w:w="11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1,763</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420" w:type="dxa"/>
            <w:vAlign w:val="bottom"/>
          </w:tcPr>
          <w:p>
            <w:pPr>
              <w:ind w:left="240"/>
              <w:spacing w:after="0"/>
              <w:rPr>
                <w:sz w:val="20"/>
                <w:szCs w:val="20"/>
                <w:color w:val="auto"/>
              </w:rPr>
            </w:pPr>
            <w:r>
              <w:rPr>
                <w:rFonts w:ascii="Arial" w:cs="Arial" w:eastAsia="Arial" w:hAnsi="Arial"/>
                <w:sz w:val="16"/>
                <w:szCs w:val="16"/>
                <w:color w:val="auto"/>
              </w:rPr>
              <w:t>Options</w:t>
            </w:r>
          </w:p>
        </w:tc>
        <w:tc>
          <w:tcPr>
            <w:tcW w:w="2700" w:type="dxa"/>
            <w:vAlign w:val="bottom"/>
            <w:vMerge w:val="continue"/>
          </w:tcPr>
          <w:p>
            <w:pPr>
              <w:spacing w:after="0"/>
              <w:rPr>
                <w:sz w:val="17"/>
                <w:szCs w:val="17"/>
                <w:color w:val="auto"/>
              </w:rPr>
            </w:pP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2,868</w:t>
            </w:r>
          </w:p>
        </w:tc>
        <w:tc>
          <w:tcPr>
            <w:tcW w:w="1160" w:type="dxa"/>
            <w:vAlign w:val="bottom"/>
            <w:vMerge w:val="continue"/>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4,979</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Warrants</w:t>
            </w:r>
          </w:p>
        </w:tc>
        <w:tc>
          <w:tcPr>
            <w:tcW w:w="2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28</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0"/>
        </w:trPr>
        <w:tc>
          <w:tcPr>
            <w:tcW w:w="34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2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2,078</w:t>
            </w:r>
          </w:p>
        </w:tc>
        <w:tc>
          <w:tcPr>
            <w:tcW w:w="16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4,736</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4,546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8,011</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ind w:left="302" w:hanging="9"/>
        <w:spacing w:after="0" w:line="233" w:lineRule="auto"/>
        <w:tabs>
          <w:tab w:leader="none" w:pos="488" w:val="left"/>
        </w:tabs>
        <w:numPr>
          <w:ilvl w:val="1"/>
          <w:numId w:val="12"/>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For the three-month period ended September 30, 2022, includes $649 presented in the statement of loss and comprehensive loss as a part of “General and administrative costs” and $751 presented in the statement of loss and comprehensive loss as a part of “Research”. For the six-month period ended September 30, 2022, includes $1,304 presented in the statement of loss and comprehensive loss as a part of “General and administrative costs” and $1,476 presented in the statement of loss and comprehensive loss as a part of “Research”.</w:t>
      </w:r>
    </w:p>
    <w:p>
      <w:pPr>
        <w:spacing w:after="0" w:line="144" w:lineRule="exact"/>
        <w:rPr>
          <w:rFonts w:ascii="Arial" w:cs="Arial" w:eastAsia="Arial" w:hAnsi="Arial"/>
          <w:sz w:val="19"/>
          <w:szCs w:val="19"/>
          <w:i w:val="1"/>
          <w:iCs w:val="1"/>
          <w:color w:val="auto"/>
          <w:vertAlign w:val="superscript"/>
        </w:rPr>
      </w:pPr>
    </w:p>
    <w:p>
      <w:pPr>
        <w:ind w:left="402" w:hanging="402"/>
        <w:spacing w:after="0"/>
        <w:tabs>
          <w:tab w:leader="none" w:pos="402" w:val="left"/>
        </w:tabs>
        <w:numPr>
          <w:ilvl w:val="0"/>
          <w:numId w:val="13"/>
        </w:numPr>
        <w:rPr>
          <w:rFonts w:ascii="Arial" w:cs="Arial" w:eastAsia="Arial" w:hAnsi="Arial"/>
          <w:sz w:val="16"/>
          <w:szCs w:val="16"/>
          <w:b w:val="1"/>
          <w:bCs w:val="1"/>
          <w:color w:val="2D5F91"/>
        </w:rPr>
      </w:pPr>
      <w:r>
        <w:rPr>
          <w:rFonts w:ascii="Arial" w:cs="Arial" w:eastAsia="Arial" w:hAnsi="Arial"/>
          <w:sz w:val="16"/>
          <w:szCs w:val="16"/>
          <w:b w:val="1"/>
          <w:bCs w:val="1"/>
          <w:color w:val="2D5F91"/>
        </w:rPr>
        <w:t>GENERAL AND ADMINISTRATIVE EXPENSES</w:t>
      </w:r>
    </w:p>
    <w:p>
      <w:pPr>
        <w:spacing w:after="0" w:line="35" w:lineRule="exact"/>
        <w:rPr>
          <w:sz w:val="20"/>
          <w:szCs w:val="20"/>
          <w:color w:val="auto"/>
        </w:rPr>
      </w:pPr>
    </w:p>
    <w:tbl>
      <w:tblPr>
        <w:tblLayout w:type="fixed"/>
        <w:tblInd w:w="222"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4520" w:type="dxa"/>
            <w:vAlign w:val="bottom"/>
            <w:gridSpan w:val="2"/>
            <w:vMerge w:val="restart"/>
          </w:tcPr>
          <w:p>
            <w:pPr>
              <w:jc w:val="right"/>
              <w:ind w:right="479"/>
              <w:spacing w:after="0"/>
              <w:rPr>
                <w:sz w:val="20"/>
                <w:szCs w:val="20"/>
                <w:color w:val="auto"/>
              </w:rPr>
            </w:pPr>
            <w:r>
              <w:rPr>
                <w:rFonts w:ascii="Arial" w:cs="Arial" w:eastAsia="Arial" w:hAnsi="Arial"/>
                <w:sz w:val="16"/>
                <w:szCs w:val="16"/>
                <w:b w:val="1"/>
                <w:bCs w:val="1"/>
                <w:color w:val="auto"/>
              </w:rPr>
              <w:t>Three-months ended September 30,</w:t>
            </w:r>
          </w:p>
        </w:tc>
        <w:tc>
          <w:tcPr>
            <w:tcW w:w="1160" w:type="dxa"/>
            <w:vAlign w:val="bottom"/>
          </w:tcPr>
          <w:p>
            <w:pPr>
              <w:spacing w:after="0"/>
              <w:rPr>
                <w:sz w:val="16"/>
                <w:szCs w:val="16"/>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Six-months ended</w:t>
            </w:r>
          </w:p>
        </w:tc>
        <w:tc>
          <w:tcPr>
            <w:tcW w:w="0" w:type="dxa"/>
            <w:vAlign w:val="bottom"/>
          </w:tcPr>
          <w:p>
            <w:pPr>
              <w:spacing w:after="0"/>
              <w:rPr>
                <w:sz w:val="1"/>
                <w:szCs w:val="1"/>
                <w:color w:val="auto"/>
              </w:rPr>
            </w:pPr>
          </w:p>
        </w:tc>
      </w:tr>
      <w:tr>
        <w:trPr>
          <w:trHeight w:val="208"/>
        </w:trPr>
        <w:tc>
          <w:tcPr>
            <w:tcW w:w="3560" w:type="dxa"/>
            <w:vAlign w:val="bottom"/>
          </w:tcPr>
          <w:p>
            <w:pPr>
              <w:spacing w:after="0"/>
              <w:rPr>
                <w:sz w:val="18"/>
                <w:szCs w:val="18"/>
                <w:color w:val="auto"/>
              </w:rPr>
            </w:pPr>
          </w:p>
        </w:tc>
        <w:tc>
          <w:tcPr>
            <w:tcW w:w="452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8"/>
        </w:trPr>
        <w:tc>
          <w:tcPr>
            <w:tcW w:w="3560" w:type="dxa"/>
            <w:vAlign w:val="bottom"/>
          </w:tcPr>
          <w:p>
            <w:pPr>
              <w:spacing w:after="0"/>
              <w:rPr>
                <w:sz w:val="18"/>
                <w:szCs w:val="18"/>
                <w:color w:val="auto"/>
              </w:rPr>
            </w:pPr>
          </w:p>
        </w:tc>
        <w:tc>
          <w:tcPr>
            <w:tcW w:w="28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6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$000’s</w:t>
            </w:r>
          </w:p>
        </w:tc>
        <w:tc>
          <w:tcPr>
            <w:tcW w:w="16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$000’s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199"/>
        </w:trPr>
        <w:tc>
          <w:tcPr>
            <w:tcW w:w="3560" w:type="dxa"/>
            <w:vAlign w:val="bottom"/>
          </w:tcPr>
          <w:p>
            <w:pPr>
              <w:ind w:left="20"/>
              <w:spacing w:after="0"/>
              <w:rPr>
                <w:sz w:val="20"/>
                <w:szCs w:val="20"/>
                <w:color w:val="auto"/>
              </w:rPr>
            </w:pPr>
            <w:r>
              <w:rPr>
                <w:rFonts w:ascii="Arial" w:cs="Arial" w:eastAsia="Arial" w:hAnsi="Arial"/>
                <w:sz w:val="16"/>
                <w:szCs w:val="16"/>
                <w:color w:val="auto"/>
              </w:rPr>
              <w:t>Payroll, consulting and benefits</w:t>
            </w:r>
          </w:p>
        </w:tc>
        <w:tc>
          <w:tcPr>
            <w:tcW w:w="2880" w:type="dxa"/>
            <w:vAlign w:val="bottom"/>
          </w:tcPr>
          <w:p>
            <w:pPr>
              <w:jc w:val="right"/>
              <w:ind w:right="499"/>
              <w:spacing w:after="0"/>
              <w:rPr>
                <w:sz w:val="20"/>
                <w:szCs w:val="20"/>
                <w:color w:val="auto"/>
              </w:rPr>
            </w:pPr>
            <w:r>
              <w:rPr>
                <w:rFonts w:ascii="Arial" w:cs="Arial" w:eastAsia="Arial" w:hAnsi="Arial"/>
                <w:sz w:val="16"/>
                <w:szCs w:val="16"/>
                <w:color w:val="auto"/>
              </w:rPr>
              <w:t>1,559</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2,349</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3,245</w:t>
            </w:r>
          </w:p>
        </w:tc>
        <w:tc>
          <w:tcPr>
            <w:tcW w:w="1620" w:type="dxa"/>
            <w:vAlign w:val="bottom"/>
          </w:tcPr>
          <w:p>
            <w:pPr>
              <w:jc w:val="right"/>
              <w:spacing w:after="0"/>
              <w:rPr>
                <w:sz w:val="20"/>
                <w:szCs w:val="20"/>
                <w:color w:val="auto"/>
              </w:rPr>
            </w:pPr>
            <w:r>
              <w:rPr>
                <w:rFonts w:ascii="Arial" w:cs="Arial" w:eastAsia="Arial" w:hAnsi="Arial"/>
                <w:sz w:val="16"/>
                <w:szCs w:val="16"/>
                <w:color w:val="auto"/>
              </w:rPr>
              <w:t>3,573</w:t>
            </w: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6"/>
                <w:szCs w:val="16"/>
                <w:color w:val="auto"/>
              </w:rPr>
              <w:t>Capital market</w:t>
            </w:r>
          </w:p>
        </w:tc>
        <w:tc>
          <w:tcPr>
            <w:tcW w:w="2880" w:type="dxa"/>
            <w:vAlign w:val="bottom"/>
          </w:tcPr>
          <w:p>
            <w:pPr>
              <w:jc w:val="right"/>
              <w:ind w:right="499"/>
              <w:spacing w:after="0"/>
              <w:rPr>
                <w:sz w:val="20"/>
                <w:szCs w:val="20"/>
                <w:color w:val="auto"/>
              </w:rPr>
            </w:pPr>
            <w:r>
              <w:rPr>
                <w:rFonts w:ascii="Arial" w:cs="Arial" w:eastAsia="Arial" w:hAnsi="Arial"/>
                <w:sz w:val="16"/>
                <w:szCs w:val="16"/>
                <w:color w:val="auto"/>
              </w:rPr>
              <w:t>1,918</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1,451</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2,264</w:t>
            </w:r>
          </w:p>
        </w:tc>
        <w:tc>
          <w:tcPr>
            <w:tcW w:w="1620" w:type="dxa"/>
            <w:vAlign w:val="bottom"/>
          </w:tcPr>
          <w:p>
            <w:pPr>
              <w:jc w:val="right"/>
              <w:spacing w:after="0"/>
              <w:rPr>
                <w:sz w:val="20"/>
                <w:szCs w:val="20"/>
                <w:color w:val="auto"/>
              </w:rPr>
            </w:pPr>
            <w:r>
              <w:rPr>
                <w:rFonts w:ascii="Arial" w:cs="Arial" w:eastAsia="Arial" w:hAnsi="Arial"/>
                <w:sz w:val="16"/>
                <w:szCs w:val="16"/>
                <w:color w:val="auto"/>
              </w:rPr>
              <w:t>3,192</w:t>
            </w: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6"/>
                <w:szCs w:val="16"/>
                <w:color w:val="auto"/>
              </w:rPr>
              <w:t>Office and administration</w:t>
            </w:r>
          </w:p>
        </w:tc>
        <w:tc>
          <w:tcPr>
            <w:tcW w:w="2880" w:type="dxa"/>
            <w:vAlign w:val="bottom"/>
          </w:tcPr>
          <w:p>
            <w:pPr>
              <w:jc w:val="right"/>
              <w:ind w:right="499"/>
              <w:spacing w:after="0"/>
              <w:rPr>
                <w:sz w:val="20"/>
                <w:szCs w:val="20"/>
                <w:color w:val="auto"/>
              </w:rPr>
            </w:pPr>
            <w:r>
              <w:rPr>
                <w:rFonts w:ascii="Arial" w:cs="Arial" w:eastAsia="Arial" w:hAnsi="Arial"/>
                <w:sz w:val="16"/>
                <w:szCs w:val="16"/>
                <w:color w:val="auto"/>
              </w:rPr>
              <w:t>1,290</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1,071</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2,150</w:t>
            </w:r>
          </w:p>
        </w:tc>
        <w:tc>
          <w:tcPr>
            <w:tcW w:w="1620" w:type="dxa"/>
            <w:vAlign w:val="bottom"/>
          </w:tcPr>
          <w:p>
            <w:pPr>
              <w:jc w:val="right"/>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6"/>
                <w:szCs w:val="16"/>
                <w:color w:val="auto"/>
              </w:rPr>
              <w:t>Professional and consulting fees</w:t>
            </w:r>
          </w:p>
        </w:tc>
        <w:tc>
          <w:tcPr>
            <w:tcW w:w="2880" w:type="dxa"/>
            <w:vAlign w:val="bottom"/>
          </w:tcPr>
          <w:p>
            <w:pPr>
              <w:jc w:val="right"/>
              <w:ind w:right="499"/>
              <w:spacing w:after="0"/>
              <w:rPr>
                <w:sz w:val="20"/>
                <w:szCs w:val="20"/>
                <w:color w:val="auto"/>
              </w:rPr>
            </w:pPr>
            <w:r>
              <w:rPr>
                <w:rFonts w:ascii="Arial" w:cs="Arial" w:eastAsia="Arial" w:hAnsi="Arial"/>
                <w:sz w:val="16"/>
                <w:szCs w:val="16"/>
                <w:color w:val="auto"/>
              </w:rPr>
              <w:t>663</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725</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1,651</w:t>
            </w:r>
          </w:p>
        </w:tc>
        <w:tc>
          <w:tcPr>
            <w:tcW w:w="1620" w:type="dxa"/>
            <w:vAlign w:val="bottom"/>
          </w:tcPr>
          <w:p>
            <w:pPr>
              <w:jc w:val="right"/>
              <w:spacing w:after="0"/>
              <w:rPr>
                <w:sz w:val="20"/>
                <w:szCs w:val="20"/>
                <w:color w:val="auto"/>
              </w:rPr>
            </w:pPr>
            <w:r>
              <w:rPr>
                <w:rFonts w:ascii="Arial" w:cs="Arial" w:eastAsia="Arial" w:hAnsi="Arial"/>
                <w:sz w:val="16"/>
                <w:szCs w:val="16"/>
                <w:color w:val="auto"/>
              </w:rPr>
              <w:t>1,793</w:t>
            </w: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6"/>
                <w:szCs w:val="16"/>
                <w:color w:val="auto"/>
              </w:rPr>
              <w:t>Marketing media</w:t>
            </w:r>
          </w:p>
        </w:tc>
        <w:tc>
          <w:tcPr>
            <w:tcW w:w="2880" w:type="dxa"/>
            <w:vAlign w:val="bottom"/>
          </w:tcPr>
          <w:p>
            <w:pPr>
              <w:jc w:val="right"/>
              <w:ind w:right="499"/>
              <w:spacing w:after="0"/>
              <w:rPr>
                <w:sz w:val="20"/>
                <w:szCs w:val="20"/>
                <w:color w:val="auto"/>
              </w:rPr>
            </w:pPr>
            <w:r>
              <w:rPr>
                <w:rFonts w:ascii="Arial" w:cs="Arial" w:eastAsia="Arial" w:hAnsi="Arial"/>
                <w:sz w:val="16"/>
                <w:szCs w:val="16"/>
                <w:color w:val="auto"/>
              </w:rPr>
              <w:t>90</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405</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803</w:t>
            </w:r>
          </w:p>
        </w:tc>
        <w:tc>
          <w:tcPr>
            <w:tcW w:w="1620" w:type="dxa"/>
            <w:vAlign w:val="bottom"/>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6"/>
                <w:szCs w:val="16"/>
                <w:color w:val="auto"/>
              </w:rPr>
              <w:t>Business development</w:t>
            </w:r>
          </w:p>
        </w:tc>
        <w:tc>
          <w:tcPr>
            <w:tcW w:w="2880" w:type="dxa"/>
            <w:vAlign w:val="bottom"/>
          </w:tcPr>
          <w:p>
            <w:pPr>
              <w:jc w:val="right"/>
              <w:ind w:right="499"/>
              <w:spacing w:after="0"/>
              <w:rPr>
                <w:sz w:val="20"/>
                <w:szCs w:val="20"/>
                <w:color w:val="auto"/>
              </w:rPr>
            </w:pPr>
            <w:r>
              <w:rPr>
                <w:rFonts w:ascii="Arial" w:cs="Arial" w:eastAsia="Arial" w:hAnsi="Arial"/>
                <w:sz w:val="16"/>
                <w:szCs w:val="16"/>
                <w:color w:val="auto"/>
              </w:rPr>
              <w:t>288</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917</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538</w:t>
            </w:r>
          </w:p>
        </w:tc>
        <w:tc>
          <w:tcPr>
            <w:tcW w:w="1620" w:type="dxa"/>
            <w:vAlign w:val="bottom"/>
          </w:tcPr>
          <w:p>
            <w:pPr>
              <w:jc w:val="right"/>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6"/>
                <w:szCs w:val="16"/>
                <w:color w:val="auto"/>
              </w:rPr>
              <w:t>Investor relations</w:t>
            </w:r>
          </w:p>
        </w:tc>
        <w:tc>
          <w:tcPr>
            <w:tcW w:w="2880" w:type="dxa"/>
            <w:vAlign w:val="bottom"/>
          </w:tcPr>
          <w:p>
            <w:pPr>
              <w:jc w:val="right"/>
              <w:ind w:right="499"/>
              <w:spacing w:after="0"/>
              <w:rPr>
                <w:sz w:val="20"/>
                <w:szCs w:val="20"/>
                <w:color w:val="auto"/>
              </w:rPr>
            </w:pPr>
            <w:r>
              <w:rPr>
                <w:rFonts w:ascii="Arial" w:cs="Arial" w:eastAsia="Arial" w:hAnsi="Arial"/>
                <w:sz w:val="16"/>
                <w:szCs w:val="16"/>
                <w:color w:val="auto"/>
              </w:rPr>
              <w:t>169</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677</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620" w:type="dxa"/>
            <w:vAlign w:val="bottom"/>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0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Listing fees</w:t>
            </w:r>
          </w:p>
        </w:tc>
        <w:tc>
          <w:tcPr>
            <w:tcW w:w="28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137</w:t>
            </w:r>
          </w:p>
        </w:tc>
        <w:tc>
          <w:tcPr>
            <w:tcW w:w="16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236</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0"/>
        </w:trPr>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28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6,114</w:t>
            </w:r>
          </w:p>
        </w:tc>
        <w:tc>
          <w:tcPr>
            <w:tcW w:w="16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7,831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11,306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19 of 25</w:t>
      </w:r>
    </w:p>
    <w:p>
      <w:pPr>
        <w:sectPr>
          <w:pgSz w:w="11900" w:h="16838" w:orient="portrait"/>
          <w:cols w:equalWidth="0" w:num="1">
            <w:col w:w="11242"/>
          </w:cols>
          <w:pgMar w:left="318" w:top="171" w:right="339" w:bottom="1440" w:gutter="0" w:footer="0" w:header="0"/>
        </w:sectPr>
      </w:pPr>
    </w:p>
    <w:bookmarkStart w:id="22" w:name="page23"/>
    <w:bookmarkEnd w:id="22"/>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left="62" w:right="24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56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 w:type="dxa"/>
        <w:tblCellMar>
          <w:top w:w="0" w:type="dxa"/>
          <w:left w:w="0" w:type="dxa"/>
          <w:bottom w:w="0" w:type="dxa"/>
          <w:right w:w="0" w:type="dxa"/>
        </w:tblCellMar>
      </w:tblPr>
      <w:tr>
        <w:trPr>
          <w:trHeight w:val="215"/>
        </w:trPr>
        <w:tc>
          <w:tcPr>
            <w:tcW w:w="4100" w:type="dxa"/>
            <w:vAlign w:val="bottom"/>
            <w:gridSpan w:val="2"/>
          </w:tcPr>
          <w:p>
            <w:pPr>
              <w:spacing w:after="0"/>
              <w:rPr>
                <w:sz w:val="20"/>
                <w:szCs w:val="20"/>
                <w:color w:val="auto"/>
              </w:rPr>
            </w:pPr>
            <w:r>
              <w:rPr>
                <w:rFonts w:ascii="Arial" w:cs="Arial" w:eastAsia="Arial" w:hAnsi="Arial"/>
                <w:sz w:val="16"/>
                <w:szCs w:val="16"/>
                <w:b w:val="1"/>
                <w:bCs w:val="1"/>
                <w:color w:val="2D5F91"/>
              </w:rPr>
              <w:t>11.  RESEARCH EXPENSES</w:t>
            </w:r>
          </w:p>
        </w:tc>
        <w:tc>
          <w:tcPr>
            <w:tcW w:w="2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300" w:type="dxa"/>
            <w:vAlign w:val="bottom"/>
            <w:gridSpan w:val="2"/>
            <w:vMerge w:val="restart"/>
          </w:tcPr>
          <w:p>
            <w:pPr>
              <w:jc w:val="right"/>
              <w:ind w:right="479"/>
              <w:spacing w:after="0"/>
              <w:rPr>
                <w:sz w:val="20"/>
                <w:szCs w:val="20"/>
                <w:color w:val="auto"/>
              </w:rPr>
            </w:pPr>
            <w:r>
              <w:rPr>
                <w:rFonts w:ascii="Arial" w:cs="Arial" w:eastAsia="Arial" w:hAnsi="Arial"/>
                <w:sz w:val="16"/>
                <w:szCs w:val="16"/>
                <w:b w:val="1"/>
                <w:bCs w:val="1"/>
                <w:color w:val="auto"/>
              </w:rPr>
              <w:t>Three-months ended September 30,</w:t>
            </w:r>
          </w:p>
        </w:tc>
        <w:tc>
          <w:tcPr>
            <w:tcW w:w="1180" w:type="dxa"/>
            <w:vAlign w:val="bottom"/>
          </w:tcPr>
          <w:p>
            <w:pPr>
              <w:spacing w:after="0"/>
              <w:rPr>
                <w:sz w:val="24"/>
                <w:szCs w:val="24"/>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Six-months ended</w:t>
            </w: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30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6"/>
                <w:szCs w:val="16"/>
                <w:b w:val="1"/>
                <w:bCs w:val="1"/>
                <w:color w:val="auto"/>
              </w:rPr>
              <w:t>For the three-month period ended</w:t>
            </w:r>
          </w:p>
        </w:tc>
        <w:tc>
          <w:tcPr>
            <w:tcW w:w="26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6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$000’s</w:t>
            </w:r>
          </w:p>
        </w:tc>
        <w:tc>
          <w:tcPr>
            <w:tcW w:w="16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$000’s</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$000’s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rPr>
              <w:t>Advancement of development programs</w:t>
            </w:r>
          </w:p>
        </w:tc>
        <w:tc>
          <w:tcPr>
            <w:tcW w:w="2660" w:type="dxa"/>
            <w:vAlign w:val="bottom"/>
          </w:tcPr>
          <w:p>
            <w:pPr>
              <w:jc w:val="right"/>
              <w:ind w:right="499"/>
              <w:spacing w:after="0"/>
              <w:rPr>
                <w:sz w:val="20"/>
                <w:szCs w:val="20"/>
                <w:color w:val="auto"/>
              </w:rPr>
            </w:pPr>
            <w:r>
              <w:rPr>
                <w:rFonts w:ascii="Arial" w:cs="Arial" w:eastAsia="Arial" w:hAnsi="Arial"/>
                <w:sz w:val="16"/>
                <w:szCs w:val="16"/>
                <w:color w:val="auto"/>
              </w:rPr>
              <w:t>2,400</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1,892</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5,992</w:t>
            </w:r>
          </w:p>
        </w:tc>
        <w:tc>
          <w:tcPr>
            <w:tcW w:w="1600" w:type="dxa"/>
            <w:vAlign w:val="bottom"/>
          </w:tcPr>
          <w:p>
            <w:pPr>
              <w:jc w:val="right"/>
              <w:spacing w:after="0"/>
              <w:rPr>
                <w:sz w:val="20"/>
                <w:szCs w:val="20"/>
                <w:color w:val="auto"/>
              </w:rPr>
            </w:pPr>
            <w:r>
              <w:rPr>
                <w:rFonts w:ascii="Arial" w:cs="Arial" w:eastAsia="Arial" w:hAnsi="Arial"/>
                <w:sz w:val="16"/>
                <w:szCs w:val="16"/>
                <w:color w:val="auto"/>
              </w:rPr>
              <w:t>3,058</w:t>
            </w: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rPr>
              <w:t>Payroll and benefits</w:t>
            </w:r>
          </w:p>
        </w:tc>
        <w:tc>
          <w:tcPr>
            <w:tcW w:w="2660" w:type="dxa"/>
            <w:vAlign w:val="bottom"/>
          </w:tcPr>
          <w:p>
            <w:pPr>
              <w:jc w:val="right"/>
              <w:ind w:right="499"/>
              <w:spacing w:after="0"/>
              <w:rPr>
                <w:sz w:val="20"/>
                <w:szCs w:val="20"/>
                <w:color w:val="auto"/>
              </w:rPr>
            </w:pPr>
            <w:r>
              <w:rPr>
                <w:rFonts w:ascii="Arial" w:cs="Arial" w:eastAsia="Arial" w:hAnsi="Arial"/>
                <w:sz w:val="16"/>
                <w:szCs w:val="16"/>
                <w:color w:val="auto"/>
              </w:rPr>
              <w:t>2,089</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1,570</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4,116</w:t>
            </w:r>
          </w:p>
        </w:tc>
        <w:tc>
          <w:tcPr>
            <w:tcW w:w="1600" w:type="dxa"/>
            <w:vAlign w:val="bottom"/>
          </w:tcPr>
          <w:p>
            <w:pPr>
              <w:jc w:val="right"/>
              <w:spacing w:after="0"/>
              <w:rPr>
                <w:sz w:val="20"/>
                <w:szCs w:val="20"/>
                <w:color w:val="auto"/>
              </w:rPr>
            </w:pPr>
            <w:r>
              <w:rPr>
                <w:rFonts w:ascii="Arial" w:cs="Arial" w:eastAsia="Arial" w:hAnsi="Arial"/>
                <w:sz w:val="16"/>
                <w:szCs w:val="16"/>
                <w:color w:val="auto"/>
              </w:rPr>
              <w:t>2,543</w:t>
            </w: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rPr>
              <w:t>Lab and administration</w:t>
            </w:r>
          </w:p>
        </w:tc>
        <w:tc>
          <w:tcPr>
            <w:tcW w:w="2660" w:type="dxa"/>
            <w:vAlign w:val="bottom"/>
          </w:tcPr>
          <w:p>
            <w:pPr>
              <w:jc w:val="right"/>
              <w:ind w:right="499"/>
              <w:spacing w:after="0"/>
              <w:rPr>
                <w:sz w:val="20"/>
                <w:szCs w:val="20"/>
                <w:color w:val="auto"/>
              </w:rPr>
            </w:pPr>
            <w:r>
              <w:rPr>
                <w:rFonts w:ascii="Arial" w:cs="Arial" w:eastAsia="Arial" w:hAnsi="Arial"/>
                <w:sz w:val="16"/>
                <w:szCs w:val="16"/>
                <w:color w:val="auto"/>
              </w:rPr>
              <w:t>379</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60</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570</w:t>
            </w:r>
          </w:p>
        </w:tc>
        <w:tc>
          <w:tcPr>
            <w:tcW w:w="160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Professional and consulting fees</w:t>
            </w:r>
          </w:p>
        </w:tc>
        <w:tc>
          <w:tcPr>
            <w:tcW w:w="26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273</w:t>
            </w:r>
          </w:p>
        </w:tc>
        <w:tc>
          <w:tcPr>
            <w:tcW w:w="16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296</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2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5,141</w:t>
            </w:r>
          </w:p>
        </w:tc>
        <w:tc>
          <w:tcPr>
            <w:tcW w:w="16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3,818</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11,189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02" w:hanging="402"/>
        <w:spacing w:after="0"/>
        <w:tabs>
          <w:tab w:leader="none" w:pos="402" w:val="left"/>
        </w:tabs>
        <w:numPr>
          <w:ilvl w:val="0"/>
          <w:numId w:val="14"/>
        </w:numPr>
        <w:rPr>
          <w:rFonts w:ascii="Arial" w:cs="Arial" w:eastAsia="Arial" w:hAnsi="Arial"/>
          <w:sz w:val="16"/>
          <w:szCs w:val="16"/>
          <w:b w:val="1"/>
          <w:bCs w:val="1"/>
          <w:color w:val="2D5F91"/>
        </w:rPr>
      </w:pPr>
      <w:r>
        <w:rPr>
          <w:rFonts w:ascii="Arial" w:cs="Arial" w:eastAsia="Arial" w:hAnsi="Arial"/>
          <w:sz w:val="16"/>
          <w:szCs w:val="16"/>
          <w:b w:val="1"/>
          <w:bCs w:val="1"/>
          <w:color w:val="2D5F91"/>
        </w:rPr>
        <w:t>CONTRACTS AND COMMITMENTS</w:t>
      </w:r>
    </w:p>
    <w:p>
      <w:pPr>
        <w:spacing w:after="0" w:line="203" w:lineRule="exact"/>
        <w:rPr>
          <w:sz w:val="20"/>
          <w:szCs w:val="20"/>
          <w:color w:val="auto"/>
        </w:rPr>
      </w:pPr>
    </w:p>
    <w:p>
      <w:pPr>
        <w:jc w:val="both"/>
        <w:ind w:left="302"/>
        <w:spacing w:after="0" w:line="259" w:lineRule="auto"/>
        <w:rPr>
          <w:sz w:val="20"/>
          <w:szCs w:val="20"/>
          <w:color w:val="auto"/>
        </w:rPr>
      </w:pPr>
      <w:r>
        <w:rPr>
          <w:rFonts w:ascii="Arial" w:cs="Arial" w:eastAsia="Arial" w:hAnsi="Arial"/>
          <w:sz w:val="16"/>
          <w:szCs w:val="16"/>
          <w:color w:val="auto"/>
        </w:rPr>
        <w:t>As at September 30, 2022, the Company had entered into agreements for various studies which may require the Company to spend up to an additional $9,728 (US$7,097). The Company expects to pay this amount within the 15 months ending December 31, 2023,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studies.</w:t>
      </w:r>
    </w:p>
    <w:p>
      <w:pPr>
        <w:spacing w:after="0" w:line="147" w:lineRule="exact"/>
        <w:rPr>
          <w:sz w:val="20"/>
          <w:szCs w:val="20"/>
          <w:color w:val="auto"/>
        </w:rPr>
      </w:pPr>
    </w:p>
    <w:p>
      <w:pPr>
        <w:jc w:val="both"/>
        <w:ind w:left="302"/>
        <w:spacing w:after="0" w:line="257" w:lineRule="auto"/>
        <w:rPr>
          <w:sz w:val="20"/>
          <w:szCs w:val="20"/>
          <w:color w:val="auto"/>
        </w:rPr>
      </w:pPr>
      <w:r>
        <w:rPr>
          <w:rFonts w:ascii="Arial" w:cs="Arial" w:eastAsia="Arial" w:hAnsi="Arial"/>
          <w:sz w:val="16"/>
          <w:szCs w:val="16"/>
          <w:color w:val="auto"/>
        </w:rPr>
        <w:t>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$13,022 (US$9,500). At the sole discretion of Cybin, the milestones may be paid in cash or in Common Shares, or a combination thereof, subject to the approval of the Neo Exchange Inc. Due to the nature of the arrangement, the timing and probability of future potential payments cannot be determined at this time, and no accrual has been recorded. Further, there is no assurance that the aforementioned milestones will be met at all. The agreement also contemplates a sales royalty of approximately 2% for all commercialized licensed products within the scope of the agreement.</w:t>
      </w:r>
    </w:p>
    <w:p>
      <w:pPr>
        <w:spacing w:after="0" w:line="350" w:lineRule="exact"/>
        <w:rPr>
          <w:sz w:val="20"/>
          <w:szCs w:val="20"/>
          <w:color w:val="auto"/>
        </w:rPr>
      </w:pPr>
    </w:p>
    <w:p>
      <w:pPr>
        <w:ind w:left="402" w:hanging="402"/>
        <w:spacing w:after="0"/>
        <w:tabs>
          <w:tab w:leader="none" w:pos="402" w:val="left"/>
        </w:tabs>
        <w:numPr>
          <w:ilvl w:val="0"/>
          <w:numId w:val="15"/>
        </w:numPr>
        <w:rPr>
          <w:rFonts w:ascii="Arial" w:cs="Arial" w:eastAsia="Arial" w:hAnsi="Arial"/>
          <w:sz w:val="16"/>
          <w:szCs w:val="16"/>
          <w:b w:val="1"/>
          <w:bCs w:val="1"/>
          <w:color w:val="2D5F91"/>
        </w:rPr>
      </w:pPr>
      <w:r>
        <w:rPr>
          <w:rFonts w:ascii="Arial" w:cs="Arial" w:eastAsia="Arial" w:hAnsi="Arial"/>
          <w:sz w:val="16"/>
          <w:szCs w:val="16"/>
          <w:b w:val="1"/>
          <w:bCs w:val="1"/>
          <w:color w:val="2D5F91"/>
        </w:rPr>
        <w:t>CAPITAL MANAGEMENT</w:t>
      </w:r>
    </w:p>
    <w:p>
      <w:pPr>
        <w:spacing w:after="0" w:line="203" w:lineRule="exact"/>
        <w:rPr>
          <w:sz w:val="20"/>
          <w:szCs w:val="20"/>
          <w:color w:val="auto"/>
        </w:rPr>
      </w:pPr>
    </w:p>
    <w:p>
      <w:pPr>
        <w:jc w:val="both"/>
        <w:ind w:left="302"/>
        <w:spacing w:after="0" w:line="257" w:lineRule="auto"/>
        <w:rPr>
          <w:sz w:val="20"/>
          <w:szCs w:val="20"/>
          <w:color w:val="auto"/>
        </w:rPr>
      </w:pPr>
      <w:r>
        <w:rPr>
          <w:rFonts w:ascii="Arial" w:cs="Arial" w:eastAsia="Arial" w:hAnsi="Arial"/>
          <w:sz w:val="16"/>
          <w:szCs w:val="16"/>
          <w:color w:val="auto"/>
        </w:rPr>
        <w:t>The Company’s objectives when managing capital are to safeguard the Company’s ability to continue as a going concern in order to pursue business opportunities and to maintain a flexible capital structure that optimizes the costs of capital at an acceptable risk. The Company’s intentions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spacing w:after="0" w:line="150" w:lineRule="exact"/>
        <w:rPr>
          <w:sz w:val="20"/>
          <w:szCs w:val="20"/>
          <w:color w:val="auto"/>
        </w:rPr>
      </w:pPr>
    </w:p>
    <w:p>
      <w:pPr>
        <w:jc w:val="both"/>
        <w:ind w:left="302"/>
        <w:spacing w:after="0" w:line="259" w:lineRule="auto"/>
        <w:rPr>
          <w:sz w:val="20"/>
          <w:szCs w:val="20"/>
          <w:color w:val="auto"/>
        </w:rPr>
      </w:pPr>
      <w:r>
        <w:rPr>
          <w:rFonts w:ascii="Arial" w:cs="Arial" w:eastAsia="Arial" w:hAnsi="Arial"/>
          <w:sz w:val="16"/>
          <w:szCs w:val="16"/>
          <w:color w:val="auto"/>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20 of 25</w:t>
      </w:r>
    </w:p>
    <w:p>
      <w:pPr>
        <w:sectPr>
          <w:pgSz w:w="11900" w:h="16838" w:orient="portrait"/>
          <w:cols w:equalWidth="0" w:num="1">
            <w:col w:w="11242"/>
          </w:cols>
          <w:pgMar w:left="318" w:top="171" w:right="339" w:bottom="1440" w:gutter="0" w:footer="0" w:header="0"/>
        </w:sectPr>
      </w:pPr>
    </w:p>
    <w:bookmarkStart w:id="23" w:name="page24"/>
    <w:bookmarkEnd w:id="23"/>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left="62" w:right="24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56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2"/>
        <w:spacing w:after="0" w:line="269" w:lineRule="auto"/>
        <w:rPr>
          <w:sz w:val="20"/>
          <w:szCs w:val="20"/>
          <w:color w:val="auto"/>
        </w:rPr>
      </w:pPr>
      <w:r>
        <w:rPr>
          <w:rFonts w:ascii="Arial" w:cs="Arial" w:eastAsia="Arial" w:hAnsi="Arial"/>
          <w:sz w:val="16"/>
          <w:szCs w:val="16"/>
          <w:color w:val="auto"/>
        </w:rPr>
        <w:t>The Company’s capital management objectives, policies and processes generally remained unchanged during the three-month period ended September 30, 2022.</w:t>
      </w:r>
    </w:p>
    <w:p>
      <w:pPr>
        <w:spacing w:after="0" w:line="150" w:lineRule="exact"/>
        <w:rPr>
          <w:sz w:val="20"/>
          <w:szCs w:val="20"/>
          <w:color w:val="auto"/>
        </w:rPr>
      </w:pPr>
    </w:p>
    <w:p>
      <w:pPr>
        <w:ind w:left="302"/>
        <w:spacing w:after="0" w:line="269" w:lineRule="auto"/>
        <w:rPr>
          <w:sz w:val="20"/>
          <w:szCs w:val="20"/>
          <w:color w:val="auto"/>
        </w:rPr>
      </w:pPr>
      <w:r>
        <w:rPr>
          <w:rFonts w:ascii="Arial" w:cs="Arial" w:eastAsia="Arial" w:hAnsi="Arial"/>
          <w:sz w:val="16"/>
          <w:szCs w:val="16"/>
          <w:color w:val="auto"/>
        </w:rPr>
        <w:t>The Company requires capital to fund existing and future operations and meet regulatory capital requirements. The Company’s policy is to maintain adequate levels of capital at all times.</w:t>
      </w:r>
    </w:p>
    <w:p>
      <w:pPr>
        <w:spacing w:after="0" w:line="137" w:lineRule="exact"/>
        <w:rPr>
          <w:sz w:val="20"/>
          <w:szCs w:val="20"/>
          <w:color w:val="auto"/>
        </w:rPr>
      </w:pPr>
    </w:p>
    <w:tbl>
      <w:tblPr>
        <w:tblLayout w:type="fixed"/>
        <w:tblInd w:w="302" w:type="dxa"/>
        <w:tblCellMar>
          <w:top w:w="0" w:type="dxa"/>
          <w:left w:w="0" w:type="dxa"/>
          <w:bottom w:w="0" w:type="dxa"/>
          <w:right w:w="0" w:type="dxa"/>
        </w:tblCellMar>
      </w:tblPr>
      <w:tr>
        <w:trPr>
          <w:trHeight w:val="195"/>
        </w:trPr>
        <w:tc>
          <w:tcPr>
            <w:tcW w:w="5500" w:type="dxa"/>
            <w:vAlign w:val="bottom"/>
          </w:tcPr>
          <w:p>
            <w:pPr>
              <w:spacing w:after="0"/>
              <w:rPr>
                <w:sz w:val="20"/>
                <w:szCs w:val="20"/>
                <w:color w:val="auto"/>
              </w:rPr>
            </w:pPr>
            <w:r>
              <w:rPr>
                <w:rFonts w:ascii="Arial" w:cs="Arial" w:eastAsia="Arial" w:hAnsi="Arial"/>
                <w:sz w:val="16"/>
                <w:szCs w:val="16"/>
                <w:color w:val="auto"/>
              </w:rPr>
              <w:t>The Company’s capital structure includes the following:</w:t>
            </w:r>
          </w:p>
        </w:tc>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550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3420" w:type="dxa"/>
            <w:vAlign w:val="bottom"/>
          </w:tcPr>
          <w:p>
            <w:pPr>
              <w:jc w:val="right"/>
              <w:ind w:right="279"/>
              <w:spacing w:after="0"/>
              <w:rPr>
                <w:sz w:val="20"/>
                <w:szCs w:val="20"/>
                <w:color w:val="auto"/>
              </w:rPr>
            </w:pPr>
            <w:r>
              <w:rPr>
                <w:rFonts w:ascii="Arial" w:cs="Arial" w:eastAsia="Arial" w:hAnsi="Arial"/>
                <w:sz w:val="16"/>
                <w:szCs w:val="16"/>
                <w:b w:val="1"/>
                <w:bCs w:val="1"/>
                <w:color w:val="auto"/>
              </w:rPr>
              <w:t>September 30, 2022</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$000’s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199"/>
        </w:trPr>
        <w:tc>
          <w:tcPr>
            <w:tcW w:w="5500" w:type="dxa"/>
            <w:vAlign w:val="bottom"/>
          </w:tcPr>
          <w:p>
            <w:pPr>
              <w:ind w:left="60"/>
              <w:spacing w:after="0"/>
              <w:rPr>
                <w:sz w:val="20"/>
                <w:szCs w:val="20"/>
                <w:color w:val="auto"/>
              </w:rPr>
            </w:pPr>
            <w:r>
              <w:rPr>
                <w:rFonts w:ascii="Arial" w:cs="Arial" w:eastAsia="Arial" w:hAnsi="Arial"/>
                <w:sz w:val="16"/>
                <w:szCs w:val="16"/>
                <w:color w:val="auto"/>
              </w:rPr>
              <w:t>Shareholders’ equity comprised of:</w:t>
            </w:r>
          </w:p>
        </w:tc>
        <w:tc>
          <w:tcPr>
            <w:tcW w:w="34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149,558</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00" w:type="dxa"/>
            <w:vAlign w:val="bottom"/>
          </w:tcPr>
          <w:p>
            <w:pPr>
              <w:ind w:left="160"/>
              <w:spacing w:after="0"/>
              <w:rPr>
                <w:sz w:val="20"/>
                <w:szCs w:val="20"/>
                <w:color w:val="auto"/>
              </w:rPr>
            </w:pPr>
            <w:r>
              <w:rPr>
                <w:rFonts w:ascii="Arial" w:cs="Arial" w:eastAsia="Arial" w:hAnsi="Arial"/>
                <w:sz w:val="16"/>
                <w:szCs w:val="16"/>
                <w:color w:val="auto"/>
              </w:rPr>
              <w:t>Share capital</w:t>
            </w:r>
          </w:p>
        </w:tc>
        <w:tc>
          <w:tcPr>
            <w:tcW w:w="3420" w:type="dxa"/>
            <w:vAlign w:val="bottom"/>
            <w:vMerge w:val="continue"/>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141,451</w:t>
            </w:r>
          </w:p>
        </w:tc>
        <w:tc>
          <w:tcPr>
            <w:tcW w:w="0" w:type="dxa"/>
            <w:vAlign w:val="bottom"/>
          </w:tcPr>
          <w:p>
            <w:pPr>
              <w:spacing w:after="0"/>
              <w:rPr>
                <w:sz w:val="1"/>
                <w:szCs w:val="1"/>
                <w:color w:val="auto"/>
              </w:rPr>
            </w:pPr>
          </w:p>
        </w:tc>
      </w:tr>
      <w:tr>
        <w:trPr>
          <w:trHeight w:val="208"/>
        </w:trPr>
        <w:tc>
          <w:tcPr>
            <w:tcW w:w="5500" w:type="dxa"/>
            <w:vAlign w:val="bottom"/>
          </w:tcPr>
          <w:p>
            <w:pPr>
              <w:ind w:left="160"/>
              <w:spacing w:after="0"/>
              <w:rPr>
                <w:sz w:val="20"/>
                <w:szCs w:val="20"/>
                <w:color w:val="auto"/>
              </w:rPr>
            </w:pPr>
            <w:r>
              <w:rPr>
                <w:rFonts w:ascii="Arial" w:cs="Arial" w:eastAsia="Arial" w:hAnsi="Arial"/>
                <w:sz w:val="16"/>
                <w:szCs w:val="16"/>
                <w:color w:val="auto"/>
              </w:rPr>
              <w:t>Contributed surplus</w:t>
            </w:r>
          </w:p>
        </w:tc>
        <w:tc>
          <w:tcPr>
            <w:tcW w:w="3420" w:type="dxa"/>
            <w:vAlign w:val="bottom"/>
          </w:tcPr>
          <w:p>
            <w:pPr>
              <w:jc w:val="right"/>
              <w:ind w:right="279"/>
              <w:spacing w:after="0"/>
              <w:rPr>
                <w:sz w:val="20"/>
                <w:szCs w:val="20"/>
                <w:color w:val="auto"/>
              </w:rPr>
            </w:pPr>
            <w:r>
              <w:rPr>
                <w:rFonts w:ascii="Arial" w:cs="Arial" w:eastAsia="Arial" w:hAnsi="Arial"/>
                <w:sz w:val="16"/>
                <w:szCs w:val="16"/>
                <w:b w:val="1"/>
                <w:bCs w:val="1"/>
                <w:color w:val="auto"/>
              </w:rPr>
              <w:t>694</w:t>
            </w:r>
          </w:p>
        </w:tc>
        <w:tc>
          <w:tcPr>
            <w:tcW w:w="160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8"/>
        </w:trPr>
        <w:tc>
          <w:tcPr>
            <w:tcW w:w="5500" w:type="dxa"/>
            <w:vAlign w:val="bottom"/>
          </w:tcPr>
          <w:p>
            <w:pPr>
              <w:ind w:left="160"/>
              <w:spacing w:after="0"/>
              <w:rPr>
                <w:sz w:val="20"/>
                <w:szCs w:val="20"/>
                <w:color w:val="auto"/>
              </w:rPr>
            </w:pPr>
            <w:r>
              <w:rPr>
                <w:rFonts w:ascii="Arial" w:cs="Arial" w:eastAsia="Arial" w:hAnsi="Arial"/>
                <w:sz w:val="16"/>
                <w:szCs w:val="16"/>
                <w:color w:val="auto"/>
              </w:rPr>
              <w:t>Options reserve</w:t>
            </w:r>
          </w:p>
        </w:tc>
        <w:tc>
          <w:tcPr>
            <w:tcW w:w="3420" w:type="dxa"/>
            <w:vAlign w:val="bottom"/>
          </w:tcPr>
          <w:p>
            <w:pPr>
              <w:jc w:val="right"/>
              <w:ind w:right="279"/>
              <w:spacing w:after="0"/>
              <w:rPr>
                <w:sz w:val="20"/>
                <w:szCs w:val="20"/>
                <w:color w:val="auto"/>
              </w:rPr>
            </w:pPr>
            <w:r>
              <w:rPr>
                <w:rFonts w:ascii="Arial" w:cs="Arial" w:eastAsia="Arial" w:hAnsi="Arial"/>
                <w:sz w:val="16"/>
                <w:szCs w:val="16"/>
                <w:b w:val="1"/>
                <w:bCs w:val="1"/>
                <w:color w:val="auto"/>
              </w:rPr>
              <w:t>26,835</w:t>
            </w:r>
          </w:p>
        </w:tc>
        <w:tc>
          <w:tcPr>
            <w:tcW w:w="1600" w:type="dxa"/>
            <w:vAlign w:val="bottom"/>
          </w:tcPr>
          <w:p>
            <w:pPr>
              <w:jc w:val="right"/>
              <w:spacing w:after="0"/>
              <w:rPr>
                <w:sz w:val="20"/>
                <w:szCs w:val="20"/>
                <w:color w:val="auto"/>
              </w:rPr>
            </w:pPr>
            <w:r>
              <w:rPr>
                <w:rFonts w:ascii="Arial" w:cs="Arial" w:eastAsia="Arial" w:hAnsi="Arial"/>
                <w:sz w:val="16"/>
                <w:szCs w:val="16"/>
                <w:color w:val="auto"/>
              </w:rPr>
              <w:t>23,783</w:t>
            </w:r>
          </w:p>
        </w:tc>
        <w:tc>
          <w:tcPr>
            <w:tcW w:w="0" w:type="dxa"/>
            <w:vAlign w:val="bottom"/>
          </w:tcPr>
          <w:p>
            <w:pPr>
              <w:spacing w:after="0"/>
              <w:rPr>
                <w:sz w:val="1"/>
                <w:szCs w:val="1"/>
                <w:color w:val="auto"/>
              </w:rPr>
            </w:pPr>
          </w:p>
        </w:tc>
      </w:tr>
      <w:tr>
        <w:trPr>
          <w:trHeight w:val="208"/>
        </w:trPr>
        <w:tc>
          <w:tcPr>
            <w:tcW w:w="5500" w:type="dxa"/>
            <w:vAlign w:val="bottom"/>
          </w:tcPr>
          <w:p>
            <w:pPr>
              <w:ind w:left="160"/>
              <w:spacing w:after="0"/>
              <w:rPr>
                <w:sz w:val="20"/>
                <w:szCs w:val="20"/>
                <w:color w:val="auto"/>
              </w:rPr>
            </w:pPr>
            <w:r>
              <w:rPr>
                <w:rFonts w:ascii="Arial" w:cs="Arial" w:eastAsia="Arial" w:hAnsi="Arial"/>
                <w:sz w:val="16"/>
                <w:szCs w:val="16"/>
                <w:color w:val="auto"/>
              </w:rPr>
              <w:t>Warrants reserve</w:t>
            </w:r>
          </w:p>
        </w:tc>
        <w:tc>
          <w:tcPr>
            <w:tcW w:w="3420" w:type="dxa"/>
            <w:vAlign w:val="bottom"/>
          </w:tcPr>
          <w:p>
            <w:pPr>
              <w:jc w:val="right"/>
              <w:ind w:right="279"/>
              <w:spacing w:after="0"/>
              <w:rPr>
                <w:sz w:val="20"/>
                <w:szCs w:val="20"/>
                <w:color w:val="auto"/>
              </w:rPr>
            </w:pPr>
            <w:r>
              <w:rPr>
                <w:rFonts w:ascii="Arial" w:cs="Arial" w:eastAsia="Arial" w:hAnsi="Arial"/>
                <w:sz w:val="16"/>
                <w:szCs w:val="16"/>
                <w:b w:val="1"/>
                <w:bCs w:val="1"/>
                <w:color w:val="auto"/>
              </w:rPr>
              <w:t>11,270</w:t>
            </w:r>
          </w:p>
        </w:tc>
        <w:tc>
          <w:tcPr>
            <w:tcW w:w="1600" w:type="dxa"/>
            <w:vAlign w:val="bottom"/>
          </w:tcPr>
          <w:p>
            <w:pPr>
              <w:jc w:val="right"/>
              <w:spacing w:after="0"/>
              <w:rPr>
                <w:sz w:val="20"/>
                <w:szCs w:val="20"/>
                <w:color w:val="auto"/>
              </w:rPr>
            </w:pPr>
            <w:r>
              <w:rPr>
                <w:rFonts w:ascii="Arial" w:cs="Arial" w:eastAsia="Arial" w:hAnsi="Arial"/>
                <w:sz w:val="16"/>
                <w:szCs w:val="16"/>
                <w:color w:val="auto"/>
              </w:rPr>
              <w:t>11,423</w:t>
            </w:r>
          </w:p>
        </w:tc>
        <w:tc>
          <w:tcPr>
            <w:tcW w:w="0" w:type="dxa"/>
            <w:vAlign w:val="bottom"/>
          </w:tcPr>
          <w:p>
            <w:pPr>
              <w:spacing w:after="0"/>
              <w:rPr>
                <w:sz w:val="1"/>
                <w:szCs w:val="1"/>
                <w:color w:val="auto"/>
              </w:rPr>
            </w:pPr>
          </w:p>
        </w:tc>
      </w:tr>
      <w:tr>
        <w:trPr>
          <w:trHeight w:val="208"/>
        </w:trPr>
        <w:tc>
          <w:tcPr>
            <w:tcW w:w="550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3420" w:type="dxa"/>
            <w:vAlign w:val="bottom"/>
          </w:tcPr>
          <w:p>
            <w:pPr>
              <w:jc w:val="right"/>
              <w:ind w:right="279"/>
              <w:spacing w:after="0"/>
              <w:rPr>
                <w:sz w:val="20"/>
                <w:szCs w:val="20"/>
                <w:color w:val="auto"/>
              </w:rPr>
            </w:pPr>
            <w:r>
              <w:rPr>
                <w:rFonts w:ascii="Arial" w:cs="Arial" w:eastAsia="Arial" w:hAnsi="Arial"/>
                <w:sz w:val="16"/>
                <w:szCs w:val="16"/>
                <w:b w:val="1"/>
                <w:bCs w:val="1"/>
                <w:color w:val="auto"/>
              </w:rPr>
              <w:t>(437)</w:t>
            </w:r>
          </w:p>
        </w:tc>
        <w:tc>
          <w:tcPr>
            <w:tcW w:w="160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Deficit</w:t>
            </w:r>
          </w:p>
        </w:tc>
        <w:tc>
          <w:tcPr>
            <w:tcW w:w="3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(123,689)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(100,661)</w:t>
            </w:r>
          </w:p>
        </w:tc>
        <w:tc>
          <w:tcPr>
            <w:tcW w:w="0" w:type="dxa"/>
            <w:vAlign w:val="bottom"/>
          </w:tcPr>
          <w:p>
            <w:pPr>
              <w:spacing w:after="0"/>
              <w:rPr>
                <w:sz w:val="1"/>
                <w:szCs w:val="1"/>
                <w:color w:val="auto"/>
              </w:rPr>
            </w:pPr>
          </w:p>
        </w:tc>
      </w:tr>
      <w:tr>
        <w:trPr>
          <w:trHeight w:val="200"/>
        </w:trPr>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3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64,231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76,155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02" w:hanging="402"/>
        <w:spacing w:after="0"/>
        <w:tabs>
          <w:tab w:leader="none" w:pos="402" w:val="left"/>
        </w:tabs>
        <w:numPr>
          <w:ilvl w:val="0"/>
          <w:numId w:val="16"/>
        </w:numPr>
        <w:rPr>
          <w:rFonts w:ascii="Arial" w:cs="Arial" w:eastAsia="Arial" w:hAnsi="Arial"/>
          <w:sz w:val="16"/>
          <w:szCs w:val="16"/>
          <w:b w:val="1"/>
          <w:bCs w:val="1"/>
          <w:color w:val="2D5F91"/>
        </w:rPr>
      </w:pPr>
      <w:r>
        <w:rPr>
          <w:rFonts w:ascii="Arial" w:cs="Arial" w:eastAsia="Arial" w:hAnsi="Arial"/>
          <w:sz w:val="16"/>
          <w:szCs w:val="16"/>
          <w:b w:val="1"/>
          <w:bCs w:val="1"/>
          <w:color w:val="2D5F91"/>
        </w:rPr>
        <w:t>FINANCIAL INSTRUMENTS</w:t>
      </w:r>
    </w:p>
    <w:p>
      <w:pPr>
        <w:spacing w:after="0" w:line="20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The Company’s financial instruments are exposed to certain financial risks, which include currency risk, credit risk, liquidity risk and interest rate risk.</w:t>
      </w:r>
    </w:p>
    <w:p>
      <w:pPr>
        <w:spacing w:after="0" w:line="170" w:lineRule="exact"/>
        <w:rPr>
          <w:sz w:val="20"/>
          <w:szCs w:val="20"/>
          <w:color w:val="auto"/>
        </w:rPr>
      </w:pPr>
    </w:p>
    <w:tbl>
      <w:tblPr>
        <w:tblLayout w:type="fixed"/>
        <w:tblInd w:w="302" w:type="dxa"/>
        <w:tblCellMar>
          <w:top w:w="0" w:type="dxa"/>
          <w:left w:w="0" w:type="dxa"/>
          <w:bottom w:w="0" w:type="dxa"/>
          <w:right w:w="0" w:type="dxa"/>
        </w:tblCellMar>
      </w:tblPr>
      <w:tr>
        <w:trPr>
          <w:trHeight w:val="195"/>
        </w:trPr>
        <w:tc>
          <w:tcPr>
            <w:tcW w:w="5880" w:type="dxa"/>
            <w:vAlign w:val="bottom"/>
          </w:tcPr>
          <w:p>
            <w:pPr>
              <w:spacing w:after="0"/>
              <w:rPr>
                <w:sz w:val="20"/>
                <w:szCs w:val="20"/>
                <w:color w:val="auto"/>
              </w:rPr>
            </w:pPr>
            <w:r>
              <w:rPr>
                <w:rFonts w:ascii="Arial" w:cs="Arial" w:eastAsia="Arial" w:hAnsi="Arial"/>
                <w:sz w:val="16"/>
                <w:szCs w:val="16"/>
                <w:color w:val="auto"/>
              </w:rPr>
              <w:t>The Company has classified its financial instruments as follows:</w:t>
            </w:r>
          </w:p>
        </w:tc>
        <w:tc>
          <w:tcPr>
            <w:tcW w:w="3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588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3140" w:type="dxa"/>
            <w:vAlign w:val="bottom"/>
          </w:tcPr>
          <w:p>
            <w:pPr>
              <w:jc w:val="right"/>
              <w:ind w:right="261"/>
              <w:spacing w:after="0"/>
              <w:rPr>
                <w:sz w:val="20"/>
                <w:szCs w:val="20"/>
                <w:color w:val="auto"/>
              </w:rPr>
            </w:pPr>
            <w:r>
              <w:rPr>
                <w:rFonts w:ascii="Arial" w:cs="Arial" w:eastAsia="Arial" w:hAnsi="Arial"/>
                <w:sz w:val="16"/>
                <w:szCs w:val="16"/>
                <w:b w:val="1"/>
                <w:bCs w:val="1"/>
                <w:color w:val="auto"/>
              </w:rPr>
              <w:t>September 30, 2022</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$000’s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208"/>
        </w:trPr>
        <w:tc>
          <w:tcPr>
            <w:tcW w:w="5880" w:type="dxa"/>
            <w:vAlign w:val="bottom"/>
          </w:tcPr>
          <w:p>
            <w:pPr>
              <w:ind w:left="60"/>
              <w:spacing w:after="0"/>
              <w:rPr>
                <w:sz w:val="20"/>
                <w:szCs w:val="20"/>
                <w:color w:val="auto"/>
              </w:rPr>
            </w:pPr>
            <w:r>
              <w:rPr>
                <w:rFonts w:ascii="Arial" w:cs="Arial" w:eastAsia="Arial" w:hAnsi="Arial"/>
                <w:sz w:val="16"/>
                <w:szCs w:val="16"/>
                <w:b w:val="1"/>
                <w:bCs w:val="1"/>
                <w:color w:val="auto"/>
              </w:rPr>
              <w:t>Financial assets, measured at fair value:</w:t>
            </w:r>
          </w:p>
        </w:tc>
        <w:tc>
          <w:tcPr>
            <w:tcW w:w="314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rPr>
              <w:t>29,937</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80" w:type="dxa"/>
            <w:vAlign w:val="bottom"/>
          </w:tcPr>
          <w:p>
            <w:pPr>
              <w:ind w:left="160"/>
              <w:spacing w:after="0"/>
              <w:rPr>
                <w:sz w:val="20"/>
                <w:szCs w:val="20"/>
                <w:color w:val="auto"/>
              </w:rPr>
            </w:pPr>
            <w:r>
              <w:rPr>
                <w:rFonts w:ascii="Arial" w:cs="Arial" w:eastAsia="Arial" w:hAnsi="Arial"/>
                <w:sz w:val="16"/>
                <w:szCs w:val="16"/>
                <w:color w:val="auto"/>
              </w:rPr>
              <w:t>Cash</w:t>
            </w:r>
          </w:p>
        </w:tc>
        <w:tc>
          <w:tcPr>
            <w:tcW w:w="3140" w:type="dxa"/>
            <w:vAlign w:val="bottom"/>
            <w:vMerge w:val="continue"/>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53,641</w:t>
            </w:r>
          </w:p>
        </w:tc>
        <w:tc>
          <w:tcPr>
            <w:tcW w:w="0" w:type="dxa"/>
            <w:vAlign w:val="bottom"/>
          </w:tcPr>
          <w:p>
            <w:pPr>
              <w:spacing w:after="0"/>
              <w:rPr>
                <w:sz w:val="1"/>
                <w:szCs w:val="1"/>
                <w:color w:val="auto"/>
              </w:rPr>
            </w:pPr>
          </w:p>
        </w:tc>
      </w:tr>
      <w:tr>
        <w:trPr>
          <w:trHeight w:val="208"/>
        </w:trPr>
        <w:tc>
          <w:tcPr>
            <w:tcW w:w="5880" w:type="dxa"/>
            <w:vAlign w:val="bottom"/>
          </w:tcPr>
          <w:p>
            <w:pPr>
              <w:ind w:left="160"/>
              <w:spacing w:after="0"/>
              <w:rPr>
                <w:sz w:val="20"/>
                <w:szCs w:val="20"/>
                <w:color w:val="auto"/>
              </w:rPr>
            </w:pPr>
            <w:r>
              <w:rPr>
                <w:rFonts w:ascii="Arial" w:cs="Arial" w:eastAsia="Arial" w:hAnsi="Arial"/>
                <w:sz w:val="16"/>
                <w:szCs w:val="16"/>
                <w:color w:val="auto"/>
              </w:rPr>
              <w:t>Investments</w:t>
            </w:r>
          </w:p>
        </w:tc>
        <w:tc>
          <w:tcPr>
            <w:tcW w:w="3140" w:type="dxa"/>
            <w:vAlign w:val="bottom"/>
          </w:tcPr>
          <w:p>
            <w:pPr>
              <w:jc w:val="right"/>
              <w:ind w:right="261"/>
              <w:spacing w:after="0"/>
              <w:rPr>
                <w:sz w:val="20"/>
                <w:szCs w:val="20"/>
                <w:color w:val="auto"/>
              </w:rPr>
            </w:pPr>
            <w:r>
              <w:rPr>
                <w:rFonts w:ascii="Arial" w:cs="Arial" w:eastAsia="Arial" w:hAnsi="Arial"/>
                <w:sz w:val="16"/>
                <w:szCs w:val="16"/>
                <w:b w:val="1"/>
                <w:bCs w:val="1"/>
                <w:color w:val="auto"/>
              </w:rPr>
              <w:t>278</w:t>
            </w:r>
          </w:p>
        </w:tc>
        <w:tc>
          <w:tcPr>
            <w:tcW w:w="154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5"/>
        </w:trPr>
        <w:tc>
          <w:tcPr>
            <w:tcW w:w="5880" w:type="dxa"/>
            <w:vAlign w:val="bottom"/>
          </w:tcPr>
          <w:p>
            <w:pPr>
              <w:ind w:left="60"/>
              <w:spacing w:after="0"/>
              <w:rPr>
                <w:sz w:val="20"/>
                <w:szCs w:val="20"/>
                <w:color w:val="auto"/>
              </w:rPr>
            </w:pPr>
            <w:r>
              <w:rPr>
                <w:rFonts w:ascii="Arial" w:cs="Arial" w:eastAsia="Arial" w:hAnsi="Arial"/>
                <w:sz w:val="16"/>
                <w:szCs w:val="16"/>
                <w:b w:val="1"/>
                <w:bCs w:val="1"/>
                <w:color w:val="auto"/>
              </w:rPr>
              <w:t>Financial assets, measured at amortized cost:</w:t>
            </w:r>
          </w:p>
        </w:tc>
        <w:tc>
          <w:tcPr>
            <w:tcW w:w="314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430</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88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3140" w:type="dxa"/>
            <w:vAlign w:val="bottom"/>
            <w:vMerge w:val="continue"/>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5"/>
        </w:trPr>
        <w:tc>
          <w:tcPr>
            <w:tcW w:w="5880" w:type="dxa"/>
            <w:vAlign w:val="bottom"/>
          </w:tcPr>
          <w:p>
            <w:pPr>
              <w:ind w:left="60"/>
              <w:spacing w:after="0"/>
              <w:rPr>
                <w:sz w:val="20"/>
                <w:szCs w:val="20"/>
                <w:color w:val="auto"/>
              </w:rPr>
            </w:pPr>
            <w:r>
              <w:rPr>
                <w:rFonts w:ascii="Arial" w:cs="Arial" w:eastAsia="Arial" w:hAnsi="Arial"/>
                <w:sz w:val="16"/>
                <w:szCs w:val="16"/>
                <w:b w:val="1"/>
                <w:bCs w:val="1"/>
                <w:color w:val="auto"/>
              </w:rPr>
              <w:t>Financial liabilities, measured at fair value:</w:t>
            </w:r>
          </w:p>
        </w:tc>
        <w:tc>
          <w:tcPr>
            <w:tcW w:w="3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ind w:left="140"/>
              <w:spacing w:after="0"/>
              <w:rPr>
                <w:sz w:val="20"/>
                <w:szCs w:val="20"/>
                <w:color w:val="auto"/>
              </w:rPr>
            </w:pPr>
            <w:r>
              <w:rPr>
                <w:rFonts w:ascii="Arial" w:cs="Arial" w:eastAsia="Arial" w:hAnsi="Arial"/>
                <w:sz w:val="16"/>
                <w:szCs w:val="16"/>
                <w:color w:val="auto"/>
              </w:rPr>
              <w:t>Contingent consideration payable</w:t>
            </w:r>
          </w:p>
        </w:tc>
        <w:tc>
          <w:tcPr>
            <w:tcW w:w="3140" w:type="dxa"/>
            <w:vAlign w:val="bottom"/>
          </w:tcPr>
          <w:p>
            <w:pPr>
              <w:jc w:val="right"/>
              <w:ind w:right="241"/>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18"/>
        </w:trPr>
        <w:tc>
          <w:tcPr>
            <w:tcW w:w="5880" w:type="dxa"/>
            <w:vAlign w:val="bottom"/>
          </w:tcPr>
          <w:p>
            <w:pPr>
              <w:ind w:left="60"/>
              <w:spacing w:after="0"/>
              <w:rPr>
                <w:sz w:val="20"/>
                <w:szCs w:val="20"/>
                <w:color w:val="auto"/>
              </w:rPr>
            </w:pPr>
            <w:r>
              <w:rPr>
                <w:rFonts w:ascii="Arial" w:cs="Arial" w:eastAsia="Arial" w:hAnsi="Arial"/>
                <w:sz w:val="16"/>
                <w:szCs w:val="16"/>
                <w:b w:val="1"/>
                <w:bCs w:val="1"/>
                <w:color w:val="auto"/>
              </w:rPr>
              <w:t>Financial liabilities, measured at amortized cost:</w:t>
            </w:r>
          </w:p>
        </w:tc>
        <w:tc>
          <w:tcPr>
            <w:tcW w:w="314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4,882</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314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carrying value of the Company’s financial instruments approximate their fair value.</w:t>
      </w:r>
    </w:p>
    <w:p>
      <w:pPr>
        <w:spacing w:after="0" w:line="163" w:lineRule="exact"/>
        <w:rPr>
          <w:sz w:val="20"/>
          <w:szCs w:val="20"/>
          <w:color w:val="auto"/>
        </w:rPr>
      </w:pPr>
    </w:p>
    <w:p>
      <w:pPr>
        <w:ind w:left="302"/>
        <w:spacing w:after="0"/>
        <w:rPr>
          <w:sz w:val="20"/>
          <w:szCs w:val="20"/>
          <w:color w:val="auto"/>
        </w:rPr>
      </w:pPr>
      <w:r>
        <w:rPr>
          <w:rFonts w:ascii="Arial" w:cs="Arial" w:eastAsia="Arial" w:hAnsi="Arial"/>
          <w:sz w:val="16"/>
          <w:szCs w:val="16"/>
          <w:b w:val="1"/>
          <w:bCs w:val="1"/>
          <w:u w:val="single" w:color="auto"/>
          <w:color w:val="auto"/>
        </w:rPr>
        <w:t>Fair value Hierarchy of Financial Instruments</w:t>
      </w:r>
    </w:p>
    <w:p>
      <w:pPr>
        <w:spacing w:after="0" w:line="190" w:lineRule="exact"/>
        <w:rPr>
          <w:sz w:val="20"/>
          <w:szCs w:val="20"/>
          <w:color w:val="auto"/>
        </w:rPr>
      </w:pPr>
    </w:p>
    <w:p>
      <w:pPr>
        <w:ind w:left="302"/>
        <w:spacing w:after="0" w:line="269" w:lineRule="auto"/>
        <w:rPr>
          <w:sz w:val="20"/>
          <w:szCs w:val="20"/>
          <w:color w:val="auto"/>
        </w:rPr>
      </w:pPr>
      <w:r>
        <w:rPr>
          <w:rFonts w:ascii="Arial" w:cs="Arial" w:eastAsia="Arial" w:hAnsi="Arial"/>
          <w:sz w:val="16"/>
          <w:szCs w:val="16"/>
          <w:color w:val="auto"/>
        </w:rPr>
        <w:t>The Company has categorized its financial instruments that are carried at fair value, based on the priority of the inputs to the valuation techniques used to measure fair value, into a three-level fair value hierarchy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21 of 25</w:t>
      </w:r>
    </w:p>
    <w:p>
      <w:pPr>
        <w:sectPr>
          <w:pgSz w:w="11900" w:h="16838" w:orient="portrait"/>
          <w:cols w:equalWidth="0" w:num="1">
            <w:col w:w="11242"/>
          </w:cols>
          <w:pgMar w:left="318" w:top="171"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27305</wp:posOffset>
            </wp:positionV>
            <wp:extent cx="714565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240"/>
        <w:spacing w:after="0" w:line="269" w:lineRule="auto"/>
        <w:rPr>
          <w:sz w:val="20"/>
          <w:szCs w:val="20"/>
          <w:color w:val="auto"/>
        </w:rPr>
      </w:pPr>
      <w:r>
        <w:rPr>
          <w:rFonts w:ascii="Arial" w:cs="Arial" w:eastAsia="Arial" w:hAnsi="Arial"/>
          <w:sz w:val="16"/>
          <w:szCs w:val="16"/>
          <w:color w:val="auto"/>
        </w:rPr>
        <w:t>Level 1: Fair value is based on unadjusted quoted prices for identical assets or liabilities in an active market. The types of assets and liabilities classified as Level 1 generally included cash.</w:t>
      </w:r>
    </w:p>
    <w:p>
      <w:pPr>
        <w:spacing w:after="0" w:line="150"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w:t>
      </w:r>
    </w:p>
    <w:p>
      <w:pPr>
        <w:spacing w:after="0" w:line="143"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The investments and the contingent liabilities are classified as Level 3.</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There were no transfers between levels of the fair value hierarchy for the three and six months ended September 30, 2022.</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changes in level 3 financial instruments for the six-month period ended September 30, 2022.</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$000’s</w:t>
            </w:r>
          </w:p>
        </w:tc>
      </w:tr>
      <w:tr>
        <w:trPr>
          <w:trHeight w:val="25"/>
        </w:trPr>
        <w:tc>
          <w:tcPr>
            <w:tcW w:w="79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199"/>
        </w:trPr>
        <w:tc>
          <w:tcPr>
            <w:tcW w:w="7920" w:type="dxa"/>
            <w:vAlign w:val="bottom"/>
          </w:tcPr>
          <w:p>
            <w:pPr>
              <w:spacing w:after="0"/>
              <w:rPr>
                <w:sz w:val="20"/>
                <w:szCs w:val="20"/>
                <w:color w:val="auto"/>
              </w:rPr>
            </w:pPr>
            <w:r>
              <w:rPr>
                <w:rFonts w:ascii="Arial" w:cs="Arial" w:eastAsia="Arial" w:hAnsi="Arial"/>
                <w:sz w:val="16"/>
                <w:szCs w:val="16"/>
                <w:color w:val="auto"/>
              </w:rPr>
              <w:t>Balance as at March 31, 2022</w:t>
            </w:r>
          </w:p>
        </w:tc>
        <w:tc>
          <w:tcPr>
            <w:tcW w:w="268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57"/>
        </w:trPr>
        <w:tc>
          <w:tcPr>
            <w:tcW w:w="7920" w:type="dxa"/>
            <w:vAlign w:val="bottom"/>
          </w:tcPr>
          <w:p>
            <w:pPr>
              <w:spacing w:after="0"/>
              <w:rPr>
                <w:sz w:val="20"/>
                <w:szCs w:val="20"/>
                <w:color w:val="auto"/>
              </w:rPr>
            </w:pPr>
            <w:r>
              <w:rPr>
                <w:rFonts w:ascii="Arial" w:cs="Arial" w:eastAsia="Arial" w:hAnsi="Arial"/>
                <w:sz w:val="16"/>
                <w:szCs w:val="16"/>
                <w:color w:val="auto"/>
              </w:rPr>
              <w:t>Interest income</w:t>
            </w:r>
          </w:p>
        </w:tc>
        <w:tc>
          <w:tcPr>
            <w:tcW w:w="26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8"/>
        </w:trPr>
        <w:tc>
          <w:tcPr>
            <w:tcW w:w="7920" w:type="dxa"/>
            <w:vAlign w:val="bottom"/>
          </w:tcPr>
          <w:p>
            <w:pPr>
              <w:spacing w:after="0"/>
              <w:rPr>
                <w:sz w:val="20"/>
                <w:szCs w:val="20"/>
                <w:color w:val="auto"/>
              </w:rPr>
            </w:pPr>
            <w:r>
              <w:rPr>
                <w:rFonts w:ascii="Arial" w:cs="Arial" w:eastAsia="Arial" w:hAnsi="Arial"/>
                <w:sz w:val="16"/>
                <w:szCs w:val="16"/>
                <w:color w:val="auto"/>
              </w:rPr>
              <w:t>Change in fair value of investments measured at fair value through profit or loss</w:t>
            </w:r>
          </w:p>
        </w:tc>
        <w:tc>
          <w:tcPr>
            <w:tcW w:w="26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
        </w:trPr>
        <w:tc>
          <w:tcPr>
            <w:tcW w:w="79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17"/>
        </w:trPr>
        <w:tc>
          <w:tcPr>
            <w:tcW w:w="7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at September 30, 2022</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w:t>
            </w:r>
          </w:p>
        </w:tc>
      </w:tr>
    </w:tbl>
    <w:p>
      <w:pPr>
        <w:spacing w:after="0" w:line="2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quantitative information about the significant unobservable inputs used in level 3 fair value measurements:</w:t>
      </w:r>
    </w:p>
    <w:p>
      <w:pPr>
        <w:spacing w:after="0" w:line="211"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 as at</w:t>
            </w:r>
          </w:p>
        </w:tc>
        <w:tc>
          <w:tcPr>
            <w:tcW w:w="1240" w:type="dxa"/>
            <w:vAlign w:val="bottom"/>
            <w:tcBorders>
              <w:bottom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60" w:type="dxa"/>
            <w:vAlign w:val="bottom"/>
          </w:tcPr>
          <w:p>
            <w:pPr>
              <w:spacing w:after="0"/>
              <w:rPr>
                <w:sz w:val="18"/>
                <w:szCs w:val="18"/>
                <w:color w:val="auto"/>
              </w:rPr>
            </w:pPr>
          </w:p>
        </w:tc>
        <w:tc>
          <w:tcPr>
            <w:tcW w:w="2580" w:type="dxa"/>
            <w:vAlign w:val="bottom"/>
          </w:tcPr>
          <w:p>
            <w:pPr>
              <w:jc w:val="right"/>
              <w:ind w:right="379"/>
              <w:spacing w:after="0"/>
              <w:rPr>
                <w:sz w:val="20"/>
                <w:szCs w:val="20"/>
                <w:color w:val="auto"/>
              </w:rPr>
            </w:pPr>
            <w:r>
              <w:rPr>
                <w:rFonts w:ascii="Arial" w:cs="Arial" w:eastAsia="Arial" w:hAnsi="Arial"/>
                <w:sz w:val="16"/>
                <w:szCs w:val="16"/>
                <w:b w:val="1"/>
                <w:bCs w:val="1"/>
                <w:color w:val="auto"/>
              </w:rPr>
              <w:t>September 30, 2022</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March 31, 2022</w:t>
            </w:r>
          </w:p>
        </w:tc>
        <w:tc>
          <w:tcPr>
            <w:tcW w:w="18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Unobservable</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Range of</w:t>
            </w:r>
          </w:p>
        </w:tc>
        <w:tc>
          <w:tcPr>
            <w:tcW w:w="2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Relationship of unobservable</w:t>
            </w:r>
          </w:p>
        </w:tc>
        <w:tc>
          <w:tcPr>
            <w:tcW w:w="0" w:type="dxa"/>
            <w:vAlign w:val="bottom"/>
          </w:tcPr>
          <w:p>
            <w:pPr>
              <w:spacing w:after="0"/>
              <w:rPr>
                <w:sz w:val="1"/>
                <w:szCs w:val="1"/>
                <w:color w:val="auto"/>
              </w:rPr>
            </w:pPr>
          </w:p>
        </w:tc>
      </w:tr>
      <w:tr>
        <w:trPr>
          <w:trHeight w:val="29"/>
        </w:trPr>
        <w:tc>
          <w:tcPr>
            <w:tcW w:w="1460" w:type="dxa"/>
            <w:vAlign w:val="bottom"/>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58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000’s</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000’s</w:t>
            </w:r>
          </w:p>
        </w:tc>
        <w:tc>
          <w:tcPr>
            <w:tcW w:w="180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2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Borders>
              <w:bottom w:val="single" w:sz="8" w:color="auto"/>
            </w:tcBorders>
            <w:vMerge w:val="continue"/>
          </w:tcPr>
          <w:p>
            <w:pPr>
              <w:spacing w:after="0"/>
              <w:rPr>
                <w:sz w:val="18"/>
                <w:szCs w:val="18"/>
                <w:color w:val="auto"/>
              </w:rPr>
            </w:pPr>
          </w:p>
        </w:tc>
        <w:tc>
          <w:tcPr>
            <w:tcW w:w="25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inputs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inputs</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inputs to fair value</w:t>
            </w:r>
          </w:p>
        </w:tc>
        <w:tc>
          <w:tcPr>
            <w:tcW w:w="0" w:type="dxa"/>
            <w:vAlign w:val="bottom"/>
          </w:tcPr>
          <w:p>
            <w:pPr>
              <w:spacing w:after="0"/>
              <w:rPr>
                <w:sz w:val="1"/>
                <w:szCs w:val="1"/>
                <w:color w:val="auto"/>
              </w:rPr>
            </w:pPr>
          </w:p>
        </w:tc>
      </w:tr>
      <w:tr>
        <w:trPr>
          <w:trHeight w:val="175"/>
        </w:trPr>
        <w:tc>
          <w:tcPr>
            <w:tcW w:w="1460" w:type="dxa"/>
            <w:vAlign w:val="bottom"/>
          </w:tcPr>
          <w:p>
            <w:pPr>
              <w:spacing w:after="0" w:line="175" w:lineRule="exact"/>
              <w:rPr>
                <w:sz w:val="20"/>
                <w:szCs w:val="20"/>
                <w:color w:val="auto"/>
              </w:rPr>
            </w:pPr>
            <w:r>
              <w:rPr>
                <w:rFonts w:ascii="Arial" w:cs="Arial" w:eastAsia="Arial" w:hAnsi="Arial"/>
                <w:sz w:val="16"/>
                <w:szCs w:val="16"/>
                <w:color w:val="auto"/>
              </w:rPr>
              <w:t>Rx Hybrid</w:t>
            </w:r>
          </w:p>
        </w:tc>
        <w:tc>
          <w:tcPr>
            <w:tcW w:w="2580" w:type="dxa"/>
            <w:vAlign w:val="bottom"/>
          </w:tcPr>
          <w:p>
            <w:pPr>
              <w:jc w:val="right"/>
              <w:ind w:right="439"/>
              <w:spacing w:after="0" w:line="175" w:lineRule="exact"/>
              <w:rPr>
                <w:sz w:val="20"/>
                <w:szCs w:val="20"/>
                <w:color w:val="auto"/>
              </w:rPr>
            </w:pPr>
            <w:r>
              <w:rPr>
                <w:rFonts w:ascii="Arial" w:cs="Arial" w:eastAsia="Arial" w:hAnsi="Arial"/>
                <w:sz w:val="16"/>
                <w:szCs w:val="16"/>
                <w:b w:val="1"/>
                <w:bCs w:val="1"/>
                <w:color w:val="auto"/>
              </w:rPr>
              <w:t>278</w:t>
            </w:r>
          </w:p>
        </w:tc>
        <w:tc>
          <w:tcPr>
            <w:tcW w:w="1240" w:type="dxa"/>
            <w:vAlign w:val="bottom"/>
          </w:tcPr>
          <w:p>
            <w:pPr>
              <w:jc w:val="right"/>
              <w:spacing w:after="0" w:line="175" w:lineRule="exact"/>
              <w:rPr>
                <w:sz w:val="20"/>
                <w:szCs w:val="20"/>
                <w:color w:val="auto"/>
              </w:rPr>
            </w:pPr>
            <w:r>
              <w:rPr>
                <w:rFonts w:ascii="Arial" w:cs="Arial" w:eastAsia="Arial" w:hAnsi="Arial"/>
                <w:sz w:val="16"/>
                <w:szCs w:val="16"/>
                <w:color w:val="auto"/>
              </w:rPr>
              <w:t>242</w:t>
            </w:r>
          </w:p>
        </w:tc>
        <w:tc>
          <w:tcPr>
            <w:tcW w:w="180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Fair value interest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c>
          <w:tcPr>
            <w:tcW w:w="2500" w:type="dxa"/>
            <w:vAlign w:val="bottom"/>
          </w:tcPr>
          <w:p>
            <w:pPr>
              <w:jc w:val="right"/>
              <w:spacing w:after="0" w:line="175" w:lineRule="exact"/>
              <w:rPr>
                <w:sz w:val="20"/>
                <w:szCs w:val="20"/>
                <w:color w:val="auto"/>
              </w:rPr>
            </w:pPr>
            <w:r>
              <w:rPr>
                <w:rFonts w:ascii="Arial" w:cs="Arial" w:eastAsia="Arial" w:hAnsi="Arial"/>
                <w:sz w:val="16"/>
                <w:szCs w:val="16"/>
                <w:color w:val="auto"/>
              </w:rPr>
              <w:t>Increase/decrease in the fair</w:t>
            </w:r>
          </w:p>
        </w:tc>
        <w:tc>
          <w:tcPr>
            <w:tcW w:w="0" w:type="dxa"/>
            <w:vAlign w:val="bottom"/>
          </w:tcPr>
          <w:p>
            <w:pPr>
              <w:spacing w:after="0"/>
              <w:rPr>
                <w:sz w:val="1"/>
                <w:szCs w:val="1"/>
                <w:color w:val="auto"/>
              </w:rPr>
            </w:pPr>
          </w:p>
        </w:tc>
      </w:tr>
      <w:tr>
        <w:trPr>
          <w:trHeight w:val="159"/>
        </w:trPr>
        <w:tc>
          <w:tcPr>
            <w:tcW w:w="1460" w:type="dxa"/>
            <w:vAlign w:val="bottom"/>
          </w:tcPr>
          <w:p>
            <w:pPr>
              <w:spacing w:after="0" w:line="159" w:lineRule="exact"/>
              <w:rPr>
                <w:sz w:val="20"/>
                <w:szCs w:val="20"/>
                <w:color w:val="auto"/>
              </w:rPr>
            </w:pPr>
            <w:r>
              <w:rPr>
                <w:rFonts w:ascii="Arial" w:cs="Arial" w:eastAsia="Arial" w:hAnsi="Arial"/>
                <w:sz w:val="16"/>
                <w:szCs w:val="16"/>
                <w:color w:val="auto"/>
              </w:rPr>
              <w:t>Instrument</w:t>
            </w:r>
          </w:p>
        </w:tc>
        <w:tc>
          <w:tcPr>
            <w:tcW w:w="2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0" w:type="dxa"/>
            <w:vAlign w:val="bottom"/>
          </w:tcPr>
          <w:p>
            <w:pPr>
              <w:jc w:val="right"/>
              <w:ind w:right="119"/>
              <w:spacing w:after="0" w:line="159" w:lineRule="exact"/>
              <w:rPr>
                <w:sz w:val="20"/>
                <w:szCs w:val="20"/>
                <w:color w:val="auto"/>
              </w:rPr>
            </w:pPr>
            <w:r>
              <w:rPr>
                <w:rFonts w:ascii="Arial" w:cs="Arial" w:eastAsia="Arial" w:hAnsi="Arial"/>
                <w:sz w:val="16"/>
                <w:szCs w:val="16"/>
                <w:color w:val="auto"/>
              </w:rPr>
              <w:t>rate of loan and</w:t>
            </w:r>
          </w:p>
        </w:tc>
        <w:tc>
          <w:tcPr>
            <w:tcW w:w="940" w:type="dxa"/>
            <w:vAlign w:val="bottom"/>
          </w:tcPr>
          <w:p>
            <w:pPr>
              <w:spacing w:after="0"/>
              <w:rPr>
                <w:sz w:val="13"/>
                <w:szCs w:val="13"/>
                <w:color w:val="auto"/>
              </w:rPr>
            </w:pPr>
          </w:p>
        </w:tc>
        <w:tc>
          <w:tcPr>
            <w:tcW w:w="2500" w:type="dxa"/>
            <w:vAlign w:val="bottom"/>
          </w:tcPr>
          <w:p>
            <w:pPr>
              <w:jc w:val="right"/>
              <w:spacing w:after="0" w:line="159" w:lineRule="exact"/>
              <w:rPr>
                <w:sz w:val="20"/>
                <w:szCs w:val="20"/>
                <w:color w:val="auto"/>
              </w:rPr>
            </w:pPr>
            <w:r>
              <w:rPr>
                <w:rFonts w:ascii="Arial" w:cs="Arial" w:eastAsia="Arial" w:hAnsi="Arial"/>
                <w:sz w:val="16"/>
                <w:szCs w:val="16"/>
                <w:color w:val="auto"/>
              </w:rPr>
              <w:t>value rate by 1% would not have</w:t>
            </w: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0" w:type="dxa"/>
            <w:vAlign w:val="bottom"/>
          </w:tcPr>
          <w:p>
            <w:pPr>
              <w:jc w:val="right"/>
              <w:ind w:right="119"/>
              <w:spacing w:after="0" w:line="159" w:lineRule="exact"/>
              <w:rPr>
                <w:sz w:val="20"/>
                <w:szCs w:val="20"/>
                <w:color w:val="auto"/>
              </w:rPr>
            </w:pPr>
            <w:r>
              <w:rPr>
                <w:rFonts w:ascii="Arial" w:cs="Arial" w:eastAsia="Arial" w:hAnsi="Arial"/>
                <w:sz w:val="16"/>
                <w:szCs w:val="16"/>
                <w:color w:val="auto"/>
              </w:rPr>
              <w:t>conversion feature</w:t>
            </w:r>
          </w:p>
        </w:tc>
        <w:tc>
          <w:tcPr>
            <w:tcW w:w="940" w:type="dxa"/>
            <w:vAlign w:val="bottom"/>
          </w:tcPr>
          <w:p>
            <w:pPr>
              <w:spacing w:after="0"/>
              <w:rPr>
                <w:sz w:val="13"/>
                <w:szCs w:val="13"/>
                <w:color w:val="auto"/>
              </w:rPr>
            </w:pPr>
          </w:p>
        </w:tc>
        <w:tc>
          <w:tcPr>
            <w:tcW w:w="2500" w:type="dxa"/>
            <w:vAlign w:val="bottom"/>
          </w:tcPr>
          <w:p>
            <w:pPr>
              <w:jc w:val="right"/>
              <w:spacing w:after="0" w:line="159" w:lineRule="exact"/>
              <w:rPr>
                <w:sz w:val="20"/>
                <w:szCs w:val="20"/>
                <w:color w:val="auto"/>
              </w:rPr>
            </w:pPr>
            <w:r>
              <w:rPr>
                <w:rFonts w:ascii="Arial" w:cs="Arial" w:eastAsia="Arial" w:hAnsi="Arial"/>
                <w:sz w:val="16"/>
                <w:szCs w:val="16"/>
                <w:color w:val="auto"/>
              </w:rPr>
              <w:t>a material effect on the fair value</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of the investment</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u w:val="single" w:color="auto"/>
          <w:color w:val="auto"/>
        </w:rPr>
        <w:t>Financial risk management</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Credit risk</w:t>
      </w:r>
    </w:p>
    <w:p>
      <w:pPr>
        <w:spacing w:after="0" w:line="190"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 worthiness. As at September 30, 2022, the Company’s maximum exposure to credit risk is the carrying value of its 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22 of 25</w:t>
      </w:r>
    </w:p>
    <w:p>
      <w:pPr>
        <w:sectPr>
          <w:pgSz w:w="11900" w:h="16838" w:orient="portrait"/>
          <w:cols w:equalWidth="0" w:num="1">
            <w:col w:w="11180"/>
          </w:cols>
          <w:pgMar w:left="380" w:top="171"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27305</wp:posOffset>
            </wp:positionV>
            <wp:extent cx="71456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Liquidity risk</w:t>
      </w:r>
    </w:p>
    <w:p>
      <w:pPr>
        <w:spacing w:after="0" w:line="203" w:lineRule="exact"/>
        <w:rPr>
          <w:sz w:val="20"/>
          <w:szCs w:val="20"/>
          <w:color w:val="auto"/>
        </w:rPr>
      </w:pPr>
    </w:p>
    <w:p>
      <w:pPr>
        <w:jc w:val="both"/>
        <w:ind w:left="240"/>
        <w:spacing w:after="0" w:line="269" w:lineRule="auto"/>
        <w:rPr>
          <w:sz w:val="20"/>
          <w:szCs w:val="20"/>
          <w:color w:val="auto"/>
        </w:rPr>
      </w:pPr>
      <w:r>
        <w:rPr>
          <w:rFonts w:ascii="Arial" w:cs="Arial" w:eastAsia="Arial" w:hAnsi="Arial"/>
          <w:sz w:val="16"/>
          <w:szCs w:val="16"/>
          <w:color w:val="auto"/>
        </w:rPr>
        <w:t>Liquidity risk is the risk that an entity will encounter difficulty in raising funds to meet commitments associated with financial instruments. The Company manages liquidity by maintaining adequate cash balances to meet liabilities as they become due.</w:t>
      </w:r>
    </w:p>
    <w:p>
      <w:pPr>
        <w:spacing w:after="0" w:line="137" w:lineRule="exact"/>
        <w:rPr>
          <w:sz w:val="20"/>
          <w:szCs w:val="20"/>
          <w:color w:val="auto"/>
        </w:rPr>
      </w:pPr>
    </w:p>
    <w:p>
      <w:pPr>
        <w:jc w:val="both"/>
        <w:ind w:left="240"/>
        <w:spacing w:after="0" w:line="269" w:lineRule="auto"/>
        <w:rPr>
          <w:sz w:val="20"/>
          <w:szCs w:val="20"/>
          <w:color w:val="auto"/>
        </w:rPr>
      </w:pPr>
      <w:r>
        <w:rPr>
          <w:rFonts w:ascii="Arial" w:cs="Arial" w:eastAsia="Arial" w:hAnsi="Arial"/>
          <w:sz w:val="16"/>
          <w:szCs w:val="16"/>
          <w:color w:val="auto"/>
        </w:rPr>
        <w:t>As at September 30, 2022, the Company had cash of $29,937 (March 31, 2022 - $53,641) in order to meet current liabilities. Accounts payable and accrued liabilities include trade payables and other obligations of $4,882 (March 31, 2022 - $5,262), all amounts are due within the next 12 months.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Market risk</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significant market risks to which the Company is exposed are interest rate risk and currency risk.</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i w:val="1"/>
          <w:iCs w:val="1"/>
          <w:u w:val="single" w:color="auto"/>
          <w:color w:val="auto"/>
        </w:rPr>
        <w:t>Interest rate risk</w:t>
      </w:r>
    </w:p>
    <w:p>
      <w:pPr>
        <w:spacing w:after="0" w:line="186"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auto"/>
        </w:rPr>
        <w:t>Interest rate risk is the risk that the fair value or the future cash flows of a financial instrument will fluctuate because of changes in market interest rate. In seeking to minimize the risks from interest rate fluctuations, the Company manages exposure through its normal operating and financing activities. As at September 30, 2022, the Company has determined its exposure to interest rate risk is minimal.</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6"/>
          <w:szCs w:val="16"/>
          <w:i w:val="1"/>
          <w:iCs w:val="1"/>
          <w:u w:val="single" w:color="auto"/>
          <w:color w:val="auto"/>
        </w:rPr>
        <w:t>Currency risk</w:t>
      </w:r>
    </w:p>
    <w:p>
      <w:pPr>
        <w:spacing w:after="0" w:line="186" w:lineRule="exact"/>
        <w:rPr>
          <w:sz w:val="20"/>
          <w:szCs w:val="20"/>
          <w:color w:val="auto"/>
        </w:rPr>
      </w:pPr>
    </w:p>
    <w:p>
      <w:pPr>
        <w:jc w:val="both"/>
        <w:ind w:left="240"/>
        <w:spacing w:after="0" w:line="269" w:lineRule="auto"/>
        <w:rPr>
          <w:sz w:val="20"/>
          <w:szCs w:val="20"/>
          <w:color w:val="auto"/>
        </w:rPr>
      </w:pPr>
      <w:r>
        <w:rPr>
          <w:rFonts w:ascii="Arial" w:cs="Arial" w:eastAsia="Arial" w:hAnsi="Arial"/>
          <w:sz w:val="16"/>
          <w:szCs w:val="16"/>
          <w:color w:val="auto"/>
        </w:rPr>
        <w:t>The Company is exposed to currency risk to the extent that monetary operational expenses are denominated in both CAD and USD while functional currency of CAD in used for reporting. The Company has not entered into any foreign currency contracts to mitigate this risk.</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had the following balances in monetary assets and monetary liabilities which are subject to fluctuation against CAD:</w:t>
      </w:r>
    </w:p>
    <w:p>
      <w:pPr>
        <w:spacing w:after="0" w:line="199"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5140" w:type="dxa"/>
            <w:vAlign w:val="bottom"/>
            <w:tcBorders>
              <w:bottom w:val="single" w:sz="8" w:color="auto"/>
            </w:tcBorders>
          </w:tcPr>
          <w:p>
            <w:pPr>
              <w:ind w:left="3860"/>
              <w:spacing w:after="0"/>
              <w:rPr>
                <w:sz w:val="20"/>
                <w:szCs w:val="20"/>
                <w:color w:val="auto"/>
              </w:rPr>
            </w:pPr>
            <w:r>
              <w:rPr>
                <w:rFonts w:ascii="Arial" w:cs="Arial" w:eastAsia="Arial" w:hAnsi="Arial"/>
                <w:sz w:val="16"/>
                <w:szCs w:val="16"/>
                <w:b w:val="1"/>
                <w:bCs w:val="1"/>
                <w:color w:val="auto"/>
              </w:rPr>
              <w:t>Denominated in:</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US$000’s</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GBP 000’s</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EUR 000’s</w:t>
            </w:r>
          </w:p>
        </w:tc>
      </w:tr>
      <w:tr>
        <w:trPr>
          <w:trHeight w:val="199"/>
        </w:trPr>
        <w:tc>
          <w:tcPr>
            <w:tcW w:w="5140" w:type="dxa"/>
            <w:vAlign w:val="bottom"/>
          </w:tcPr>
          <w:p>
            <w:pPr>
              <w:spacing w:after="0"/>
              <w:rPr>
                <w:sz w:val="20"/>
                <w:szCs w:val="20"/>
                <w:color w:val="auto"/>
              </w:rPr>
            </w:pPr>
            <w:r>
              <w:rPr>
                <w:rFonts w:ascii="Arial" w:cs="Arial" w:eastAsia="Arial" w:hAnsi="Arial"/>
                <w:sz w:val="16"/>
                <w:szCs w:val="16"/>
                <w:color w:val="auto"/>
              </w:rPr>
              <w:t>Cash</w:t>
            </w:r>
          </w:p>
        </w:tc>
        <w:tc>
          <w:tcPr>
            <w:tcW w:w="5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2,683</w:t>
            </w:r>
          </w:p>
        </w:tc>
        <w:tc>
          <w:tcPr>
            <w:tcW w:w="5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1,158</w:t>
            </w:r>
          </w:p>
        </w:tc>
        <w:tc>
          <w:tcPr>
            <w:tcW w:w="5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994</w:t>
            </w:r>
          </w:p>
        </w:tc>
      </w:tr>
      <w:tr>
        <w:trPr>
          <w:trHeight w:val="208"/>
        </w:trPr>
        <w:tc>
          <w:tcPr>
            <w:tcW w:w="5140" w:type="dxa"/>
            <w:vAlign w:val="bottom"/>
          </w:tcPr>
          <w:p>
            <w:pPr>
              <w:spacing w:after="0"/>
              <w:rPr>
                <w:sz w:val="20"/>
                <w:szCs w:val="20"/>
                <w:color w:val="auto"/>
              </w:rPr>
            </w:pPr>
            <w:r>
              <w:rPr>
                <w:rFonts w:ascii="Arial" w:cs="Arial" w:eastAsia="Arial" w:hAnsi="Arial"/>
                <w:sz w:val="16"/>
                <w:szCs w:val="16"/>
                <w:color w:val="auto"/>
              </w:rPr>
              <w:t>Accounts receivable</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276</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Accounts payable and accrued liabilities</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r>
      <w:tr>
        <w:trPr>
          <w:trHeight w:val="208"/>
        </w:trPr>
        <w:tc>
          <w:tcPr>
            <w:tcW w:w="5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2,715</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1,105</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(772)</w:t>
            </w:r>
          </w:p>
        </w:tc>
      </w:tr>
      <w:tr>
        <w:trPr>
          <w:trHeight w:val="200"/>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rate</w:t>
            </w:r>
          </w:p>
        </w:tc>
        <w:tc>
          <w:tcPr>
            <w:tcW w:w="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1.3707</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1.5098</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1.3383</w:t>
            </w:r>
          </w:p>
        </w:tc>
      </w:tr>
      <w:tr>
        <w:trPr>
          <w:trHeight w:val="200"/>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Equivalent in Canadian dollars</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3,721</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1,668</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(1,033)</w:t>
            </w:r>
          </w:p>
        </w:tc>
      </w:tr>
      <w:tr>
        <w:trPr>
          <w:trHeight w:val="200"/>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Impact of 10% change in foreign currency rate</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w:t>
            </w:r>
          </w:p>
        </w:tc>
      </w:tr>
    </w:tbl>
    <w:p>
      <w:pPr>
        <w:spacing w:after="0" w:line="244" w:lineRule="exact"/>
        <w:rPr>
          <w:sz w:val="20"/>
          <w:szCs w:val="20"/>
          <w:color w:val="auto"/>
        </w:rPr>
      </w:pPr>
    </w:p>
    <w:p>
      <w:pPr>
        <w:ind w:left="240"/>
        <w:spacing w:after="0" w:line="269" w:lineRule="auto"/>
        <w:rPr>
          <w:sz w:val="20"/>
          <w:szCs w:val="20"/>
          <w:color w:val="auto"/>
        </w:rPr>
      </w:pPr>
      <w:r>
        <w:rPr>
          <w:rFonts w:ascii="Arial" w:cs="Arial" w:eastAsia="Arial" w:hAnsi="Arial"/>
          <w:sz w:val="16"/>
          <w:szCs w:val="16"/>
          <w:color w:val="auto"/>
        </w:rPr>
        <w:t>Based on the above net exposures as at September 30, 2022, and assuming that all other variables remain constant, a 10% change of the USD, GBP and EUR, against the CAD would impact net loss by approximately by $642.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23 of 25</w:t>
      </w:r>
    </w:p>
    <w:p>
      <w:pPr>
        <w:sectPr>
          <w:pgSz w:w="11900" w:h="16838" w:orient="portrait"/>
          <w:cols w:equalWidth="0" w:num="1">
            <w:col w:w="11180"/>
          </w:cols>
          <w:pgMar w:left="380" w:top="171" w:right="339" w:bottom="1440" w:gutter="0" w:footer="0" w:header="0"/>
        </w:sectPr>
      </w:pPr>
    </w:p>
    <w:bookmarkStart w:id="26" w:name="page27"/>
    <w:bookmarkEnd w:id="26"/>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left="62" w:right="26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56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 w:hanging="402"/>
        <w:spacing w:after="0"/>
        <w:tabs>
          <w:tab w:leader="none" w:pos="402" w:val="left"/>
        </w:tabs>
        <w:numPr>
          <w:ilvl w:val="0"/>
          <w:numId w:val="17"/>
        </w:numPr>
        <w:rPr>
          <w:rFonts w:ascii="Arial" w:cs="Arial" w:eastAsia="Arial" w:hAnsi="Arial"/>
          <w:sz w:val="16"/>
          <w:szCs w:val="16"/>
          <w:b w:val="1"/>
          <w:bCs w:val="1"/>
          <w:color w:val="2D5F91"/>
        </w:rPr>
      </w:pPr>
      <w:r>
        <w:rPr>
          <w:rFonts w:ascii="Arial" w:cs="Arial" w:eastAsia="Arial" w:hAnsi="Arial"/>
          <w:sz w:val="16"/>
          <w:szCs w:val="16"/>
          <w:b w:val="1"/>
          <w:bCs w:val="1"/>
          <w:color w:val="2D5F91"/>
        </w:rPr>
        <w:t>INCOME TAX</w:t>
      </w:r>
    </w:p>
    <w:p>
      <w:pPr>
        <w:spacing w:after="0" w:line="203" w:lineRule="exact"/>
        <w:rPr>
          <w:sz w:val="20"/>
          <w:szCs w:val="20"/>
          <w:color w:val="auto"/>
        </w:rPr>
      </w:pPr>
    </w:p>
    <w:p>
      <w:pPr>
        <w:ind w:left="302"/>
        <w:spacing w:after="0"/>
        <w:rPr>
          <w:sz w:val="20"/>
          <w:szCs w:val="20"/>
          <w:color w:val="auto"/>
        </w:rPr>
      </w:pPr>
      <w:r>
        <w:rPr>
          <w:rFonts w:ascii="Arial" w:cs="Arial" w:eastAsia="Arial" w:hAnsi="Arial"/>
          <w:sz w:val="16"/>
          <w:szCs w:val="16"/>
          <w:color w:val="auto"/>
        </w:rPr>
        <w:t>Major items causing the Company’s income tax rate to differ from the Canadian statutory rate of approximately 26.50% are as follows:</w:t>
      </w:r>
    </w:p>
    <w:p>
      <w:pPr>
        <w:spacing w:after="0" w:line="170" w:lineRule="exact"/>
        <w:rPr>
          <w:sz w:val="20"/>
          <w:szCs w:val="20"/>
          <w:color w:val="auto"/>
        </w:rPr>
      </w:pPr>
    </w:p>
    <w:tbl>
      <w:tblPr>
        <w:tblLayout w:type="fixed"/>
        <w:tblInd w:w="302"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33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Three-months ended September</w:t>
            </w:r>
          </w:p>
        </w:tc>
        <w:tc>
          <w:tcPr>
            <w:tcW w:w="270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Six-months ended September 30,</w:t>
            </w:r>
          </w:p>
        </w:tc>
      </w:tr>
      <w:tr>
        <w:trPr>
          <w:trHeight w:val="211"/>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For the six-month period ended</w:t>
            </w:r>
          </w:p>
        </w:tc>
        <w:tc>
          <w:tcPr>
            <w:tcW w:w="2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loss before income taxes</w:t>
            </w:r>
          </w:p>
        </w:tc>
        <w:tc>
          <w:tcPr>
            <w:tcW w:w="2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(9,973)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(17,607)</w:t>
            </w: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(23,028)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(32,324)</w:t>
            </w:r>
          </w:p>
        </w:tc>
      </w:tr>
      <w:tr>
        <w:trPr>
          <w:trHeight w:val="375"/>
        </w:trPr>
        <w:tc>
          <w:tcPr>
            <w:tcW w:w="4460" w:type="dxa"/>
            <w:vAlign w:val="bottom"/>
          </w:tcPr>
          <w:p>
            <w:pPr>
              <w:spacing w:after="0"/>
              <w:rPr>
                <w:sz w:val="20"/>
                <w:szCs w:val="20"/>
                <w:color w:val="auto"/>
              </w:rPr>
            </w:pPr>
            <w:r>
              <w:rPr>
                <w:rFonts w:ascii="Arial" w:cs="Arial" w:eastAsia="Arial" w:hAnsi="Arial"/>
                <w:sz w:val="16"/>
                <w:szCs w:val="16"/>
                <w:color w:val="auto"/>
              </w:rPr>
              <w:t>Expected recovery at statutory rate</w:t>
            </w:r>
          </w:p>
        </w:tc>
        <w:tc>
          <w:tcPr>
            <w:tcW w:w="2300" w:type="dxa"/>
            <w:vAlign w:val="bottom"/>
          </w:tcPr>
          <w:p>
            <w:pPr>
              <w:jc w:val="right"/>
              <w:ind w:right="299"/>
              <w:spacing w:after="0"/>
              <w:rPr>
                <w:sz w:val="20"/>
                <w:szCs w:val="20"/>
                <w:color w:val="auto"/>
              </w:rPr>
            </w:pPr>
            <w:r>
              <w:rPr>
                <w:rFonts w:ascii="Arial" w:cs="Arial" w:eastAsia="Arial" w:hAnsi="Arial"/>
                <w:sz w:val="16"/>
                <w:szCs w:val="16"/>
                <w:b w:val="1"/>
                <w:bCs w:val="1"/>
                <w:color w:val="auto"/>
              </w:rPr>
              <w:t>(2,642)</w:t>
            </w:r>
          </w:p>
        </w:tc>
        <w:tc>
          <w:tcPr>
            <w:tcW w:w="1060" w:type="dxa"/>
            <w:vAlign w:val="bottom"/>
          </w:tcPr>
          <w:p>
            <w:pPr>
              <w:jc w:val="right"/>
              <w:spacing w:after="0"/>
              <w:rPr>
                <w:sz w:val="20"/>
                <w:szCs w:val="20"/>
                <w:color w:val="auto"/>
              </w:rPr>
            </w:pPr>
            <w:r>
              <w:rPr>
                <w:rFonts w:ascii="Arial" w:cs="Arial" w:eastAsia="Arial" w:hAnsi="Arial"/>
                <w:sz w:val="16"/>
                <w:szCs w:val="16"/>
                <w:color w:val="auto"/>
              </w:rPr>
              <w:t>(4,666)</w:t>
            </w:r>
          </w:p>
        </w:tc>
        <w:tc>
          <w:tcPr>
            <w:tcW w:w="1660" w:type="dxa"/>
            <w:vAlign w:val="bottom"/>
          </w:tcPr>
          <w:p>
            <w:pPr>
              <w:jc w:val="right"/>
              <w:ind w:right="299"/>
              <w:spacing w:after="0"/>
              <w:rPr>
                <w:sz w:val="20"/>
                <w:szCs w:val="20"/>
                <w:color w:val="auto"/>
              </w:rPr>
            </w:pPr>
            <w:r>
              <w:rPr>
                <w:rFonts w:ascii="Arial" w:cs="Arial" w:eastAsia="Arial" w:hAnsi="Arial"/>
                <w:sz w:val="16"/>
                <w:szCs w:val="16"/>
                <w:b w:val="1"/>
                <w:bCs w:val="1"/>
                <w:color w:val="auto"/>
              </w:rPr>
              <w:t>(6,102)</w:t>
            </w:r>
          </w:p>
        </w:tc>
        <w:tc>
          <w:tcPr>
            <w:tcW w:w="1040" w:type="dxa"/>
            <w:vAlign w:val="bottom"/>
          </w:tcPr>
          <w:p>
            <w:pPr>
              <w:jc w:val="right"/>
              <w:spacing w:after="0"/>
              <w:rPr>
                <w:sz w:val="20"/>
                <w:szCs w:val="20"/>
                <w:color w:val="auto"/>
              </w:rPr>
            </w:pPr>
            <w:r>
              <w:rPr>
                <w:rFonts w:ascii="Arial" w:cs="Arial" w:eastAsia="Arial" w:hAnsi="Arial"/>
                <w:sz w:val="16"/>
                <w:szCs w:val="16"/>
                <w:color w:val="auto"/>
              </w:rPr>
              <w:t>(8,566)</w:t>
            </w:r>
          </w:p>
        </w:tc>
      </w:tr>
      <w:tr>
        <w:trPr>
          <w:trHeight w:val="208"/>
        </w:trPr>
        <w:tc>
          <w:tcPr>
            <w:tcW w:w="4460" w:type="dxa"/>
            <w:vAlign w:val="bottom"/>
          </w:tcPr>
          <w:p>
            <w:pPr>
              <w:spacing w:after="0"/>
              <w:rPr>
                <w:sz w:val="20"/>
                <w:szCs w:val="20"/>
                <w:color w:val="auto"/>
              </w:rPr>
            </w:pPr>
            <w:r>
              <w:rPr>
                <w:rFonts w:ascii="Arial" w:cs="Arial" w:eastAsia="Arial" w:hAnsi="Arial"/>
                <w:sz w:val="16"/>
                <w:szCs w:val="16"/>
                <w:color w:val="auto"/>
              </w:rPr>
              <w:t>Difference between Canadian and foreign tax rates</w:t>
            </w:r>
          </w:p>
        </w:tc>
        <w:tc>
          <w:tcPr>
            <w:tcW w:w="2300" w:type="dxa"/>
            <w:vAlign w:val="bottom"/>
          </w:tcPr>
          <w:p>
            <w:pPr>
              <w:jc w:val="right"/>
              <w:ind w:right="299"/>
              <w:spacing w:after="0"/>
              <w:rPr>
                <w:sz w:val="20"/>
                <w:szCs w:val="20"/>
                <w:color w:val="auto"/>
              </w:rPr>
            </w:pPr>
            <w:r>
              <w:rPr>
                <w:rFonts w:ascii="Arial" w:cs="Arial" w:eastAsia="Arial" w:hAnsi="Arial"/>
                <w:sz w:val="16"/>
                <w:szCs w:val="16"/>
                <w:b w:val="1"/>
                <w:bCs w:val="1"/>
                <w:color w:val="auto"/>
              </w:rPr>
              <w:t>224</w:t>
            </w:r>
          </w:p>
        </w:tc>
        <w:tc>
          <w:tcPr>
            <w:tcW w:w="1060" w:type="dxa"/>
            <w:vAlign w:val="bottom"/>
          </w:tcPr>
          <w:p>
            <w:pPr>
              <w:jc w:val="right"/>
              <w:spacing w:after="0"/>
              <w:rPr>
                <w:sz w:val="20"/>
                <w:szCs w:val="20"/>
                <w:color w:val="auto"/>
              </w:rPr>
            </w:pPr>
            <w:r>
              <w:rPr>
                <w:rFonts w:ascii="Arial" w:cs="Arial" w:eastAsia="Arial" w:hAnsi="Arial"/>
                <w:sz w:val="16"/>
                <w:szCs w:val="16"/>
                <w:color w:val="auto"/>
              </w:rPr>
              <w:t>537</w:t>
            </w:r>
          </w:p>
        </w:tc>
        <w:tc>
          <w:tcPr>
            <w:tcW w:w="1660" w:type="dxa"/>
            <w:vAlign w:val="bottom"/>
          </w:tcPr>
          <w:p>
            <w:pPr>
              <w:jc w:val="right"/>
              <w:ind w:right="299"/>
              <w:spacing w:after="0"/>
              <w:rPr>
                <w:sz w:val="20"/>
                <w:szCs w:val="20"/>
                <w:color w:val="auto"/>
              </w:rPr>
            </w:pPr>
            <w:r>
              <w:rPr>
                <w:rFonts w:ascii="Arial" w:cs="Arial" w:eastAsia="Arial" w:hAnsi="Arial"/>
                <w:sz w:val="16"/>
                <w:szCs w:val="16"/>
                <w:b w:val="1"/>
                <w:bCs w:val="1"/>
                <w:color w:val="auto"/>
              </w:rPr>
              <w:t>1,295</w:t>
            </w:r>
          </w:p>
        </w:tc>
        <w:tc>
          <w:tcPr>
            <w:tcW w:w="104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208"/>
        </w:trPr>
        <w:tc>
          <w:tcPr>
            <w:tcW w:w="4460" w:type="dxa"/>
            <w:vAlign w:val="bottom"/>
          </w:tcPr>
          <w:p>
            <w:pPr>
              <w:spacing w:after="0"/>
              <w:rPr>
                <w:sz w:val="20"/>
                <w:szCs w:val="20"/>
                <w:color w:val="auto"/>
              </w:rPr>
            </w:pPr>
            <w:r>
              <w:rPr>
                <w:rFonts w:ascii="Arial" w:cs="Arial" w:eastAsia="Arial" w:hAnsi="Arial"/>
                <w:sz w:val="16"/>
                <w:szCs w:val="16"/>
                <w:color w:val="auto"/>
              </w:rPr>
              <w:t>Non-deductible expenses</w:t>
            </w:r>
          </w:p>
        </w:tc>
        <w:tc>
          <w:tcPr>
            <w:tcW w:w="2300" w:type="dxa"/>
            <w:vAlign w:val="bottom"/>
          </w:tcPr>
          <w:p>
            <w:pPr>
              <w:jc w:val="right"/>
              <w:ind w:right="299"/>
              <w:spacing w:after="0"/>
              <w:rPr>
                <w:sz w:val="20"/>
                <w:szCs w:val="20"/>
                <w:color w:val="auto"/>
              </w:rPr>
            </w:pPr>
            <w:r>
              <w:rPr>
                <w:rFonts w:ascii="Arial" w:cs="Arial" w:eastAsia="Arial" w:hAnsi="Arial"/>
                <w:sz w:val="16"/>
                <w:szCs w:val="16"/>
                <w:b w:val="1"/>
                <w:bCs w:val="1"/>
                <w:color w:val="auto"/>
              </w:rPr>
              <w:t>567</w:t>
            </w:r>
          </w:p>
        </w:tc>
        <w:tc>
          <w:tcPr>
            <w:tcW w:w="1060" w:type="dxa"/>
            <w:vAlign w:val="bottom"/>
          </w:tcPr>
          <w:p>
            <w:pPr>
              <w:jc w:val="right"/>
              <w:spacing w:after="0"/>
              <w:rPr>
                <w:sz w:val="20"/>
                <w:szCs w:val="20"/>
                <w:color w:val="auto"/>
              </w:rPr>
            </w:pPr>
            <w:r>
              <w:rPr>
                <w:rFonts w:ascii="Arial" w:cs="Arial" w:eastAsia="Arial" w:hAnsi="Arial"/>
                <w:sz w:val="16"/>
                <w:szCs w:val="16"/>
                <w:color w:val="auto"/>
              </w:rPr>
              <w:t>1,675</w:t>
            </w:r>
          </w:p>
        </w:tc>
        <w:tc>
          <w:tcPr>
            <w:tcW w:w="1660" w:type="dxa"/>
            <w:vAlign w:val="bottom"/>
          </w:tcPr>
          <w:p>
            <w:pPr>
              <w:jc w:val="right"/>
              <w:ind w:right="299"/>
              <w:spacing w:after="0"/>
              <w:rPr>
                <w:sz w:val="20"/>
                <w:szCs w:val="20"/>
                <w:color w:val="auto"/>
              </w:rPr>
            </w:pPr>
            <w:r>
              <w:rPr>
                <w:rFonts w:ascii="Arial" w:cs="Arial" w:eastAsia="Arial" w:hAnsi="Arial"/>
                <w:sz w:val="16"/>
                <w:szCs w:val="16"/>
                <w:b w:val="1"/>
                <w:bCs w:val="1"/>
                <w:color w:val="auto"/>
              </w:rPr>
              <w:t>851</w:t>
            </w:r>
          </w:p>
        </w:tc>
        <w:tc>
          <w:tcPr>
            <w:tcW w:w="1040" w:type="dxa"/>
            <w:vAlign w:val="bottom"/>
          </w:tcPr>
          <w:p>
            <w:pPr>
              <w:jc w:val="right"/>
              <w:spacing w:after="0"/>
              <w:rPr>
                <w:sz w:val="20"/>
                <w:szCs w:val="20"/>
                <w:color w:val="auto"/>
              </w:rPr>
            </w:pPr>
            <w:r>
              <w:rPr>
                <w:rFonts w:ascii="Arial" w:cs="Arial" w:eastAsia="Arial" w:hAnsi="Arial"/>
                <w:sz w:val="16"/>
                <w:szCs w:val="16"/>
                <w:color w:val="auto"/>
              </w:rPr>
              <w:t>3,206</w:t>
            </w:r>
          </w:p>
        </w:tc>
      </w:tr>
      <w:tr>
        <w:trPr>
          <w:trHeight w:val="216"/>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Change in unrecognized deferred tax assets</w:t>
            </w:r>
          </w:p>
        </w:tc>
        <w:tc>
          <w:tcPr>
            <w:tcW w:w="2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1,851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w:t>
            </w: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3,956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4,707</w:t>
            </w:r>
          </w:p>
        </w:tc>
      </w:tr>
      <w:tr>
        <w:trPr>
          <w:trHeight w:val="20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Income tax recovery</w:t>
            </w:r>
          </w:p>
        </w:tc>
        <w:tc>
          <w:tcPr>
            <w:tcW w:w="2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44" w:lineRule="exact"/>
        <w:rPr>
          <w:sz w:val="20"/>
          <w:szCs w:val="20"/>
          <w:color w:val="auto"/>
        </w:rPr>
      </w:pPr>
    </w:p>
    <w:p>
      <w:pPr>
        <w:ind w:left="302" w:right="20"/>
        <w:spacing w:after="0" w:line="269" w:lineRule="auto"/>
        <w:rPr>
          <w:sz w:val="20"/>
          <w:szCs w:val="20"/>
          <w:color w:val="auto"/>
        </w:rPr>
      </w:pPr>
      <w:r>
        <w:rPr>
          <w:rFonts w:ascii="Arial" w:cs="Arial" w:eastAsia="Arial" w:hAnsi="Arial"/>
          <w:sz w:val="16"/>
          <w:szCs w:val="16"/>
          <w:color w:val="auto"/>
        </w:rPr>
        <w:t>The significant components of the Company’s deferred tax assets, resulting from temporary differences, unused tax credits and unused tax losses, that have not been included on the consolidated statements of financial position, are as follows:</w:t>
      </w:r>
    </w:p>
    <w:p>
      <w:pPr>
        <w:spacing w:after="0" w:line="154" w:lineRule="exact"/>
        <w:rPr>
          <w:sz w:val="20"/>
          <w:szCs w:val="20"/>
          <w:color w:val="auto"/>
        </w:rPr>
      </w:pPr>
    </w:p>
    <w:tbl>
      <w:tblPr>
        <w:tblLayout w:type="fixed"/>
        <w:tblInd w:w="302" w:type="dxa"/>
        <w:tblCellMar>
          <w:top w:w="0" w:type="dxa"/>
          <w:left w:w="0" w:type="dxa"/>
          <w:bottom w:w="0" w:type="dxa"/>
          <w:right w:w="0" w:type="dxa"/>
        </w:tblCellMar>
      </w:tblP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at</w:t>
            </w:r>
          </w:p>
        </w:tc>
        <w:tc>
          <w:tcPr>
            <w:tcW w:w="4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September 30, 2022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r>
      <w:tr>
        <w:trPr>
          <w:trHeight w:val="192"/>
        </w:trPr>
        <w:tc>
          <w:tcPr>
            <w:tcW w:w="4660" w:type="dxa"/>
            <w:vAlign w:val="bottom"/>
          </w:tcPr>
          <w:p>
            <w:pPr>
              <w:spacing w:after="0"/>
              <w:rPr>
                <w:sz w:val="20"/>
                <w:szCs w:val="20"/>
                <w:color w:val="auto"/>
              </w:rPr>
            </w:pPr>
            <w:r>
              <w:rPr>
                <w:rFonts w:ascii="Arial" w:cs="Arial" w:eastAsia="Arial" w:hAnsi="Arial"/>
                <w:sz w:val="16"/>
                <w:szCs w:val="16"/>
                <w:color w:val="auto"/>
              </w:rPr>
              <w:t>Non-capital loss carryforwards</w:t>
            </w:r>
          </w:p>
        </w:tc>
        <w:tc>
          <w:tcPr>
            <w:tcW w:w="4340" w:type="dxa"/>
            <w:vAlign w:val="bottom"/>
          </w:tcPr>
          <w:p>
            <w:pPr>
              <w:jc w:val="right"/>
              <w:ind w:right="299"/>
              <w:spacing w:after="0"/>
              <w:rPr>
                <w:sz w:val="20"/>
                <w:szCs w:val="20"/>
                <w:color w:val="auto"/>
              </w:rPr>
            </w:pPr>
            <w:r>
              <w:rPr>
                <w:rFonts w:ascii="Arial" w:cs="Arial" w:eastAsia="Arial" w:hAnsi="Arial"/>
                <w:sz w:val="16"/>
                <w:szCs w:val="16"/>
                <w:b w:val="1"/>
                <w:bCs w:val="1"/>
                <w:color w:val="auto"/>
              </w:rPr>
              <w:t>20,012</w:t>
            </w:r>
          </w:p>
        </w:tc>
        <w:tc>
          <w:tcPr>
            <w:tcW w:w="1580" w:type="dxa"/>
            <w:vAlign w:val="bottom"/>
          </w:tcPr>
          <w:p>
            <w:pPr>
              <w:jc w:val="right"/>
              <w:spacing w:after="0"/>
              <w:rPr>
                <w:sz w:val="20"/>
                <w:szCs w:val="20"/>
                <w:color w:val="auto"/>
              </w:rPr>
            </w:pPr>
            <w:r>
              <w:rPr>
                <w:rFonts w:ascii="Arial" w:cs="Arial" w:eastAsia="Arial" w:hAnsi="Arial"/>
                <w:sz w:val="16"/>
                <w:szCs w:val="16"/>
                <w:color w:val="auto"/>
              </w:rPr>
              <w:t>16,307</w:t>
            </w:r>
          </w:p>
        </w:tc>
      </w:tr>
      <w:tr>
        <w:trPr>
          <w:trHeight w:val="208"/>
        </w:trPr>
        <w:tc>
          <w:tcPr>
            <w:tcW w:w="4660" w:type="dxa"/>
            <w:vAlign w:val="bottom"/>
          </w:tcPr>
          <w:p>
            <w:pPr>
              <w:spacing w:after="0"/>
              <w:rPr>
                <w:sz w:val="20"/>
                <w:szCs w:val="20"/>
                <w:color w:val="auto"/>
              </w:rPr>
            </w:pPr>
            <w:r>
              <w:rPr>
                <w:rFonts w:ascii="Arial" w:cs="Arial" w:eastAsia="Arial" w:hAnsi="Arial"/>
                <w:sz w:val="16"/>
                <w:szCs w:val="16"/>
                <w:color w:val="auto"/>
              </w:rPr>
              <w:t>Share issuance costs</w:t>
            </w:r>
          </w:p>
        </w:tc>
        <w:tc>
          <w:tcPr>
            <w:tcW w:w="4340" w:type="dxa"/>
            <w:vAlign w:val="bottom"/>
          </w:tcPr>
          <w:p>
            <w:pPr>
              <w:jc w:val="right"/>
              <w:ind w:right="299"/>
              <w:spacing w:after="0"/>
              <w:rPr>
                <w:sz w:val="20"/>
                <w:szCs w:val="20"/>
                <w:color w:val="auto"/>
              </w:rPr>
            </w:pPr>
            <w:r>
              <w:rPr>
                <w:rFonts w:ascii="Arial" w:cs="Arial" w:eastAsia="Arial" w:hAnsi="Arial"/>
                <w:sz w:val="16"/>
                <w:szCs w:val="16"/>
                <w:b w:val="1"/>
                <w:bCs w:val="1"/>
                <w:color w:val="auto"/>
              </w:rPr>
              <w:t>1,446</w:t>
            </w:r>
          </w:p>
        </w:tc>
        <w:tc>
          <w:tcPr>
            <w:tcW w:w="1580" w:type="dxa"/>
            <w:vAlign w:val="bottom"/>
          </w:tcPr>
          <w:p>
            <w:pPr>
              <w:jc w:val="right"/>
              <w:spacing w:after="0"/>
              <w:rPr>
                <w:sz w:val="20"/>
                <w:szCs w:val="20"/>
                <w:color w:val="auto"/>
              </w:rPr>
            </w:pPr>
            <w:r>
              <w:rPr>
                <w:rFonts w:ascii="Arial" w:cs="Arial" w:eastAsia="Arial" w:hAnsi="Arial"/>
                <w:sz w:val="16"/>
                <w:szCs w:val="16"/>
                <w:color w:val="auto"/>
              </w:rPr>
              <w:t>1,526</w:t>
            </w:r>
          </w:p>
        </w:tc>
      </w:tr>
      <w:tr>
        <w:trPr>
          <w:trHeight w:val="208"/>
        </w:trPr>
        <w:tc>
          <w:tcPr>
            <w:tcW w:w="4660" w:type="dxa"/>
            <w:vAlign w:val="bottom"/>
          </w:tcPr>
          <w:p>
            <w:pPr>
              <w:spacing w:after="0"/>
              <w:rPr>
                <w:sz w:val="20"/>
                <w:szCs w:val="20"/>
                <w:color w:val="auto"/>
              </w:rPr>
            </w:pPr>
            <w:r>
              <w:rPr>
                <w:rFonts w:ascii="Arial" w:cs="Arial" w:eastAsia="Arial" w:hAnsi="Arial"/>
                <w:sz w:val="16"/>
                <w:szCs w:val="16"/>
                <w:color w:val="auto"/>
              </w:rPr>
              <w:t>Depreciation/CCA differences</w:t>
            </w:r>
          </w:p>
        </w:tc>
        <w:tc>
          <w:tcPr>
            <w:tcW w:w="4340" w:type="dxa"/>
            <w:vAlign w:val="bottom"/>
          </w:tcPr>
          <w:p>
            <w:pPr>
              <w:jc w:val="right"/>
              <w:ind w:right="299"/>
              <w:spacing w:after="0"/>
              <w:rPr>
                <w:sz w:val="20"/>
                <w:szCs w:val="20"/>
                <w:color w:val="auto"/>
              </w:rPr>
            </w:pPr>
            <w:r>
              <w:rPr>
                <w:rFonts w:ascii="Arial" w:cs="Arial" w:eastAsia="Arial" w:hAnsi="Arial"/>
                <w:sz w:val="16"/>
                <w:szCs w:val="16"/>
                <w:b w:val="1"/>
                <w:bCs w:val="1"/>
                <w:color w:val="auto"/>
              </w:rPr>
              <w:t>588</w:t>
            </w:r>
          </w:p>
        </w:tc>
        <w:tc>
          <w:tcPr>
            <w:tcW w:w="158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4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13</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192"/>
        </w:trPr>
        <w:tc>
          <w:tcPr>
            <w:tcW w:w="4660" w:type="dxa"/>
            <w:vAlign w:val="bottom"/>
          </w:tcPr>
          <w:p>
            <w:pPr>
              <w:spacing w:after="0"/>
              <w:rPr>
                <w:sz w:val="16"/>
                <w:szCs w:val="16"/>
                <w:color w:val="auto"/>
              </w:rPr>
            </w:pPr>
          </w:p>
        </w:tc>
        <w:tc>
          <w:tcPr>
            <w:tcW w:w="4340" w:type="dxa"/>
            <w:vAlign w:val="bottom"/>
          </w:tcPr>
          <w:p>
            <w:pPr>
              <w:jc w:val="right"/>
              <w:ind w:right="299"/>
              <w:spacing w:after="0"/>
              <w:rPr>
                <w:sz w:val="20"/>
                <w:szCs w:val="20"/>
                <w:color w:val="auto"/>
              </w:rPr>
            </w:pPr>
            <w:r>
              <w:rPr>
                <w:rFonts w:ascii="Arial" w:cs="Arial" w:eastAsia="Arial" w:hAnsi="Arial"/>
                <w:sz w:val="16"/>
                <w:szCs w:val="16"/>
                <w:b w:val="1"/>
                <w:bCs w:val="1"/>
                <w:color w:val="auto"/>
              </w:rPr>
              <w:t>22,059</w:t>
            </w:r>
          </w:p>
        </w:tc>
        <w:tc>
          <w:tcPr>
            <w:tcW w:w="1580" w:type="dxa"/>
            <w:vAlign w:val="bottom"/>
          </w:tcPr>
          <w:p>
            <w:pPr>
              <w:jc w:val="right"/>
              <w:spacing w:after="0"/>
              <w:rPr>
                <w:sz w:val="20"/>
                <w:szCs w:val="20"/>
                <w:color w:val="auto"/>
              </w:rPr>
            </w:pPr>
            <w:r>
              <w:rPr>
                <w:rFonts w:ascii="Arial" w:cs="Arial" w:eastAsia="Arial" w:hAnsi="Arial"/>
                <w:sz w:val="16"/>
                <w:szCs w:val="16"/>
                <w:color w:val="auto"/>
              </w:rPr>
              <w:t>18,103</w:t>
            </w: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Valuation allowance</w:t>
            </w:r>
          </w:p>
        </w:tc>
        <w:tc>
          <w:tcPr>
            <w:tcW w:w="4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(22,059)</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(18,103)</w:t>
            </w:r>
          </w:p>
        </w:tc>
      </w:tr>
      <w:tr>
        <w:trPr>
          <w:trHeight w:val="200"/>
        </w:trPr>
        <w:tc>
          <w:tcPr>
            <w:tcW w:w="466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44" w:lineRule="exact"/>
        <w:rPr>
          <w:sz w:val="20"/>
          <w:szCs w:val="20"/>
          <w:color w:val="auto"/>
        </w:rPr>
      </w:pPr>
    </w:p>
    <w:p>
      <w:pPr>
        <w:ind w:left="302"/>
        <w:spacing w:after="0" w:line="269" w:lineRule="auto"/>
        <w:rPr>
          <w:sz w:val="20"/>
          <w:szCs w:val="20"/>
          <w:color w:val="auto"/>
        </w:rPr>
      </w:pPr>
      <w:r>
        <w:rPr>
          <w:rFonts w:ascii="Arial" w:cs="Arial" w:eastAsia="Arial" w:hAnsi="Arial"/>
          <w:sz w:val="16"/>
          <w:szCs w:val="16"/>
          <w:color w:val="auto"/>
        </w:rPr>
        <w:t>These deferred tax assets have not been recognized because it is not probable that future taxable profit will be available against which the Company will be able to use these potential benefits.</w:t>
      </w:r>
    </w:p>
    <w:p>
      <w:pPr>
        <w:spacing w:after="0" w:line="130" w:lineRule="exact"/>
        <w:rPr>
          <w:sz w:val="20"/>
          <w:szCs w:val="20"/>
          <w:color w:val="auto"/>
        </w:rPr>
      </w:pPr>
    </w:p>
    <w:p>
      <w:pPr>
        <w:ind w:left="302"/>
        <w:spacing w:after="0"/>
        <w:rPr>
          <w:sz w:val="20"/>
          <w:szCs w:val="20"/>
          <w:color w:val="auto"/>
        </w:rPr>
      </w:pPr>
      <w:r>
        <w:rPr>
          <w:rFonts w:ascii="Arial" w:cs="Arial" w:eastAsia="Arial" w:hAnsi="Arial"/>
          <w:sz w:val="16"/>
          <w:szCs w:val="16"/>
          <w:b w:val="1"/>
          <w:bCs w:val="1"/>
          <w:color w:val="auto"/>
        </w:rPr>
        <w:t>Non-capital loss balance</w:t>
      </w:r>
    </w:p>
    <w:p>
      <w:pPr>
        <w:spacing w:after="0" w:line="190" w:lineRule="exact"/>
        <w:rPr>
          <w:sz w:val="20"/>
          <w:szCs w:val="20"/>
          <w:color w:val="auto"/>
        </w:rPr>
      </w:pPr>
    </w:p>
    <w:p>
      <w:pPr>
        <w:ind w:left="302" w:right="20"/>
        <w:spacing w:after="0" w:line="269" w:lineRule="auto"/>
        <w:rPr>
          <w:sz w:val="20"/>
          <w:szCs w:val="20"/>
          <w:color w:val="auto"/>
        </w:rPr>
      </w:pPr>
      <w:r>
        <w:rPr>
          <w:rFonts w:ascii="Arial" w:cs="Arial" w:eastAsia="Arial" w:hAnsi="Arial"/>
          <w:sz w:val="16"/>
          <w:szCs w:val="16"/>
          <w:color w:val="auto"/>
        </w:rPr>
        <w:t>As at September 30, 2022, the Company has non-capital losses in Canada, which under certain circumstances can be used to reduce the taxable income of future years. The non-capital losses expire as follows:</w:t>
      </w:r>
    </w:p>
    <w:p>
      <w:pPr>
        <w:spacing w:after="0" w:line="174"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 of expiry</w:t>
            </w: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5480" w:type="dxa"/>
            <w:vAlign w:val="bottom"/>
          </w:tcPr>
          <w:p>
            <w:pPr>
              <w:spacing w:after="0"/>
              <w:rPr>
                <w:sz w:val="20"/>
                <w:szCs w:val="20"/>
                <w:color w:val="auto"/>
              </w:rPr>
            </w:pPr>
            <w:r>
              <w:rPr>
                <w:rFonts w:ascii="Arial" w:cs="Arial" w:eastAsia="Arial" w:hAnsi="Arial"/>
                <w:sz w:val="16"/>
                <w:szCs w:val="16"/>
                <w:color w:val="auto"/>
              </w:rPr>
              <w:t>2040</w:t>
            </w:r>
          </w:p>
        </w:tc>
        <w:tc>
          <w:tcPr>
            <w:tcW w:w="5040" w:type="dxa"/>
            <w:vAlign w:val="bottom"/>
          </w:tcPr>
          <w:p>
            <w:pPr>
              <w:jc w:val="right"/>
              <w:spacing w:after="0"/>
              <w:rPr>
                <w:sz w:val="20"/>
                <w:szCs w:val="20"/>
                <w:color w:val="auto"/>
              </w:rPr>
            </w:pPr>
            <w:r>
              <w:rPr>
                <w:rFonts w:ascii="Arial" w:cs="Arial" w:eastAsia="Arial" w:hAnsi="Arial"/>
                <w:sz w:val="16"/>
                <w:szCs w:val="16"/>
                <w:b w:val="1"/>
                <w:bCs w:val="1"/>
                <w:color w:val="auto"/>
              </w:rPr>
              <w:t>740</w:t>
            </w: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rPr>
              <w:t>2041</w:t>
            </w:r>
          </w:p>
        </w:tc>
        <w:tc>
          <w:tcPr>
            <w:tcW w:w="5040" w:type="dxa"/>
            <w:vAlign w:val="bottom"/>
          </w:tcPr>
          <w:p>
            <w:pPr>
              <w:jc w:val="right"/>
              <w:spacing w:after="0"/>
              <w:rPr>
                <w:sz w:val="20"/>
                <w:szCs w:val="20"/>
                <w:color w:val="auto"/>
              </w:rPr>
            </w:pPr>
            <w:r>
              <w:rPr>
                <w:rFonts w:ascii="Arial" w:cs="Arial" w:eastAsia="Arial" w:hAnsi="Arial"/>
                <w:sz w:val="16"/>
                <w:szCs w:val="16"/>
                <w:b w:val="1"/>
                <w:bCs w:val="1"/>
                <w:color w:val="auto"/>
              </w:rPr>
              <w:t>19,193</w:t>
            </w:r>
          </w:p>
        </w:tc>
      </w:tr>
      <w:tr>
        <w:trPr>
          <w:trHeight w:val="208"/>
        </w:trPr>
        <w:tc>
          <w:tcPr>
            <w:tcW w:w="5480" w:type="dxa"/>
            <w:vAlign w:val="bottom"/>
          </w:tcPr>
          <w:p>
            <w:pPr>
              <w:spacing w:after="0"/>
              <w:rPr>
                <w:sz w:val="20"/>
                <w:szCs w:val="20"/>
                <w:color w:val="auto"/>
              </w:rPr>
            </w:pPr>
            <w:r>
              <w:rPr>
                <w:rFonts w:ascii="Arial" w:cs="Arial" w:eastAsia="Arial" w:hAnsi="Arial"/>
                <w:sz w:val="16"/>
                <w:szCs w:val="16"/>
                <w:color w:val="auto"/>
              </w:rPr>
              <w:t>2042</w:t>
            </w:r>
          </w:p>
        </w:tc>
        <w:tc>
          <w:tcPr>
            <w:tcW w:w="5040" w:type="dxa"/>
            <w:vAlign w:val="bottom"/>
          </w:tcPr>
          <w:p>
            <w:pPr>
              <w:jc w:val="right"/>
              <w:spacing w:after="0"/>
              <w:rPr>
                <w:sz w:val="20"/>
                <w:szCs w:val="20"/>
                <w:color w:val="auto"/>
              </w:rPr>
            </w:pPr>
            <w:r>
              <w:rPr>
                <w:rFonts w:ascii="Arial" w:cs="Arial" w:eastAsia="Arial" w:hAnsi="Arial"/>
                <w:sz w:val="16"/>
                <w:szCs w:val="16"/>
                <w:b w:val="1"/>
                <w:bCs w:val="1"/>
                <w:color w:val="auto"/>
              </w:rPr>
              <w:t>30,112</w:t>
            </w:r>
          </w:p>
        </w:tc>
      </w:tr>
      <w:tr>
        <w:trPr>
          <w:trHeight w:val="216"/>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2043</w:t>
            </w: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8,909</w:t>
            </w:r>
          </w:p>
        </w:tc>
      </w:tr>
      <w:tr>
        <w:trPr>
          <w:trHeight w:val="200"/>
        </w:trPr>
        <w:tc>
          <w:tcPr>
            <w:tcW w:w="548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58,954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24 of 25</w:t>
      </w:r>
    </w:p>
    <w:p>
      <w:pPr>
        <w:sectPr>
          <w:pgSz w:w="11900" w:h="16838" w:orient="portrait"/>
          <w:cols w:equalWidth="0" w:num="1">
            <w:col w:w="11262"/>
          </w:cols>
          <w:pgMar w:left="318" w:top="171" w:right="319" w:bottom="1440" w:gutter="0" w:footer="0" w:header="0"/>
        </w:sectPr>
      </w:pPr>
    </w:p>
    <w:bookmarkStart w:id="27" w:name="page28"/>
    <w:bookmarkEnd w:id="27"/>
    <w:p>
      <w:pPr>
        <w:ind w:left="62"/>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auto"/>
        </w:rPr>
        <w:t>For the three and six months ended September 30, 2022 and September 30, 2021</w:t>
      </w:r>
    </w:p>
    <w:p>
      <w:pPr>
        <w:spacing w:after="0" w:line="5" w:lineRule="exact"/>
        <w:rPr>
          <w:sz w:val="20"/>
          <w:szCs w:val="20"/>
          <w:color w:val="auto"/>
        </w:rPr>
      </w:pPr>
    </w:p>
    <w:p>
      <w:pPr>
        <w:ind w:left="62" w:right="260"/>
        <w:spacing w:after="0" w:line="245"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1"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56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302" w:right="20"/>
        <w:spacing w:after="0" w:line="269" w:lineRule="auto"/>
        <w:rPr>
          <w:sz w:val="20"/>
          <w:szCs w:val="20"/>
          <w:color w:val="auto"/>
        </w:rPr>
      </w:pPr>
      <w:r>
        <w:rPr>
          <w:rFonts w:ascii="Arial" w:cs="Arial" w:eastAsia="Arial" w:hAnsi="Arial"/>
          <w:sz w:val="16"/>
          <w:szCs w:val="16"/>
          <w:color w:val="auto"/>
        </w:rPr>
        <w:t>As at September 30, 2022, the Company has non-capital losses in the United States, which under certain circumstances can be used to reduce the taxable income of future years. The non-capital losses, stated in Canadian dollars, that will expire as follows:</w:t>
      </w:r>
    </w:p>
    <w:p>
      <w:pPr>
        <w:spacing w:after="0" w:line="186"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Year of expiry</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400" w:type="dxa"/>
            <w:vAlign w:val="bottom"/>
          </w:tcPr>
          <w:p>
            <w:pPr>
              <w:spacing w:after="0"/>
              <w:rPr>
                <w:sz w:val="20"/>
                <w:szCs w:val="20"/>
                <w:color w:val="auto"/>
              </w:rPr>
            </w:pPr>
            <w:r>
              <w:rPr>
                <w:rFonts w:ascii="Arial" w:cs="Arial" w:eastAsia="Arial" w:hAnsi="Arial"/>
                <w:sz w:val="16"/>
                <w:szCs w:val="16"/>
                <w:color w:val="auto"/>
              </w:rPr>
              <w:t>2041</w:t>
            </w:r>
          </w:p>
        </w:tc>
        <w:tc>
          <w:tcPr>
            <w:tcW w:w="7460" w:type="dxa"/>
            <w:vAlign w:val="bottom"/>
          </w:tcPr>
          <w:p>
            <w:pPr>
              <w:ind w:left="20"/>
              <w:spacing w:after="0"/>
              <w:rPr>
                <w:sz w:val="20"/>
                <w:szCs w:val="20"/>
                <w:color w:val="auto"/>
              </w:rPr>
            </w:pPr>
            <w:r>
              <w:rPr>
                <w:rFonts w:ascii="Arial" w:cs="Arial" w:eastAsia="Arial" w:hAnsi="Arial"/>
                <w:sz w:val="16"/>
                <w:szCs w:val="16"/>
                <w:color w:val="auto"/>
              </w:rPr>
              <w:t>- Pre-acquisition loss generated up to December 4, 2020</w:t>
            </w:r>
          </w:p>
        </w:tc>
        <w:tc>
          <w:tcPr>
            <w:tcW w:w="2660" w:type="dxa"/>
            <w:vAlign w:val="bottom"/>
          </w:tcPr>
          <w:p>
            <w:pPr>
              <w:jc w:val="right"/>
              <w:spacing w:after="0"/>
              <w:rPr>
                <w:sz w:val="20"/>
                <w:szCs w:val="20"/>
                <w:color w:val="auto"/>
              </w:rPr>
            </w:pPr>
            <w:r>
              <w:rPr>
                <w:rFonts w:ascii="Arial" w:cs="Arial" w:eastAsia="Arial" w:hAnsi="Arial"/>
                <w:sz w:val="16"/>
                <w:szCs w:val="16"/>
                <w:b w:val="1"/>
                <w:bCs w:val="1"/>
                <w:color w:val="auto"/>
              </w:rPr>
              <w:t>1,004</w:t>
            </w:r>
          </w:p>
        </w:tc>
      </w:tr>
      <w:tr>
        <w:trPr>
          <w:trHeight w:val="208"/>
        </w:trPr>
        <w:tc>
          <w:tcPr>
            <w:tcW w:w="400" w:type="dxa"/>
            <w:vAlign w:val="bottom"/>
          </w:tcPr>
          <w:p>
            <w:pPr>
              <w:spacing w:after="0"/>
              <w:rPr>
                <w:sz w:val="20"/>
                <w:szCs w:val="20"/>
                <w:color w:val="auto"/>
              </w:rPr>
            </w:pPr>
            <w:r>
              <w:rPr>
                <w:rFonts w:ascii="Arial" w:cs="Arial" w:eastAsia="Arial" w:hAnsi="Arial"/>
                <w:sz w:val="16"/>
                <w:szCs w:val="16"/>
                <w:color w:val="auto"/>
              </w:rPr>
              <w:t>2041</w:t>
            </w:r>
          </w:p>
        </w:tc>
        <w:tc>
          <w:tcPr>
            <w:tcW w:w="7460" w:type="dxa"/>
            <w:vAlign w:val="bottom"/>
          </w:tcPr>
          <w:p>
            <w:pPr>
              <w:ind w:left="20"/>
              <w:spacing w:after="0"/>
              <w:rPr>
                <w:sz w:val="20"/>
                <w:szCs w:val="20"/>
                <w:color w:val="auto"/>
              </w:rPr>
            </w:pPr>
            <w:r>
              <w:rPr>
                <w:rFonts w:ascii="Arial" w:cs="Arial" w:eastAsia="Arial" w:hAnsi="Arial"/>
                <w:sz w:val="16"/>
                <w:szCs w:val="16"/>
                <w:color w:val="auto"/>
              </w:rPr>
              <w:t>- Loss generated in the period from December 4, 2020 to March 31, 2022</w:t>
            </w:r>
          </w:p>
        </w:tc>
        <w:tc>
          <w:tcPr>
            <w:tcW w:w="2660" w:type="dxa"/>
            <w:vAlign w:val="bottom"/>
          </w:tcPr>
          <w:p>
            <w:pPr>
              <w:jc w:val="right"/>
              <w:spacing w:after="0"/>
              <w:rPr>
                <w:sz w:val="20"/>
                <w:szCs w:val="20"/>
                <w:color w:val="auto"/>
              </w:rPr>
            </w:pPr>
            <w:r>
              <w:rPr>
                <w:rFonts w:ascii="Arial" w:cs="Arial" w:eastAsia="Arial" w:hAnsi="Arial"/>
                <w:sz w:val="16"/>
                <w:szCs w:val="16"/>
                <w:b w:val="1"/>
                <w:bCs w:val="1"/>
                <w:color w:val="auto"/>
              </w:rPr>
              <w:t>1,340</w:t>
            </w:r>
          </w:p>
        </w:tc>
      </w:tr>
      <w:tr>
        <w:trPr>
          <w:trHeight w:val="208"/>
        </w:trPr>
        <w:tc>
          <w:tcPr>
            <w:tcW w:w="400" w:type="dxa"/>
            <w:vAlign w:val="bottom"/>
          </w:tcPr>
          <w:p>
            <w:pPr>
              <w:spacing w:after="0"/>
              <w:rPr>
                <w:sz w:val="20"/>
                <w:szCs w:val="20"/>
                <w:color w:val="auto"/>
              </w:rPr>
            </w:pPr>
            <w:r>
              <w:rPr>
                <w:rFonts w:ascii="Arial" w:cs="Arial" w:eastAsia="Arial" w:hAnsi="Arial"/>
                <w:sz w:val="16"/>
                <w:szCs w:val="16"/>
                <w:color w:val="auto"/>
              </w:rPr>
              <w:t>2042</w:t>
            </w:r>
          </w:p>
        </w:tc>
        <w:tc>
          <w:tcPr>
            <w:tcW w:w="7460" w:type="dxa"/>
            <w:vAlign w:val="bottom"/>
          </w:tcPr>
          <w:p>
            <w:pPr>
              <w:ind w:left="20"/>
              <w:spacing w:after="0"/>
              <w:rPr>
                <w:sz w:val="20"/>
                <w:szCs w:val="20"/>
                <w:color w:val="auto"/>
              </w:rPr>
            </w:pPr>
            <w:r>
              <w:rPr>
                <w:rFonts w:ascii="Arial" w:cs="Arial" w:eastAsia="Arial" w:hAnsi="Arial"/>
                <w:sz w:val="16"/>
                <w:szCs w:val="16"/>
                <w:color w:val="auto"/>
              </w:rPr>
              <w:t>- Loss generated in the year ended March 31, 2022</w:t>
            </w:r>
          </w:p>
        </w:tc>
        <w:tc>
          <w:tcPr>
            <w:tcW w:w="2660" w:type="dxa"/>
            <w:vAlign w:val="bottom"/>
          </w:tcPr>
          <w:p>
            <w:pPr>
              <w:jc w:val="right"/>
              <w:spacing w:after="0"/>
              <w:rPr>
                <w:sz w:val="20"/>
                <w:szCs w:val="20"/>
                <w:color w:val="auto"/>
              </w:rPr>
            </w:pPr>
            <w:r>
              <w:rPr>
                <w:rFonts w:ascii="Arial" w:cs="Arial" w:eastAsia="Arial" w:hAnsi="Arial"/>
                <w:sz w:val="16"/>
                <w:szCs w:val="16"/>
                <w:b w:val="1"/>
                <w:bCs w:val="1"/>
                <w:color w:val="auto"/>
              </w:rPr>
              <w:t>5,629</w:t>
            </w:r>
          </w:p>
        </w:tc>
      </w:tr>
      <w:tr>
        <w:trPr>
          <w:trHeight w:val="216"/>
        </w:trPr>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2043</w:t>
            </w:r>
          </w:p>
        </w:tc>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Loss generated in the six-month period ended September 30, 2022</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1,175</w:t>
            </w:r>
          </w:p>
        </w:tc>
      </w:tr>
      <w:tr>
        <w:trPr>
          <w:trHeight w:val="200"/>
        </w:trPr>
        <w:tc>
          <w:tcPr>
            <w:tcW w:w="400" w:type="dxa"/>
            <w:vAlign w:val="bottom"/>
            <w:tcBorders>
              <w:bottom w:val="single" w:sz="8" w:color="auto"/>
            </w:tcBorders>
          </w:tcPr>
          <w:p>
            <w:pPr>
              <w:spacing w:after="0"/>
              <w:rPr>
                <w:sz w:val="17"/>
                <w:szCs w:val="17"/>
                <w:color w:val="auto"/>
              </w:rPr>
            </w:pPr>
          </w:p>
        </w:tc>
        <w:tc>
          <w:tcPr>
            <w:tcW w:w="74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9,148</w:t>
            </w:r>
          </w:p>
        </w:tc>
      </w:tr>
    </w:tbl>
    <w:p>
      <w:pPr>
        <w:spacing w:after="0" w:line="244" w:lineRule="exact"/>
        <w:rPr>
          <w:sz w:val="20"/>
          <w:szCs w:val="20"/>
          <w:color w:val="auto"/>
        </w:rPr>
      </w:pPr>
    </w:p>
    <w:p>
      <w:pPr>
        <w:jc w:val="both"/>
        <w:ind w:left="302"/>
        <w:spacing w:after="0" w:line="262" w:lineRule="auto"/>
        <w:rPr>
          <w:sz w:val="20"/>
          <w:szCs w:val="20"/>
          <w:color w:val="auto"/>
        </w:rPr>
      </w:pPr>
      <w:r>
        <w:rPr>
          <w:rFonts w:ascii="Arial" w:cs="Arial" w:eastAsia="Arial" w:hAnsi="Arial"/>
          <w:sz w:val="16"/>
          <w:szCs w:val="16"/>
          <w:color w:val="auto"/>
        </w:rPr>
        <w:t>Although the US federal losses carryforward indefinitely, they are subject to restrictions on their deductibility. The deductibility of the pre-acquisition loss and the post-acquisition loss is restricted to 80% of taxable income in the year of deduction. The pre-acquisition loss is further restricted to an annual limitation under Section 382. As at September 30, 2022, the annual limitation was $136.</w:t>
      </w:r>
    </w:p>
    <w:p>
      <w:pPr>
        <w:spacing w:after="0" w:line="143" w:lineRule="exact"/>
        <w:rPr>
          <w:sz w:val="20"/>
          <w:szCs w:val="20"/>
          <w:color w:val="auto"/>
        </w:rPr>
      </w:pPr>
    </w:p>
    <w:p>
      <w:pPr>
        <w:ind w:left="302"/>
        <w:spacing w:after="0"/>
        <w:rPr>
          <w:sz w:val="20"/>
          <w:szCs w:val="20"/>
          <w:color w:val="auto"/>
        </w:rPr>
      </w:pPr>
      <w:r>
        <w:rPr>
          <w:rFonts w:ascii="Arial" w:cs="Arial" w:eastAsia="Arial" w:hAnsi="Arial"/>
          <w:sz w:val="16"/>
          <w:szCs w:val="16"/>
          <w:color w:val="auto"/>
        </w:rPr>
        <w:t>Massachusetts allows for a 20-year carryforward period for restricted and unrestricted losses without limitation.</w:t>
      </w:r>
    </w:p>
    <w:p>
      <w:pPr>
        <w:spacing w:after="0" w:line="170" w:lineRule="exact"/>
        <w:rPr>
          <w:sz w:val="20"/>
          <w:szCs w:val="20"/>
          <w:color w:val="auto"/>
        </w:rPr>
      </w:pPr>
    </w:p>
    <w:p>
      <w:pPr>
        <w:jc w:val="both"/>
        <w:ind w:left="302"/>
        <w:spacing w:after="0" w:line="269" w:lineRule="auto"/>
        <w:rPr>
          <w:sz w:val="20"/>
          <w:szCs w:val="20"/>
          <w:color w:val="auto"/>
        </w:rPr>
      </w:pPr>
      <w:r>
        <w:rPr>
          <w:rFonts w:ascii="Arial" w:cs="Arial" w:eastAsia="Arial" w:hAnsi="Arial"/>
          <w:sz w:val="16"/>
          <w:szCs w:val="16"/>
          <w:color w:val="auto"/>
        </w:rPr>
        <w:t>As at September 30, 2022, the Company has non-capital losses in Ireland, which under certain circumstances can be used to reduce the taxable income of future years. The non-capital losses, stated in Canadian dollars, expire as follows:</w:t>
      </w:r>
    </w:p>
    <w:p>
      <w:pPr>
        <w:spacing w:after="0" w:line="186" w:lineRule="exact"/>
        <w:rPr>
          <w:sz w:val="20"/>
          <w:szCs w:val="20"/>
          <w:color w:val="auto"/>
        </w:rPr>
      </w:pPr>
    </w:p>
    <w:tbl>
      <w:tblPr>
        <w:tblLayout w:type="fixed"/>
        <w:tblInd w:w="302" w:type="dxa"/>
        <w:tblCellMar>
          <w:top w:w="0" w:type="dxa"/>
          <w:left w:w="0" w:type="dxa"/>
          <w:bottom w:w="0" w:type="dxa"/>
          <w:right w:w="0" w:type="dxa"/>
        </w:tblCellMar>
      </w:tblP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Year of expiry</w:t>
            </w:r>
          </w:p>
        </w:tc>
        <w:tc>
          <w:tcPr>
            <w:tcW w:w="5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
        </w:trPr>
        <w:tc>
          <w:tcPr>
            <w:tcW w:w="55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1"/>
        </w:trPr>
        <w:tc>
          <w:tcPr>
            <w:tcW w:w="5540" w:type="dxa"/>
            <w:vAlign w:val="bottom"/>
          </w:tcPr>
          <w:p>
            <w:pPr>
              <w:spacing w:after="0"/>
              <w:rPr>
                <w:sz w:val="20"/>
                <w:szCs w:val="20"/>
                <w:color w:val="auto"/>
              </w:rPr>
            </w:pPr>
            <w:r>
              <w:rPr>
                <w:rFonts w:ascii="Arial" w:cs="Arial" w:eastAsia="Arial" w:hAnsi="Arial"/>
                <w:sz w:val="16"/>
                <w:szCs w:val="16"/>
                <w:color w:val="auto"/>
              </w:rPr>
              <w:t>2042</w:t>
            </w:r>
          </w:p>
        </w:tc>
        <w:tc>
          <w:tcPr>
            <w:tcW w:w="5100" w:type="dxa"/>
            <w:vAlign w:val="bottom"/>
          </w:tcPr>
          <w:p>
            <w:pPr>
              <w:jc w:val="right"/>
              <w:spacing w:after="0"/>
              <w:rPr>
                <w:sz w:val="20"/>
                <w:szCs w:val="20"/>
                <w:color w:val="auto"/>
              </w:rPr>
            </w:pPr>
            <w:r>
              <w:rPr>
                <w:rFonts w:ascii="Arial" w:cs="Arial" w:eastAsia="Arial" w:hAnsi="Arial"/>
                <w:sz w:val="16"/>
                <w:szCs w:val="16"/>
                <w:b w:val="1"/>
                <w:bCs w:val="1"/>
                <w:color w:val="auto"/>
              </w:rPr>
              <w:t>11,042</w:t>
            </w:r>
          </w:p>
        </w:tc>
      </w:tr>
      <w:tr>
        <w:trPr>
          <w:trHeight w:val="244"/>
        </w:trPr>
        <w:tc>
          <w:tcPr>
            <w:tcW w:w="5540" w:type="dxa"/>
            <w:vAlign w:val="bottom"/>
          </w:tcPr>
          <w:p>
            <w:pPr>
              <w:spacing w:after="0"/>
              <w:rPr>
                <w:sz w:val="20"/>
                <w:szCs w:val="20"/>
                <w:color w:val="auto"/>
              </w:rPr>
            </w:pPr>
            <w:r>
              <w:rPr>
                <w:rFonts w:ascii="Arial" w:cs="Arial" w:eastAsia="Arial" w:hAnsi="Arial"/>
                <w:sz w:val="16"/>
                <w:szCs w:val="16"/>
                <w:color w:val="auto"/>
              </w:rPr>
              <w:t>2043</w:t>
            </w:r>
          </w:p>
        </w:tc>
        <w:tc>
          <w:tcPr>
            <w:tcW w:w="5100" w:type="dxa"/>
            <w:vAlign w:val="bottom"/>
          </w:tcPr>
          <w:p>
            <w:pPr>
              <w:jc w:val="right"/>
              <w:spacing w:after="0"/>
              <w:rPr>
                <w:sz w:val="20"/>
                <w:szCs w:val="20"/>
                <w:color w:val="auto"/>
              </w:rPr>
            </w:pPr>
            <w:r>
              <w:rPr>
                <w:rFonts w:ascii="Arial" w:cs="Arial" w:eastAsia="Arial" w:hAnsi="Arial"/>
                <w:sz w:val="16"/>
                <w:szCs w:val="16"/>
                <w:b w:val="1"/>
                <w:bCs w:val="1"/>
                <w:color w:val="auto"/>
              </w:rPr>
              <w:t>8,701</w:t>
            </w:r>
          </w:p>
        </w:tc>
      </w:tr>
      <w:tr>
        <w:trPr>
          <w:trHeight w:val="25"/>
        </w:trPr>
        <w:tc>
          <w:tcPr>
            <w:tcW w:w="55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00"/>
        </w:trPr>
        <w:tc>
          <w:tcPr>
            <w:tcW w:w="554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19,743</w:t>
            </w:r>
          </w:p>
        </w:tc>
      </w:tr>
    </w:tbl>
    <w:p>
      <w:pPr>
        <w:spacing w:after="0" w:line="224" w:lineRule="exact"/>
        <w:rPr>
          <w:sz w:val="20"/>
          <w:szCs w:val="20"/>
          <w:color w:val="auto"/>
        </w:rPr>
      </w:pPr>
    </w:p>
    <w:p>
      <w:pPr>
        <w:ind w:left="402" w:hanging="402"/>
        <w:spacing w:after="0"/>
        <w:tabs>
          <w:tab w:leader="none" w:pos="402" w:val="left"/>
        </w:tabs>
        <w:numPr>
          <w:ilvl w:val="0"/>
          <w:numId w:val="18"/>
        </w:numPr>
        <w:rPr>
          <w:rFonts w:ascii="Arial" w:cs="Arial" w:eastAsia="Arial" w:hAnsi="Arial"/>
          <w:sz w:val="16"/>
          <w:szCs w:val="16"/>
          <w:b w:val="1"/>
          <w:bCs w:val="1"/>
          <w:color w:val="2D5F91"/>
        </w:rPr>
      </w:pPr>
      <w:r>
        <w:rPr>
          <w:rFonts w:ascii="Arial" w:cs="Arial" w:eastAsia="Arial" w:hAnsi="Arial"/>
          <w:sz w:val="16"/>
          <w:szCs w:val="16"/>
          <w:b w:val="1"/>
          <w:bCs w:val="1"/>
          <w:color w:val="2D5F91"/>
        </w:rPr>
        <w:t>SUBSEQUENT EVENTS</w:t>
      </w:r>
    </w:p>
    <w:p>
      <w:pPr>
        <w:spacing w:after="0" w:line="158" w:lineRule="exact"/>
        <w:rPr>
          <w:rFonts w:ascii="Arial" w:cs="Arial" w:eastAsia="Arial" w:hAnsi="Arial"/>
          <w:sz w:val="16"/>
          <w:szCs w:val="16"/>
          <w:b w:val="1"/>
          <w:bCs w:val="1"/>
          <w:color w:val="2D5F91"/>
        </w:rPr>
      </w:pPr>
    </w:p>
    <w:p>
      <w:pPr>
        <w:ind w:left="542" w:hanging="249"/>
        <w:spacing w:after="0"/>
        <w:tabs>
          <w:tab w:leader="none" w:pos="542"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ATM Program</w:t>
      </w:r>
    </w:p>
    <w:p>
      <w:pPr>
        <w:spacing w:after="0" w:line="190" w:lineRule="exact"/>
        <w:rPr>
          <w:sz w:val="20"/>
          <w:szCs w:val="20"/>
          <w:color w:val="auto"/>
        </w:rPr>
      </w:pPr>
    </w:p>
    <w:p>
      <w:pPr>
        <w:ind w:left="302" w:right="20"/>
        <w:spacing w:after="0" w:line="269" w:lineRule="auto"/>
        <w:rPr>
          <w:sz w:val="20"/>
          <w:szCs w:val="20"/>
          <w:color w:val="auto"/>
        </w:rPr>
      </w:pPr>
      <w:r>
        <w:rPr>
          <w:rFonts w:ascii="Arial" w:cs="Arial" w:eastAsia="Arial" w:hAnsi="Arial"/>
          <w:sz w:val="16"/>
          <w:szCs w:val="16"/>
          <w:color w:val="auto"/>
        </w:rPr>
        <w:t>During the period from October 1, 2022 to November 14, 2022, the Company sold an additional 4,587,685 Common Shares, at an average price of US$0.4784 per Common Share, for aggregate gross proceeds of US$2,195, through its ATM Program.</w:t>
      </w:r>
    </w:p>
    <w:p>
      <w:pPr>
        <w:spacing w:after="0" w:line="117" w:lineRule="exact"/>
        <w:rPr>
          <w:sz w:val="20"/>
          <w:szCs w:val="20"/>
          <w:color w:val="auto"/>
        </w:rPr>
      </w:pPr>
    </w:p>
    <w:p>
      <w:pPr>
        <w:ind w:left="302"/>
        <w:spacing w:after="0"/>
        <w:rPr>
          <w:sz w:val="20"/>
          <w:szCs w:val="20"/>
          <w:color w:val="auto"/>
        </w:rPr>
      </w:pPr>
      <w:r>
        <w:rPr>
          <w:rFonts w:ascii="Arial" w:cs="Arial" w:eastAsia="Arial" w:hAnsi="Arial"/>
          <w:sz w:val="16"/>
          <w:szCs w:val="16"/>
          <w:b w:val="1"/>
          <w:bCs w:val="1"/>
          <w:color w:val="auto"/>
        </w:rPr>
        <w:t>(b) Expired Securities</w:t>
      </w:r>
    </w:p>
    <w:p>
      <w:pPr>
        <w:spacing w:after="0" w:line="19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During the period from October 1, 2022 to November 14, 2022, 93,750 options and 1,153,713 warrants expired.</w:t>
      </w:r>
    </w:p>
    <w:p>
      <w:pPr>
        <w:spacing w:after="0" w:line="138" w:lineRule="exact"/>
        <w:rPr>
          <w:sz w:val="20"/>
          <w:szCs w:val="20"/>
          <w:color w:val="auto"/>
        </w:rPr>
      </w:pPr>
    </w:p>
    <w:p>
      <w:pPr>
        <w:ind w:left="302"/>
        <w:spacing w:after="0"/>
        <w:rPr>
          <w:sz w:val="20"/>
          <w:szCs w:val="20"/>
          <w:color w:val="auto"/>
        </w:rPr>
      </w:pPr>
      <w:r>
        <w:rPr>
          <w:rFonts w:ascii="Arial" w:cs="Arial" w:eastAsia="Arial" w:hAnsi="Arial"/>
          <w:sz w:val="16"/>
          <w:szCs w:val="16"/>
          <w:b w:val="1"/>
          <w:bCs w:val="1"/>
          <w:color w:val="auto"/>
        </w:rPr>
        <w:t>(c) Exchange of Class B Shares</w:t>
      </w:r>
    </w:p>
    <w:p>
      <w:pPr>
        <w:spacing w:after="0" w:line="19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On October 7, 2022, Former Adelia Shareholders exchanged 91,257.2 Class B Shares for 912,572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Page 25 of 25</w:t>
      </w:r>
    </w:p>
    <w:p>
      <w:pPr>
        <w:sectPr>
          <w:pgSz w:w="11900" w:h="16838" w:orient="portrait"/>
          <w:cols w:equalWidth="0" w:num="1">
            <w:col w:w="11262"/>
          </w:cols>
          <w:pgMar w:left="318" w:top="171" w:right="3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3119120</wp:posOffset>
            </wp:positionH>
            <wp:positionV relativeFrom="page">
              <wp:posOffset>2369820</wp:posOffset>
            </wp:positionV>
            <wp:extent cx="1318895" cy="822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18895" cy="82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Cybin Inc.</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 Financial Condition and Operating Performance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 the three and six months ended September 30, 2022</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November 14, 2022</w:t>
      </w:r>
    </w:p>
    <w:p>
      <w:pPr>
        <w:sectPr>
          <w:pgSz w:w="11900" w:h="16838" w:orient="portrait"/>
          <w:cols w:equalWidth="0" w:num="1">
            <w:col w:w="9019"/>
          </w:cols>
          <w:pgMar w:left="1440" w:top="1440"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CYBIN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Management’s Discussion and Analysis (“</w:t>
      </w:r>
      <w:r>
        <w:rPr>
          <w:rFonts w:ascii="Arial" w:cs="Arial" w:eastAsia="Arial" w:hAnsi="Arial"/>
          <w:sz w:val="17"/>
          <w:szCs w:val="17"/>
          <w:b w:val="1"/>
          <w:bCs w:val="1"/>
          <w:color w:val="auto"/>
        </w:rPr>
        <w:t>MD&amp;A</w:t>
      </w:r>
      <w:r>
        <w:rPr>
          <w:rFonts w:ascii="Arial" w:cs="Arial" w:eastAsia="Arial" w:hAnsi="Arial"/>
          <w:sz w:val="17"/>
          <w:szCs w:val="17"/>
          <w:color w:val="auto"/>
        </w:rPr>
        <w:t>”) has been prepared by management of Cybin Inc.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and should be read in conjunction with Cybin’s interim condensed consolidated financial statements and notes for the three and six months ended September 30, 2022 (the “</w:t>
      </w:r>
      <w:r>
        <w:rPr>
          <w:rFonts w:ascii="Arial" w:cs="Arial" w:eastAsia="Arial" w:hAnsi="Arial"/>
          <w:sz w:val="17"/>
          <w:szCs w:val="17"/>
          <w:b w:val="1"/>
          <w:bCs w:val="1"/>
          <w:color w:val="auto"/>
        </w:rPr>
        <w:t>Interim Financial Statements</w:t>
      </w:r>
      <w:r>
        <w:rPr>
          <w:rFonts w:ascii="Arial" w:cs="Arial" w:eastAsia="Arial" w:hAnsi="Arial"/>
          <w:sz w:val="17"/>
          <w:szCs w:val="17"/>
          <w:color w:val="auto"/>
        </w:rPr>
        <w:t>”). This MD&amp;A does not address all of the changes to the Company and its business, such changes are addressed in the Company’s most recently filed annual information form (the “</w:t>
      </w:r>
      <w:r>
        <w:rPr>
          <w:rFonts w:ascii="Arial" w:cs="Arial" w:eastAsia="Arial" w:hAnsi="Arial"/>
          <w:sz w:val="17"/>
          <w:szCs w:val="17"/>
          <w:b w:val="1"/>
          <w:bCs w:val="1"/>
          <w:color w:val="auto"/>
        </w:rPr>
        <w:t>AIF</w:t>
      </w:r>
      <w:r>
        <w:rPr>
          <w:rFonts w:ascii="Arial" w:cs="Arial" w:eastAsia="Arial" w:hAnsi="Arial"/>
          <w:sz w:val="17"/>
          <w:szCs w:val="17"/>
          <w:color w:val="auto"/>
        </w:rPr>
        <w:t>”) on SEDAR. The Interim Financial Statements have been prepared using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xml:space="preserve">") as issued by the International Accounting Standards Board. All amounts are in Canadian dollars unless otherwise indicated. The Interim Financial Statements may be viewed on the SEDAR profile of Cybin at </w:t>
      </w:r>
      <w:r>
        <w:rPr>
          <w:rFonts w:ascii="Arial" w:cs="Arial" w:eastAsia="Arial" w:hAnsi="Arial"/>
          <w:sz w:val="17"/>
          <w:szCs w:val="17"/>
          <w:i w:val="1"/>
          <w:iCs w:val="1"/>
          <w:u w:val="single" w:color="auto"/>
          <w:color w:val="0563C1"/>
        </w:rPr>
        <w:t>www.sedar.com</w:t>
      </w:r>
      <w:r>
        <w:rPr>
          <w:rFonts w:ascii="Arial" w:cs="Arial" w:eastAsia="Arial" w:hAnsi="Arial"/>
          <w:sz w:val="17"/>
          <w:szCs w:val="17"/>
          <w:color w:val="auto"/>
        </w:rPr>
        <w:t>.</w:t>
      </w:r>
    </w:p>
    <w:p>
      <w:pPr>
        <w:spacing w:after="0" w:line="160"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This MD&amp;A contains disclosure related to Cybin occurring up to and including November 14, 2022. Unless otherwise indicated, all amounts in this MD&amp;A are in thousands of Canadian dollars.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Arial" w:cs="Arial" w:eastAsia="Arial" w:hAnsi="Arial"/>
          <w:sz w:val="17"/>
          <w:szCs w:val="17"/>
          <w:b w:val="1"/>
          <w:bCs w:val="1"/>
          <w:color w:val="auto"/>
        </w:rPr>
        <w:t>SubCo</w:t>
      </w:r>
      <w:r>
        <w:rPr>
          <w:rFonts w:ascii="Arial" w:cs="Arial" w:eastAsia="Arial" w:hAnsi="Arial"/>
          <w:sz w:val="17"/>
          <w:szCs w:val="17"/>
          <w:color w:val="auto"/>
        </w:rPr>
        <w:t>”), a wholly-owned subsidiary of the Company (the “</w:t>
      </w:r>
      <w:r>
        <w:rPr>
          <w:rFonts w:ascii="Arial" w:cs="Arial" w:eastAsia="Arial" w:hAnsi="Arial"/>
          <w:sz w:val="17"/>
          <w:szCs w:val="17"/>
          <w:b w:val="1"/>
          <w:bCs w:val="1"/>
          <w:color w:val="auto"/>
        </w:rPr>
        <w:t>Reverse Takeover</w:t>
      </w:r>
      <w:r>
        <w:rPr>
          <w:rFonts w:ascii="Arial" w:cs="Arial" w:eastAsia="Arial" w:hAnsi="Arial"/>
          <w:sz w:val="17"/>
          <w:szCs w:val="17"/>
          <w:color w:val="auto"/>
        </w:rPr>
        <w:t xml:space="preserve">”).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69"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Some of the risks which could affect future results and could cause results to differ materially from those expressed in the forward-looking statements contained herein include:</w:t>
      </w:r>
    </w:p>
    <w:p>
      <w:pPr>
        <w:spacing w:after="0" w:line="163" w:lineRule="exact"/>
        <w:rPr>
          <w:sz w:val="20"/>
          <w:szCs w:val="20"/>
          <w:color w:val="auto"/>
        </w:rPr>
      </w:pPr>
    </w:p>
    <w:p>
      <w:pPr>
        <w:ind w:left="1160" w:hanging="57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novel coronavirus “COVID-19”;</w:t>
      </w:r>
    </w:p>
    <w:p>
      <w:pPr>
        <w:spacing w:after="0" w:line="16" w:lineRule="exact"/>
        <w:rPr>
          <w:rFonts w:ascii="Arial" w:cs="Arial" w:eastAsia="Arial" w:hAnsi="Arial"/>
          <w:sz w:val="18"/>
          <w:szCs w:val="18"/>
          <w:color w:val="auto"/>
        </w:rPr>
      </w:pPr>
    </w:p>
    <w:p>
      <w:pPr>
        <w:ind w:left="1160" w:hanging="57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operating history;</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publicly announced milestones;</w:t>
      </w:r>
    </w:p>
    <w:p>
      <w:pPr>
        <w:spacing w:after="0" w:line="12" w:lineRule="exact"/>
        <w:rPr>
          <w:rFonts w:ascii="Arial" w:cs="Arial" w:eastAsia="Arial" w:hAnsi="Arial"/>
          <w:sz w:val="18"/>
          <w:szCs w:val="18"/>
          <w:color w:val="auto"/>
        </w:rPr>
      </w:pPr>
    </w:p>
    <w:p>
      <w:pPr>
        <w:ind w:left="1160" w:hanging="57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speculative nature of investment risk;</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early stage of the industry and product development;</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risks and uncertainties</w:t>
      </w:r>
    </w:p>
    <w:p>
      <w:pPr>
        <w:spacing w:after="0" w:line="15" w:lineRule="exact"/>
        <w:rPr>
          <w:rFonts w:ascii="Arial" w:cs="Arial" w:eastAsia="Arial" w:hAnsi="Arial"/>
          <w:sz w:val="18"/>
          <w:szCs w:val="18"/>
          <w:color w:val="auto"/>
        </w:rPr>
      </w:pPr>
    </w:p>
    <w:p>
      <w:pPr>
        <w:ind w:left="1160" w:hanging="576"/>
        <w:spacing w:after="0"/>
        <w:tabs>
          <w:tab w:leader="none" w:pos="1160" w:val="left"/>
        </w:tabs>
        <w:numPr>
          <w:ilvl w:val="0"/>
          <w:numId w:val="19"/>
        </w:numPr>
        <w:rPr>
          <w:rFonts w:ascii="Arial" w:cs="Arial" w:eastAsia="Arial" w:hAnsi="Arial"/>
          <w:sz w:val="20"/>
          <w:szCs w:val="20"/>
          <w:color w:val="auto"/>
        </w:rPr>
      </w:pPr>
      <w:r>
        <w:rPr>
          <w:rFonts w:ascii="Arial" w:cs="Arial" w:eastAsia="Arial" w:hAnsi="Arial"/>
          <w:sz w:val="18"/>
          <w:szCs w:val="18"/>
          <w:color w:val="auto"/>
        </w:rPr>
        <w:t>risks of operating in European countries;</w:t>
      </w:r>
    </w:p>
    <w:p>
      <w:pPr>
        <w:spacing w:after="0" w:line="3" w:lineRule="exact"/>
        <w:rPr>
          <w:rFonts w:ascii="Arial" w:cs="Arial" w:eastAsia="Arial" w:hAnsi="Arial"/>
          <w:sz w:val="20"/>
          <w:szCs w:val="20"/>
          <w:color w:val="auto"/>
        </w:rPr>
      </w:pPr>
    </w:p>
    <w:p>
      <w:pPr>
        <w:ind w:left="1160" w:hanging="57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for growth;</w:t>
      </w:r>
    </w:p>
    <w:p>
      <w:pPr>
        <w:spacing w:after="0" w:line="8" w:lineRule="exact"/>
        <w:rPr>
          <w:rFonts w:ascii="Arial" w:cs="Arial" w:eastAsia="Arial" w:hAnsi="Arial"/>
          <w:sz w:val="18"/>
          <w:szCs w:val="18"/>
          <w:color w:val="auto"/>
        </w:rPr>
      </w:pPr>
    </w:p>
    <w:p>
      <w:pPr>
        <w:ind w:left="1160" w:hanging="57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products;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705" w:right="319" w:bottom="1440" w:gutter="0" w:footer="0" w:header="0"/>
        </w:sectPr>
      </w:pPr>
    </w:p>
    <w:bookmarkStart w:id="30" w:name="page31"/>
    <w:bookmarkEnd w:id="30"/>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marketing and sales capabilities;</w:t>
      </w:r>
    </w:p>
    <w:p>
      <w:pPr>
        <w:spacing w:after="0" w:line="22"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assurance of commercial success;</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profits or significant revenues;</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on third parties for clinical development activities;</w:t>
      </w:r>
    </w:p>
    <w:p>
      <w:pPr>
        <w:spacing w:after="0" w:line="12"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third party relationships;</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on contract manufacturers;</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and efficacy of products;</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testing and commercializing products;</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of clinical trials;</w:t>
      </w:r>
    </w:p>
    <w:p>
      <w:pPr>
        <w:spacing w:after="0" w:line="12"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grade product manufacturing;</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nature of regulatory approvals;</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unfavourable publicity or consumer perception;</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social media;</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biotechnology and pharmaceutical market competition;</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on key executives and scientists;</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misconduct;</w:t>
      </w:r>
    </w:p>
    <w:p>
      <w:pPr>
        <w:spacing w:after="0" w:line="12"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expansion and growth;</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results of external clinical trials or studies;</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enforcing contracts;</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2"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distribution and supply chain interruption;</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to forecast;</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promoting the brand;</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viability;</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 of quality control systems;</w:t>
      </w:r>
    </w:p>
    <w:p>
      <w:pPr>
        <w:spacing w:after="0" w:line="12"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on key inputs;</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arising from fraudulent or illegal activity;</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risk and insurance coverage;</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operating as public company;</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of growth;</w:t>
      </w:r>
    </w:p>
    <w:p>
      <w:pPr>
        <w:spacing w:after="0" w:line="12"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operations;</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cybersecurity and privacy risk;</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regulation and risks;</w:t>
      </w:r>
    </w:p>
    <w:p>
      <w:pPr>
        <w:spacing w:after="0" w:line="20" w:lineRule="exact"/>
        <w:rPr>
          <w:rFonts w:ascii="Arial" w:cs="Arial" w:eastAsia="Arial" w:hAnsi="Arial"/>
          <w:sz w:val="18"/>
          <w:szCs w:val="18"/>
          <w:color w:val="auto"/>
        </w:rPr>
      </w:pPr>
    </w:p>
    <w:p>
      <w:pPr>
        <w:ind w:left="1160" w:hanging="576"/>
        <w:spacing w:after="0"/>
        <w:tabs>
          <w:tab w:leader="none" w:pos="1160" w:val="left"/>
        </w:tabs>
        <w:numPr>
          <w:ilvl w:val="0"/>
          <w:numId w:val="20"/>
        </w:numPr>
        <w:rPr>
          <w:rFonts w:ascii="Arial" w:cs="Arial" w:eastAsia="Arial" w:hAnsi="Arial"/>
          <w:sz w:val="20"/>
          <w:szCs w:val="20"/>
          <w:color w:val="auto"/>
        </w:rPr>
      </w:pPr>
      <w:r>
        <w:rPr>
          <w:rFonts w:ascii="Arial" w:cs="Arial" w:eastAsia="Arial" w:hAnsi="Arial"/>
          <w:sz w:val="18"/>
          <w:szCs w:val="18"/>
          <w:color w:val="auto"/>
        </w:rPr>
        <w:t>decriminalisation of psychedelics;</w:t>
      </w:r>
    </w:p>
    <w:p>
      <w:pPr>
        <w:spacing w:after="0" w:line="14" w:lineRule="exact"/>
        <w:rPr>
          <w:rFonts w:ascii="Arial" w:cs="Arial" w:eastAsia="Arial" w:hAnsi="Arial"/>
          <w:sz w:val="20"/>
          <w:szCs w:val="20"/>
          <w:color w:val="auto"/>
        </w:rPr>
      </w:pPr>
    </w:p>
    <w:p>
      <w:pPr>
        <w:ind w:left="1160" w:hanging="576"/>
        <w:spacing w:after="0"/>
        <w:tabs>
          <w:tab w:leader="none" w:pos="1160" w:val="left"/>
        </w:tabs>
        <w:numPr>
          <w:ilvl w:val="0"/>
          <w:numId w:val="20"/>
        </w:numPr>
        <w:rPr>
          <w:rFonts w:ascii="Arial" w:cs="Arial" w:eastAsia="Arial" w:hAnsi="Arial"/>
          <w:sz w:val="20"/>
          <w:szCs w:val="20"/>
          <w:color w:val="auto"/>
        </w:rPr>
      </w:pPr>
      <w:r>
        <w:rPr>
          <w:rFonts w:ascii="Arial" w:cs="Arial" w:eastAsia="Arial" w:hAnsi="Arial"/>
          <w:sz w:val="18"/>
          <w:szCs w:val="18"/>
          <w:color w:val="auto"/>
        </w:rPr>
        <w:t>forward-looking statements may prove to be inaccurate;</w:t>
      </w:r>
    </w:p>
    <w:p>
      <w:pPr>
        <w:spacing w:after="0" w:line="3" w:lineRule="exact"/>
        <w:rPr>
          <w:rFonts w:ascii="Arial" w:cs="Arial" w:eastAsia="Arial" w:hAnsi="Arial"/>
          <w:sz w:val="20"/>
          <w:szCs w:val="20"/>
          <w:color w:val="auto"/>
        </w:rPr>
      </w:pPr>
    </w:p>
    <w:p>
      <w:pPr>
        <w:ind w:left="1160" w:hanging="576"/>
        <w:spacing w:after="0" w:line="238" w:lineRule="auto"/>
        <w:tabs>
          <w:tab w:leader="none" w:pos="1160" w:val="left"/>
        </w:tabs>
        <w:numPr>
          <w:ilvl w:val="0"/>
          <w:numId w:val="20"/>
        </w:numPr>
        <w:rPr>
          <w:rFonts w:ascii="Arial" w:cs="Arial" w:eastAsia="Arial" w:hAnsi="Arial"/>
          <w:sz w:val="20"/>
          <w:szCs w:val="20"/>
          <w:color w:val="auto"/>
        </w:rPr>
      </w:pPr>
      <w:r>
        <w:rPr>
          <w:rFonts w:ascii="Arial" w:cs="Arial" w:eastAsia="Arial" w:hAnsi="Arial"/>
          <w:sz w:val="18"/>
          <w:szCs w:val="18"/>
          <w:color w:val="auto"/>
        </w:rPr>
        <w:t>effects of inflation;</w:t>
      </w:r>
    </w:p>
    <w:p>
      <w:pPr>
        <w:spacing w:after="0" w:line="14" w:lineRule="exact"/>
        <w:rPr>
          <w:rFonts w:ascii="Arial" w:cs="Arial" w:eastAsia="Arial" w:hAnsi="Arial"/>
          <w:sz w:val="20"/>
          <w:szCs w:val="20"/>
          <w:color w:val="auto"/>
        </w:rPr>
      </w:pPr>
    </w:p>
    <w:p>
      <w:pPr>
        <w:ind w:left="1160" w:hanging="576"/>
        <w:spacing w:after="0"/>
        <w:tabs>
          <w:tab w:leader="none" w:pos="1160" w:val="left"/>
        </w:tabs>
        <w:numPr>
          <w:ilvl w:val="0"/>
          <w:numId w:val="20"/>
        </w:numPr>
        <w:rPr>
          <w:rFonts w:ascii="Arial" w:cs="Arial" w:eastAsia="Arial" w:hAnsi="Arial"/>
          <w:sz w:val="20"/>
          <w:szCs w:val="20"/>
          <w:color w:val="auto"/>
        </w:rPr>
      </w:pPr>
      <w:r>
        <w:rPr>
          <w:rFonts w:ascii="Arial" w:cs="Arial" w:eastAsia="Arial" w:hAnsi="Arial"/>
          <w:sz w:val="18"/>
          <w:szCs w:val="18"/>
          <w:color w:val="auto"/>
        </w:rPr>
        <w:t>political and economic conditions;</w:t>
      </w:r>
    </w:p>
    <w:p>
      <w:pPr>
        <w:spacing w:after="0" w:line="3" w:lineRule="exact"/>
        <w:rPr>
          <w:rFonts w:ascii="Arial" w:cs="Arial" w:eastAsia="Arial" w:hAnsi="Arial"/>
          <w:sz w:val="20"/>
          <w:szCs w:val="20"/>
          <w:color w:val="auto"/>
        </w:rPr>
      </w:pPr>
    </w:p>
    <w:p>
      <w:pPr>
        <w:ind w:left="1160" w:hanging="576"/>
        <w:spacing w:after="0" w:line="238" w:lineRule="auto"/>
        <w:tabs>
          <w:tab w:leader="none" w:pos="1160" w:val="left"/>
        </w:tabs>
        <w:numPr>
          <w:ilvl w:val="0"/>
          <w:numId w:val="20"/>
        </w:numPr>
        <w:rPr>
          <w:rFonts w:ascii="Arial" w:cs="Arial" w:eastAsia="Arial" w:hAnsi="Arial"/>
          <w:sz w:val="20"/>
          <w:szCs w:val="20"/>
          <w:color w:val="auto"/>
        </w:rPr>
      </w:pPr>
      <w:r>
        <w:rPr>
          <w:rFonts w:ascii="Arial" w:cs="Arial" w:eastAsia="Arial" w:hAnsi="Arial"/>
          <w:sz w:val="18"/>
          <w:szCs w:val="18"/>
          <w:color w:val="auto"/>
        </w:rPr>
        <w:t>application and interpretation of tax laws;</w:t>
      </w:r>
    </w:p>
    <w:p>
      <w:pPr>
        <w:spacing w:after="0" w:line="14" w:lineRule="exact"/>
        <w:rPr>
          <w:rFonts w:ascii="Arial" w:cs="Arial" w:eastAsia="Arial" w:hAnsi="Arial"/>
          <w:sz w:val="20"/>
          <w:szCs w:val="20"/>
          <w:color w:val="auto"/>
        </w:rPr>
      </w:pPr>
    </w:p>
    <w:p>
      <w:pPr>
        <w:ind w:left="1160" w:hanging="576"/>
        <w:spacing w:after="0"/>
        <w:tabs>
          <w:tab w:leader="none" w:pos="1160" w:val="left"/>
        </w:tabs>
        <w:numPr>
          <w:ilvl w:val="0"/>
          <w:numId w:val="20"/>
        </w:numPr>
        <w:rPr>
          <w:rFonts w:ascii="Arial" w:cs="Arial" w:eastAsia="Arial" w:hAnsi="Arial"/>
          <w:sz w:val="20"/>
          <w:szCs w:val="20"/>
          <w:color w:val="auto"/>
        </w:rPr>
      </w:pPr>
      <w:r>
        <w:rPr>
          <w:rFonts w:ascii="Arial" w:cs="Arial" w:eastAsia="Arial" w:hAnsi="Arial"/>
          <w:sz w:val="18"/>
          <w:szCs w:val="18"/>
          <w:color w:val="auto"/>
        </w:rPr>
        <w:t>enforcement of civil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Intellectual Property:</w:t>
      </w:r>
    </w:p>
    <w:p>
      <w:pPr>
        <w:spacing w:after="0" w:line="17" w:lineRule="exact"/>
        <w:rPr>
          <w:sz w:val="20"/>
          <w:szCs w:val="20"/>
          <w:color w:val="auto"/>
        </w:rPr>
      </w:pPr>
    </w:p>
    <w:p>
      <w:pPr>
        <w:ind w:left="1160" w:hanging="576"/>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trademark protection;</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 secrets;</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 law reform;</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 litigation and intellectual property;</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licences;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Financial and Accounting Risks:</w:t>
      </w:r>
    </w:p>
    <w:p>
      <w:pPr>
        <w:spacing w:after="0" w:line="25" w:lineRule="exact"/>
        <w:rPr>
          <w:sz w:val="20"/>
          <w:szCs w:val="20"/>
          <w:color w:val="auto"/>
        </w:rPr>
      </w:pPr>
    </w:p>
    <w:p>
      <w:pPr>
        <w:ind w:left="1160" w:hanging="576"/>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6"/>
          <w:szCs w:val="16"/>
          <w:color w:val="auto"/>
        </w:rPr>
        <w:t>substantial number of authorized but unissued Common Shares (as defined herein);</w:t>
      </w:r>
    </w:p>
    <w:p>
      <w:pPr>
        <w:spacing w:after="0" w:line="38" w:lineRule="exact"/>
        <w:rPr>
          <w:rFonts w:ascii="Arial" w:cs="Arial" w:eastAsia="Arial" w:hAnsi="Arial"/>
          <w:sz w:val="17"/>
          <w:szCs w:val="17"/>
          <w:color w:val="auto"/>
        </w:rPr>
      </w:pPr>
    </w:p>
    <w:p>
      <w:pPr>
        <w:ind w:left="1160" w:hanging="57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dilution;</w:t>
      </w:r>
    </w:p>
    <w:p>
      <w:pPr>
        <w:spacing w:after="0" w:line="3" w:lineRule="exact"/>
        <w:rPr>
          <w:rFonts w:ascii="Arial" w:cs="Arial" w:eastAsia="Arial" w:hAnsi="Arial"/>
          <w:sz w:val="18"/>
          <w:szCs w:val="18"/>
          <w:color w:val="auto"/>
        </w:rPr>
      </w:pPr>
    </w:p>
    <w:p>
      <w:pPr>
        <w:ind w:left="1160" w:hanging="57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cash flow from operating activities;</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capital requirements;</w:t>
      </w:r>
    </w:p>
    <w:p>
      <w:pPr>
        <w:spacing w:after="0" w:line="12" w:lineRule="exact"/>
        <w:rPr>
          <w:rFonts w:ascii="Arial" w:cs="Arial" w:eastAsia="Arial" w:hAnsi="Arial"/>
          <w:sz w:val="18"/>
          <w:szCs w:val="18"/>
          <w:color w:val="auto"/>
        </w:rPr>
      </w:pPr>
    </w:p>
    <w:p>
      <w:pPr>
        <w:ind w:left="1160" w:hanging="57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significant product revenue;</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estimates or judgments relating to critical accounting policies;</w:t>
      </w:r>
    </w:p>
    <w:p>
      <w:pPr>
        <w:sectPr>
          <w:pgSz w:w="11900" w:h="16838" w:orient="portrait"/>
          <w:cols w:equalWidth="0" w:num="1">
            <w:col w:w="10139"/>
          </w:cols>
          <w:pgMar w:left="320" w:top="709"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139"/>
          </w:cols>
          <w:pgMar w:left="320" w:top="709"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Risks related to the Common Shares:</w:t>
      </w:r>
    </w:p>
    <w:p>
      <w:pPr>
        <w:spacing w:after="0" w:line="23" w:lineRule="exact"/>
        <w:rPr>
          <w:sz w:val="20"/>
          <w:szCs w:val="20"/>
          <w:color w:val="auto"/>
        </w:rPr>
      </w:pPr>
    </w:p>
    <w:p>
      <w:pPr>
        <w:ind w:left="1160" w:hanging="576"/>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for the Common Shares;</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sales of Common Shares;</w:t>
      </w:r>
    </w:p>
    <w:p>
      <w:pPr>
        <w:spacing w:after="0" w:line="6" w:lineRule="exact"/>
        <w:rPr>
          <w:rFonts w:ascii="Arial" w:cs="Arial" w:eastAsia="Arial" w:hAnsi="Arial"/>
          <w:sz w:val="18"/>
          <w:szCs w:val="18"/>
          <w:color w:val="auto"/>
        </w:rPr>
      </w:pPr>
    </w:p>
    <w:p>
      <w:pPr>
        <w:ind w:left="1160" w:hanging="576"/>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volatile market price for the Common Shares;</w:t>
      </w:r>
    </w:p>
    <w:p>
      <w:pPr>
        <w:spacing w:after="0" w:line="12" w:lineRule="exact"/>
        <w:rPr>
          <w:rFonts w:ascii="Arial" w:cs="Arial" w:eastAsia="Arial" w:hAnsi="Arial"/>
          <w:sz w:val="18"/>
          <w:szCs w:val="18"/>
          <w:color w:val="auto"/>
        </w:rPr>
      </w:pPr>
    </w:p>
    <w:p>
      <w:pPr>
        <w:ind w:left="1160" w:hanging="576"/>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issues; and</w:t>
      </w:r>
    </w:p>
    <w:p>
      <w:pPr>
        <w:spacing w:after="0" w:line="7" w:lineRule="exact"/>
        <w:rPr>
          <w:rFonts w:ascii="Arial" w:cs="Arial" w:eastAsia="Arial" w:hAnsi="Arial"/>
          <w:sz w:val="18"/>
          <w:szCs w:val="18"/>
          <w:color w:val="auto"/>
        </w:rPr>
      </w:pPr>
    </w:p>
    <w:p>
      <w:pPr>
        <w:ind w:left="1160" w:hanging="576"/>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dividends;</w:t>
      </w: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68" w:lineRule="exact"/>
        <w:rPr>
          <w:sz w:val="20"/>
          <w:szCs w:val="20"/>
          <w:color w:val="auto"/>
        </w:rPr>
      </w:pPr>
    </w:p>
    <w:p>
      <w:pPr>
        <w:ind w:left="580" w:right="20" w:hanging="292"/>
        <w:spacing w:after="0" w:line="253" w:lineRule="auto"/>
        <w:tabs>
          <w:tab w:leader="none" w:pos="5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uncertainty as to the Company’s ability to raise additional funding to support operations;</w:t>
      </w:r>
    </w:p>
    <w:p>
      <w:pPr>
        <w:spacing w:after="0" w:line="7" w:lineRule="exact"/>
        <w:rPr>
          <w:rFonts w:ascii="Arial" w:cs="Arial" w:eastAsia="Arial" w:hAnsi="Arial"/>
          <w:sz w:val="18"/>
          <w:szCs w:val="18"/>
          <w:color w:val="auto"/>
        </w:rPr>
      </w:pP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ability to access additional funding;</w:t>
      </w:r>
    </w:p>
    <w:p>
      <w:pPr>
        <w:spacing w:after="0" w:line="6" w:lineRule="exact"/>
        <w:rPr>
          <w:rFonts w:ascii="Arial" w:cs="Arial" w:eastAsia="Arial" w:hAnsi="Arial"/>
          <w:sz w:val="18"/>
          <w:szCs w:val="18"/>
          <w:color w:val="auto"/>
        </w:rPr>
      </w:pP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spacing w:after="0" w:line="7" w:lineRule="exact"/>
        <w:rPr>
          <w:rFonts w:ascii="Arial" w:cs="Arial" w:eastAsia="Arial" w:hAnsi="Arial"/>
          <w:sz w:val="18"/>
          <w:szCs w:val="18"/>
          <w:color w:val="auto"/>
        </w:rPr>
      </w:pP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spacing w:after="0" w:line="6" w:lineRule="exact"/>
        <w:rPr>
          <w:rFonts w:ascii="Arial" w:cs="Arial" w:eastAsia="Arial" w:hAnsi="Arial"/>
          <w:sz w:val="18"/>
          <w:szCs w:val="18"/>
          <w:color w:val="auto"/>
        </w:rPr>
      </w:pP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Company’s product candidates which are at early stages of development;</w:t>
      </w:r>
    </w:p>
    <w:p>
      <w:pPr>
        <w:spacing w:after="0" w:line="12" w:lineRule="exact"/>
        <w:rPr>
          <w:rFonts w:ascii="Arial" w:cs="Arial" w:eastAsia="Arial" w:hAnsi="Arial"/>
          <w:sz w:val="18"/>
          <w:szCs w:val="18"/>
          <w:color w:val="auto"/>
        </w:rPr>
      </w:pP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reliance upon industry publications as the Company’s primary sources for third-party industry data and forecasts;</w:t>
      </w:r>
    </w:p>
    <w:p>
      <w:pPr>
        <w:spacing w:after="0" w:line="7" w:lineRule="exact"/>
        <w:rPr>
          <w:rFonts w:ascii="Arial" w:cs="Arial" w:eastAsia="Arial" w:hAnsi="Arial"/>
          <w:sz w:val="18"/>
          <w:szCs w:val="18"/>
          <w:color w:val="auto"/>
        </w:rPr>
      </w:pP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Company’s preclinical studies and clinical trials;</w:t>
      </w:r>
    </w:p>
    <w:p>
      <w:pPr>
        <w:spacing w:after="0" w:line="6" w:lineRule="exact"/>
        <w:rPr>
          <w:rFonts w:ascii="Arial" w:cs="Arial" w:eastAsia="Arial" w:hAnsi="Arial"/>
          <w:sz w:val="18"/>
          <w:szCs w:val="18"/>
          <w:color w:val="auto"/>
        </w:rPr>
      </w:pP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spacing w:after="0" w:line="7" w:lineRule="exact"/>
        <w:rPr>
          <w:rFonts w:ascii="Arial" w:cs="Arial" w:eastAsia="Arial" w:hAnsi="Arial"/>
          <w:sz w:val="18"/>
          <w:szCs w:val="18"/>
          <w:color w:val="auto"/>
        </w:rPr>
      </w:pPr>
    </w:p>
    <w:p>
      <w:pPr>
        <w:ind w:left="580" w:right="20" w:hanging="292"/>
        <w:spacing w:after="0" w:line="251" w:lineRule="auto"/>
        <w:tabs>
          <w:tab w:leader="none" w:pos="5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product candidates may fail to demonstrate safety and efficacy to the satisfaction of regulatory authorities or may not otherwise produce positive results;</w:t>
      </w: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spacing w:after="0" w:line="7" w:lineRule="exact"/>
        <w:rPr>
          <w:rFonts w:ascii="Arial" w:cs="Arial" w:eastAsia="Arial" w:hAnsi="Arial"/>
          <w:sz w:val="18"/>
          <w:szCs w:val="18"/>
          <w:color w:val="auto"/>
        </w:rPr>
      </w:pP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spacing w:after="0" w:line="6" w:lineRule="exact"/>
        <w:rPr>
          <w:rFonts w:ascii="Arial" w:cs="Arial" w:eastAsia="Arial" w:hAnsi="Arial"/>
          <w:sz w:val="18"/>
          <w:szCs w:val="18"/>
          <w:color w:val="auto"/>
        </w:rPr>
      </w:pP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spacing w:after="0" w:line="7" w:lineRule="exact"/>
        <w:rPr>
          <w:rFonts w:ascii="Arial" w:cs="Arial" w:eastAsia="Arial" w:hAnsi="Arial"/>
          <w:sz w:val="18"/>
          <w:szCs w:val="18"/>
          <w:color w:val="auto"/>
        </w:rPr>
      </w:pPr>
    </w:p>
    <w:p>
      <w:pPr>
        <w:ind w:left="580" w:right="20" w:hanging="292"/>
        <w:spacing w:after="0" w:line="251" w:lineRule="auto"/>
        <w:tabs>
          <w:tab w:leader="none" w:pos="5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reliance on the capabilities and experience of the Company’s key executives and scientists and the resulting loss of any of these individuals;</w:t>
      </w: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ability to fully realize the benefits of acquisitions;</w:t>
      </w:r>
    </w:p>
    <w:p>
      <w:pPr>
        <w:spacing w:after="0" w:line="7" w:lineRule="exact"/>
        <w:rPr>
          <w:rFonts w:ascii="Arial" w:cs="Arial" w:eastAsia="Arial" w:hAnsi="Arial"/>
          <w:sz w:val="18"/>
          <w:szCs w:val="18"/>
          <w:color w:val="auto"/>
        </w:rPr>
      </w:pP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ability to adequately protect the Company’s intellectual property and trade secrets;</w:t>
      </w:r>
    </w:p>
    <w:p>
      <w:pPr>
        <w:spacing w:after="0" w:line="6" w:lineRule="exact"/>
        <w:rPr>
          <w:rFonts w:ascii="Arial" w:cs="Arial" w:eastAsia="Arial" w:hAnsi="Arial"/>
          <w:sz w:val="18"/>
          <w:szCs w:val="18"/>
          <w:color w:val="auto"/>
        </w:rPr>
      </w:pPr>
    </w:p>
    <w:p>
      <w:pPr>
        <w:ind w:left="540" w:hanging="25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spacing w:after="0" w:line="12" w:lineRule="exact"/>
        <w:rPr>
          <w:rFonts w:ascii="Arial" w:cs="Arial" w:eastAsia="Arial" w:hAnsi="Arial"/>
          <w:sz w:val="18"/>
          <w:szCs w:val="18"/>
          <w:color w:val="auto"/>
        </w:rPr>
      </w:pPr>
    </w:p>
    <w:p>
      <w:pPr>
        <w:ind w:left="580" w:right="20" w:hanging="292"/>
        <w:spacing w:after="0" w:line="257" w:lineRule="auto"/>
        <w:tabs>
          <w:tab w:leader="none" w:pos="578" w:val="left"/>
        </w:tabs>
        <w:numPr>
          <w:ilvl w:val="0"/>
          <w:numId w:val="24"/>
        </w:numPr>
        <w:rPr>
          <w:rFonts w:ascii="Arial" w:cs="Arial" w:eastAsia="Arial" w:hAnsi="Arial"/>
          <w:sz w:val="20"/>
          <w:szCs w:val="20"/>
          <w:color w:val="auto"/>
        </w:rPr>
      </w:pPr>
      <w:r>
        <w:rPr>
          <w:rFonts w:ascii="Arial" w:cs="Arial" w:eastAsia="Arial" w:hAnsi="Arial"/>
          <w:sz w:val="18"/>
          <w:szCs w:val="18"/>
          <w:color w:val="auto"/>
        </w:rPr>
        <w:t>the risk of unforeseen changes to the laws or regulations in the United States (the “</w:t>
      </w:r>
      <w:r>
        <w:rPr>
          <w:rFonts w:ascii="Arial" w:cs="Arial" w:eastAsia="Arial" w:hAnsi="Arial"/>
          <w:sz w:val="18"/>
          <w:szCs w:val="18"/>
          <w:b w:val="1"/>
          <w:bCs w:val="1"/>
          <w:color w:val="auto"/>
        </w:rPr>
        <w:t>United States</w:t>
      </w:r>
      <w:r>
        <w:rPr>
          <w:rFonts w:ascii="Arial" w:cs="Arial" w:eastAsia="Arial" w:hAnsi="Arial"/>
          <w:sz w:val="18"/>
          <w:szCs w:val="18"/>
          <w:color w:val="auto"/>
        </w:rPr>
        <w:t>” or the “</w:t>
      </w:r>
      <w:r>
        <w:rPr>
          <w:rFonts w:ascii="Arial" w:cs="Arial" w:eastAsia="Arial" w:hAnsi="Arial"/>
          <w:sz w:val="18"/>
          <w:szCs w:val="18"/>
          <w:b w:val="1"/>
          <w:bCs w:val="1"/>
          <w:color w:val="auto"/>
        </w:rPr>
        <w:t>U.S.</w:t>
      </w:r>
      <w:r>
        <w:rPr>
          <w:rFonts w:ascii="Arial" w:cs="Arial" w:eastAsia="Arial" w:hAnsi="Arial"/>
          <w:sz w:val="18"/>
          <w:szCs w:val="18"/>
          <w:color w:val="auto"/>
        </w:rPr>
        <w:t>”), the United Kingdom (the “</w:t>
      </w:r>
      <w:r>
        <w:rPr>
          <w:rFonts w:ascii="Arial" w:cs="Arial" w:eastAsia="Arial" w:hAnsi="Arial"/>
          <w:sz w:val="18"/>
          <w:szCs w:val="18"/>
          <w:b w:val="1"/>
          <w:bCs w:val="1"/>
          <w:color w:val="auto"/>
        </w:rPr>
        <w:t>United</w:t>
      </w:r>
      <w:r>
        <w:rPr>
          <w:rFonts w:ascii="Arial" w:cs="Arial" w:eastAsia="Arial" w:hAnsi="Arial"/>
          <w:sz w:val="18"/>
          <w:szCs w:val="18"/>
          <w:color w:val="auto"/>
        </w:rPr>
        <w:t xml:space="preserve"> </w:t>
      </w:r>
      <w:r>
        <w:rPr>
          <w:rFonts w:ascii="Arial" w:cs="Arial" w:eastAsia="Arial" w:hAnsi="Arial"/>
          <w:sz w:val="18"/>
          <w:szCs w:val="18"/>
          <w:b w:val="1"/>
          <w:bCs w:val="1"/>
          <w:color w:val="auto"/>
        </w:rPr>
        <w:t>Kingdom</w:t>
      </w:r>
      <w:r>
        <w:rPr>
          <w:rFonts w:ascii="Arial" w:cs="Arial" w:eastAsia="Arial" w:hAnsi="Arial"/>
          <w:sz w:val="18"/>
          <w:szCs w:val="18"/>
          <w:color w:val="auto"/>
        </w:rPr>
        <w:t>” or the “</w:t>
      </w:r>
      <w:r>
        <w:rPr>
          <w:rFonts w:ascii="Arial" w:cs="Arial" w:eastAsia="Arial" w:hAnsi="Arial"/>
          <w:sz w:val="18"/>
          <w:szCs w:val="18"/>
          <w:b w:val="1"/>
          <w:bCs w:val="1"/>
          <w:color w:val="auto"/>
        </w:rPr>
        <w:t>UK</w:t>
      </w:r>
      <w:r>
        <w:rPr>
          <w:rFonts w:ascii="Arial" w:cs="Arial" w:eastAsia="Arial" w:hAnsi="Arial"/>
          <w:sz w:val="18"/>
          <w:szCs w:val="18"/>
          <w:color w:val="auto"/>
        </w:rPr>
        <w:t>”), Canada, the Netherlands, Ireland and other jurisdictions in which the Company operates.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7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929" w:right="319" w:bottom="1440" w:gutter="0" w:footer="0" w:header="0"/>
        </w:sectPr>
      </w:pPr>
    </w:p>
    <w:bookmarkStart w:id="32" w:name="page33"/>
    <w:bookmarkEnd w:id="32"/>
    <w:p>
      <w:pPr>
        <w:ind w:left="2"/>
        <w:spacing w:after="0"/>
        <w:rPr>
          <w:sz w:val="20"/>
          <w:szCs w:val="20"/>
          <w:color w:val="auto"/>
        </w:rPr>
      </w:pPr>
      <w:r>
        <w:rPr>
          <w:rFonts w:ascii="Arial" w:cs="Arial" w:eastAsia="Arial" w:hAnsi="Arial"/>
          <w:sz w:val="18"/>
          <w:szCs w:val="18"/>
          <w:b w:val="1"/>
          <w:bCs w:val="1"/>
          <w:i w:val="1"/>
          <w:iCs w:val="1"/>
          <w:color w:val="auto"/>
        </w:rPr>
        <w:t>Corporate Structure Overview</w:t>
      </w:r>
    </w:p>
    <w:p>
      <w:pPr>
        <w:spacing w:after="0" w:line="208" w:lineRule="exact"/>
        <w:rPr>
          <w:sz w:val="20"/>
          <w:szCs w:val="20"/>
          <w:color w:val="auto"/>
        </w:rPr>
      </w:pPr>
    </w:p>
    <w:p>
      <w:pPr>
        <w:jc w:val="both"/>
        <w:ind w:left="2" w:right="20"/>
        <w:spacing w:after="0" w:line="259" w:lineRule="auto"/>
        <w:rPr>
          <w:sz w:val="20"/>
          <w:szCs w:val="20"/>
          <w:color w:val="auto"/>
        </w:rPr>
      </w:pPr>
      <w:r>
        <w:rPr>
          <w:rFonts w:ascii="Arial" w:cs="Arial" w:eastAsia="Arial" w:hAnsi="Arial"/>
          <w:sz w:val="18"/>
          <w:szCs w:val="18"/>
          <w:color w:val="auto"/>
        </w:rPr>
        <w:t>The Company is a biopharmaceutical company focused on advancing psychedelic-based therapies, delivery mechanisms, novel compounds and protocols as potential treatments for various psychiatric and neurological conditions. The Company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w:t>
      </w:r>
    </w:p>
    <w:p>
      <w:pPr>
        <w:spacing w:after="0" w:line="157" w:lineRule="exact"/>
        <w:rPr>
          <w:sz w:val="20"/>
          <w:szCs w:val="20"/>
          <w:color w:val="auto"/>
        </w:rPr>
      </w:pPr>
    </w:p>
    <w:p>
      <w:pPr>
        <w:jc w:val="both"/>
        <w:ind w:left="2" w:right="20"/>
        <w:spacing w:after="0" w:line="278" w:lineRule="auto"/>
        <w:rPr>
          <w:sz w:val="20"/>
          <w:szCs w:val="20"/>
          <w:color w:val="auto"/>
        </w:rPr>
      </w:pPr>
      <w:r>
        <w:rPr>
          <w:rFonts w:ascii="Arial" w:cs="Arial" w:eastAsia="Arial" w:hAnsi="Arial"/>
          <w:sz w:val="17"/>
          <w:szCs w:val="17"/>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w:t>
      </w:r>
    </w:p>
    <w:p>
      <w:pPr>
        <w:spacing w:after="0" w:line="182"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8"/>
          <w:szCs w:val="18"/>
          <w:color w:val="auto"/>
        </w:rPr>
        <w:t>Immediately prior to the completion of the Reverse Takeover, the Company completed a consolidation of all of its issued and outstanding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on the basis of 6.672 old Common Shares into one new Common Share. All Common Share and per Common Share amounts expressed herein reflect the post-consolidation Common Shares.</w:t>
      </w:r>
    </w:p>
    <w:p>
      <w:pPr>
        <w:spacing w:after="0" w:line="176" w:lineRule="exact"/>
        <w:rPr>
          <w:sz w:val="20"/>
          <w:szCs w:val="20"/>
          <w:color w:val="auto"/>
        </w:rPr>
      </w:pPr>
    </w:p>
    <w:p>
      <w:pPr>
        <w:jc w:val="both"/>
        <w:ind w:left="2"/>
        <w:spacing w:after="0" w:line="272" w:lineRule="auto"/>
        <w:rPr>
          <w:sz w:val="20"/>
          <w:szCs w:val="20"/>
          <w:color w:val="auto"/>
        </w:rPr>
      </w:pPr>
      <w:r>
        <w:rPr>
          <w:rFonts w:ascii="Arial" w:cs="Arial" w:eastAsia="Arial" w:hAnsi="Arial"/>
          <w:sz w:val="17"/>
          <w:szCs w:val="17"/>
          <w:color w:val="auto"/>
        </w:rPr>
        <w:t>In connection with the Reverse Takeover, Clarmin Explorations Inc. (“</w:t>
      </w:r>
      <w:r>
        <w:rPr>
          <w:rFonts w:ascii="Arial" w:cs="Arial" w:eastAsia="Arial" w:hAnsi="Arial"/>
          <w:sz w:val="17"/>
          <w:szCs w:val="17"/>
          <w:b w:val="1"/>
          <w:bCs w:val="1"/>
          <w:color w:val="auto"/>
        </w:rPr>
        <w:t>Clarmin</w:t>
      </w:r>
      <w:r>
        <w:rPr>
          <w:rFonts w:ascii="Arial" w:cs="Arial" w:eastAsia="Arial" w:hAnsi="Arial"/>
          <w:sz w:val="17"/>
          <w:szCs w:val="17"/>
          <w:color w:val="auto"/>
        </w:rPr>
        <w:t>”) changed its name to “Cybin Inc.” and the Common Shares became listed for trading on the Neo Exchange Inc.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under the trading symbol “CYBN”. In accordance with IFRS 3,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substance of the Reverse Takeover was a reverse takeover of a non-operating company. The Reverse Takeover does not constitute a business combination as Clarmin did not meet the definition of a business under IFRS 3. As a result, the Reverse Takeover is accounted for as a capital transaction with Cybin being identified as the acquirer and the equity consideration being measured at fair value. The resulting unaudited condensed interim consolidated statement of financial position is presented as a continuation of Cybin Corp. and comparative figures presented in the condensed interim consolidated financial statements after the Reverse Takeover are those of Cybin Corp.</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color w:val="auto"/>
        </w:rPr>
        <w:t>Prior to completing the Reverse Takeover, and during fiscal 2020, the Company was inactive and evaluating business opportunities.</w:t>
      </w:r>
    </w:p>
    <w:p>
      <w:pPr>
        <w:spacing w:after="0" w:line="233" w:lineRule="exact"/>
        <w:rPr>
          <w:sz w:val="20"/>
          <w:szCs w:val="20"/>
          <w:color w:val="auto"/>
        </w:rPr>
      </w:pPr>
    </w:p>
    <w:p>
      <w:pPr>
        <w:jc w:val="both"/>
        <w:ind w:left="2" w:right="20"/>
        <w:spacing w:after="0" w:line="346" w:lineRule="auto"/>
        <w:rPr>
          <w:sz w:val="20"/>
          <w:szCs w:val="20"/>
          <w:color w:val="auto"/>
        </w:rPr>
      </w:pPr>
      <w:r>
        <w:rPr>
          <w:rFonts w:ascii="Arial" w:cs="Arial" w:eastAsia="Arial" w:hAnsi="Arial"/>
          <w:sz w:val="16"/>
          <w:szCs w:val="16"/>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Arial" w:cs="Arial" w:eastAsia="Arial" w:hAnsi="Arial"/>
          <w:sz w:val="16"/>
          <w:szCs w:val="16"/>
          <w:b w:val="1"/>
          <w:bCs w:val="1"/>
          <w:color w:val="auto"/>
        </w:rPr>
        <w:t>Cybin Ireland</w:t>
      </w:r>
      <w:r>
        <w:rPr>
          <w:rFonts w:ascii="Arial" w:cs="Arial" w:eastAsia="Arial" w:hAnsi="Arial"/>
          <w:sz w:val="16"/>
          <w:szCs w:val="16"/>
          <w:color w:val="auto"/>
        </w:rPr>
        <w:t>”).</w:t>
      </w:r>
    </w:p>
    <w:p>
      <w:pPr>
        <w:spacing w:after="0" w:line="113" w:lineRule="exact"/>
        <w:rPr>
          <w:sz w:val="20"/>
          <w:szCs w:val="20"/>
          <w:color w:val="auto"/>
        </w:rPr>
      </w:pPr>
    </w:p>
    <w:p>
      <w:pPr>
        <w:jc w:val="both"/>
        <w:ind w:left="2" w:right="20"/>
        <w:spacing w:after="0" w:line="270" w:lineRule="auto"/>
        <w:rPr>
          <w:sz w:val="20"/>
          <w:szCs w:val="20"/>
          <w:color w:val="auto"/>
        </w:rPr>
      </w:pPr>
      <w:r>
        <w:rPr>
          <w:rFonts w:ascii="Arial" w:cs="Arial" w:eastAsia="Arial" w:hAnsi="Arial"/>
          <w:sz w:val="18"/>
          <w:szCs w:val="18"/>
          <w:color w:val="auto"/>
        </w:rPr>
        <w:t>On August 5, 2021, the Common Shares commenced trading on the NYSE American LLC stock exchange (the “</w:t>
      </w:r>
      <w:r>
        <w:rPr>
          <w:rFonts w:ascii="Arial" w:cs="Arial" w:eastAsia="Arial" w:hAnsi="Arial"/>
          <w:sz w:val="18"/>
          <w:szCs w:val="18"/>
          <w:b w:val="1"/>
          <w:bCs w:val="1"/>
          <w:color w:val="auto"/>
        </w:rPr>
        <w:t>NYSE American</w:t>
      </w:r>
      <w:r>
        <w:rPr>
          <w:rFonts w:ascii="Arial" w:cs="Arial" w:eastAsia="Arial" w:hAnsi="Arial"/>
          <w:sz w:val="18"/>
          <w:szCs w:val="18"/>
          <w:color w:val="auto"/>
        </w:rPr>
        <w:t>”) under the symbol “CYBN”. Concurrent with the commencement of trading on the NYSE American, the Common Shares ceased to be quoted on the OTCQB® Venture Market.</w:t>
      </w:r>
    </w:p>
    <w:p>
      <w:pPr>
        <w:spacing w:after="0" w:line="148" w:lineRule="exact"/>
        <w:rPr>
          <w:sz w:val="20"/>
          <w:szCs w:val="20"/>
          <w:color w:val="auto"/>
        </w:rPr>
      </w:pPr>
    </w:p>
    <w:p>
      <w:pPr>
        <w:jc w:val="both"/>
        <w:ind w:left="2" w:right="20"/>
        <w:spacing w:after="0" w:line="281" w:lineRule="auto"/>
        <w:rPr>
          <w:sz w:val="20"/>
          <w:szCs w:val="20"/>
          <w:color w:val="auto"/>
        </w:rPr>
      </w:pPr>
      <w:r>
        <w:rPr>
          <w:rFonts w:ascii="Arial" w:cs="Arial" w:eastAsia="Arial" w:hAnsi="Arial"/>
          <w:sz w:val="18"/>
          <w:szCs w:val="18"/>
          <w:color w:val="auto"/>
        </w:rPr>
        <w:t xml:space="preserve">Please refer to “General Development of the Business” in the AIF for additional information on the background and operational highlights of Cybin. The AIF may be viewed under the SEDAR profile of Cybin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1" w:lineRule="exact"/>
        <w:rPr>
          <w:sz w:val="20"/>
          <w:szCs w:val="20"/>
          <w:color w:val="auto"/>
        </w:rPr>
      </w:pPr>
    </w:p>
    <w:p>
      <w:pPr>
        <w:jc w:val="both"/>
        <w:ind w:left="2" w:right="20"/>
        <w:spacing w:after="0" w:line="243"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internationally-recognized scientists, on a mission to create safe and effective therapeutics for patients to address a multitude of mental health issues. The Company is focused on progressing Psychedelics to Therapeutics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by engineering proprietary drug discovery platforms, innovative drug delivery systems, novel formulation approaches and treatment regimens for mental health disorders.</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55194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178" w:lineRule="exact"/>
        <w:rPr>
          <w:sz w:val="20"/>
          <w:szCs w:val="20"/>
          <w:color w:val="auto"/>
        </w:rPr>
      </w:pPr>
    </w:p>
    <w:p>
      <w:pPr>
        <w:ind w:left="2" w:right="60" w:hanging="2"/>
        <w:spacing w:after="0" w:line="220" w:lineRule="auto"/>
        <w:tabs>
          <w:tab w:leader="none" w:pos="114"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T</w:t>
      </w:r>
      <w:r>
        <w:rPr>
          <w:rFonts w:ascii="Arial" w:cs="Arial" w:eastAsia="Arial" w:hAnsi="Arial"/>
          <w:sz w:val="16"/>
          <w:szCs w:val="16"/>
          <w:color w:val="auto"/>
        </w:rPr>
        <w:t>he material factors and assumption underlying this forward-looking statement is that drug development involves long lead times, is very expensive and involves many</w:t>
      </w:r>
      <w:r>
        <w:rPr>
          <w:rFonts w:ascii="Arial" w:cs="Arial" w:eastAsia="Arial" w:hAnsi="Arial"/>
          <w:sz w:val="15"/>
          <w:szCs w:val="15"/>
          <w:color w:val="auto"/>
        </w:rPr>
        <w:t xml:space="preserve"> </w:t>
      </w:r>
      <w:r>
        <w:rPr>
          <w:rFonts w:ascii="Arial" w:cs="Arial" w:eastAsia="Arial" w:hAnsi="Arial"/>
          <w:sz w:val="16"/>
          <w:szCs w:val="16"/>
          <w:color w:val="auto"/>
        </w:rPr>
        <w:t>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48"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2"/>
          </w:cols>
          <w:pgMar w:left="318" w:top="709" w:right="319" w:bottom="1440" w:gutter="0" w:footer="0" w:header="0"/>
        </w:sectPr>
      </w:pPr>
    </w:p>
    <w:bookmarkStart w:id="33" w:name="page34"/>
    <w:bookmarkEnd w:id="33"/>
    <w:p>
      <w:pPr>
        <w:jc w:val="both"/>
        <w:ind w:left="2" w:right="20"/>
        <w:spacing w:after="0"/>
        <w:rPr>
          <w:sz w:val="20"/>
          <w:szCs w:val="20"/>
          <w:color w:val="auto"/>
        </w:rPr>
      </w:pPr>
      <w:r>
        <w:rPr>
          <w:rFonts w:ascii="Arial" w:cs="Arial" w:eastAsia="Arial" w:hAnsi="Arial"/>
          <w:sz w:val="18"/>
          <w:szCs w:val="18"/>
          <w:color w:val="auto"/>
        </w:rPr>
        <w:t>Cybin’s research and development work focuses on a three-pillar strategy that leverages the Company’s core competencies in preclinical innovation and clinical development. This strategy supports the creation of intellectual property ("</w:t>
      </w:r>
      <w:r>
        <w:rPr>
          <w:rFonts w:ascii="Arial" w:cs="Arial" w:eastAsia="Arial" w:hAnsi="Arial"/>
          <w:sz w:val="18"/>
          <w:szCs w:val="18"/>
          <w:b w:val="1"/>
          <w:bCs w:val="1"/>
          <w:color w:val="auto"/>
        </w:rPr>
        <w:t>IP"</w:t>
      </w:r>
      <w:r>
        <w:rPr>
          <w:rFonts w:ascii="Arial" w:cs="Arial" w:eastAsia="Arial" w:hAnsi="Arial"/>
          <w:sz w:val="18"/>
          <w:szCs w:val="18"/>
          <w:color w:val="auto"/>
        </w:rPr>
        <w:t>) focused on developing the Company’s platform technology, the progression of clinical development programs including CYB003, a deuterated psilocybin analog, CYB004, a deuterated version of version of N, N-dimethyltryptamine (“</w:t>
      </w:r>
      <w:r>
        <w:rPr>
          <w:rFonts w:ascii="Arial" w:cs="Arial" w:eastAsia="Arial" w:hAnsi="Arial"/>
          <w:sz w:val="19"/>
          <w:szCs w:val="19"/>
          <w:b w:val="1"/>
          <w:bCs w:val="1"/>
          <w:color w:val="auto"/>
        </w:rPr>
        <w:t>DMT</w:t>
      </w:r>
      <w:r>
        <w:rPr>
          <w:rFonts w:ascii="Arial" w:cs="Arial" w:eastAsia="Arial" w:hAnsi="Arial"/>
          <w:sz w:val="18"/>
          <w:szCs w:val="18"/>
          <w:color w:val="auto"/>
        </w:rPr>
        <w:t>”), CYB005, phenethylamine derivatives, and an expansive list of preclinical molecules to facilitate future drug development opportunities.</w:t>
      </w:r>
    </w:p>
    <w:p>
      <w:pPr>
        <w:spacing w:after="0" w:line="175" w:lineRule="exact"/>
        <w:rPr>
          <w:sz w:val="20"/>
          <w:szCs w:val="20"/>
          <w:color w:val="auto"/>
        </w:rPr>
      </w:pPr>
    </w:p>
    <w:p>
      <w:pPr>
        <w:jc w:val="both"/>
        <w:ind w:left="2" w:right="20"/>
        <w:spacing w:after="0" w:line="252" w:lineRule="auto"/>
        <w:rPr>
          <w:sz w:val="20"/>
          <w:szCs w:val="20"/>
          <w:color w:val="auto"/>
        </w:rPr>
      </w:pPr>
      <w:r>
        <w:rPr>
          <w:rFonts w:ascii="Arial" w:cs="Arial" w:eastAsia="Arial" w:hAnsi="Arial"/>
          <w:sz w:val="18"/>
          <w:szCs w:val="18"/>
          <w:color w:val="auto"/>
        </w:rPr>
        <w:t>Cybin currently has IP across six patent families and additional access to IP from other patents or patent applications through a combination of internal filings and licensing arrangements.</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Psychedelics to Therapeutics</w:t>
      </w:r>
    </w:p>
    <w:p>
      <w:pPr>
        <w:spacing w:after="0" w:line="196"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8"/>
          <w:szCs w:val="18"/>
          <w:color w:val="auto"/>
        </w:rPr>
        <w:t>The Company is conducting research and development of psychedelic therapeutics that aim to address unmet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68" w:lineRule="exact"/>
        <w:rPr>
          <w:sz w:val="20"/>
          <w:szCs w:val="20"/>
          <w:color w:val="auto"/>
        </w:rPr>
      </w:pPr>
    </w:p>
    <w:p>
      <w:pPr>
        <w:jc w:val="both"/>
        <w:ind w:left="2" w:right="20"/>
        <w:spacing w:after="0" w:line="214" w:lineRule="auto"/>
        <w:rPr>
          <w:sz w:val="20"/>
          <w:szCs w:val="20"/>
          <w:color w:val="auto"/>
        </w:rPr>
      </w:pPr>
      <w:r>
        <w:rPr>
          <w:rFonts w:ascii="Arial" w:cs="Arial" w:eastAsia="Arial" w:hAnsi="Arial"/>
          <w:sz w:val="18"/>
          <w:szCs w:val="18"/>
          <w:color w:val="auto"/>
        </w:rPr>
        <w:t>Across its extensive research and development programs, Cybin is evaluating a wide array of novel, synthetic psychedelic active pharmaceutical ingredients (“</w:t>
      </w:r>
      <w:r>
        <w:rPr>
          <w:rFonts w:ascii="Arial" w:cs="Arial" w:eastAsia="Arial" w:hAnsi="Arial"/>
          <w:sz w:val="18"/>
          <w:szCs w:val="18"/>
          <w:b w:val="1"/>
          <w:bCs w:val="1"/>
          <w:color w:val="auto"/>
        </w:rPr>
        <w:t>API</w:t>
      </w:r>
      <w:r>
        <w:rPr>
          <w:rFonts w:ascii="Arial" w:cs="Arial" w:eastAsia="Arial" w:hAnsi="Arial"/>
          <w:sz w:val="18"/>
          <w:szCs w:val="18"/>
          <w:color w:val="auto"/>
        </w:rPr>
        <w:t>”) intended to be delivered through innovative drug delivery systems including sublingual films</w:t>
      </w:r>
      <w:r>
        <w:rPr>
          <w:rFonts w:ascii="Arial" w:cs="Arial" w:eastAsia="Arial" w:hAnsi="Arial"/>
          <w:sz w:val="23"/>
          <w:szCs w:val="23"/>
          <w:color w:val="auto"/>
          <w:vertAlign w:val="superscript"/>
        </w:rPr>
        <w:t>2</w:t>
      </w:r>
      <w:r>
        <w:rPr>
          <w:rFonts w:ascii="Arial" w:cs="Arial" w:eastAsia="Arial" w:hAnsi="Arial"/>
          <w:sz w:val="18"/>
          <w:szCs w:val="18"/>
          <w:color w:val="auto"/>
        </w:rPr>
        <w:t>, and orally disintegrating tablets (“</w:t>
      </w:r>
      <w:r>
        <w:rPr>
          <w:rFonts w:ascii="Arial" w:cs="Arial" w:eastAsia="Arial" w:hAnsi="Arial"/>
          <w:sz w:val="18"/>
          <w:szCs w:val="18"/>
          <w:b w:val="1"/>
          <w:bCs w:val="1"/>
          <w:color w:val="auto"/>
        </w:rPr>
        <w:t>ODT</w:t>
      </w:r>
      <w:r>
        <w:rPr>
          <w:rFonts w:ascii="Arial" w:cs="Arial" w:eastAsia="Arial" w:hAnsi="Arial"/>
          <w:sz w:val="18"/>
          <w:szCs w:val="18"/>
          <w:color w:val="auto"/>
        </w:rPr>
        <w:t>”)</w:t>
      </w:r>
      <w:r>
        <w:rPr>
          <w:rFonts w:ascii="Arial" w:cs="Arial" w:eastAsia="Arial" w:hAnsi="Arial"/>
          <w:sz w:val="23"/>
          <w:szCs w:val="23"/>
          <w:color w:val="auto"/>
          <w:vertAlign w:val="superscript"/>
        </w:rPr>
        <w:t>3</w:t>
      </w:r>
      <w:r>
        <w:rPr>
          <w:rFonts w:ascii="Arial" w:cs="Arial" w:eastAsia="Arial" w:hAnsi="Arial"/>
          <w:sz w:val="18"/>
          <w:szCs w:val="18"/>
          <w:color w:val="auto"/>
        </w:rPr>
        <w:t>, via inhalation and via intravenous (“</w:t>
      </w:r>
      <w:r>
        <w:rPr>
          <w:rFonts w:ascii="Arial" w:cs="Arial" w:eastAsia="Arial" w:hAnsi="Arial"/>
          <w:sz w:val="18"/>
          <w:szCs w:val="18"/>
          <w:b w:val="1"/>
          <w:bCs w:val="1"/>
          <w:color w:val="auto"/>
        </w:rPr>
        <w:t>IV</w:t>
      </w:r>
      <w:r>
        <w:rPr>
          <w:rFonts w:ascii="Arial" w:cs="Arial" w:eastAsia="Arial" w:hAnsi="Arial"/>
          <w:sz w:val="18"/>
          <w:szCs w:val="18"/>
          <w:color w:val="auto"/>
        </w:rPr>
        <w:t>”).</w:t>
      </w:r>
    </w:p>
    <w:p>
      <w:pPr>
        <w:spacing w:after="0" w:line="183" w:lineRule="exact"/>
        <w:rPr>
          <w:sz w:val="20"/>
          <w:szCs w:val="20"/>
          <w:color w:val="auto"/>
        </w:rPr>
      </w:pPr>
    </w:p>
    <w:p>
      <w:pPr>
        <w:jc w:val="both"/>
        <w:ind w:left="2" w:right="20"/>
        <w:spacing w:after="0" w:line="227" w:lineRule="auto"/>
        <w:rPr>
          <w:sz w:val="20"/>
          <w:szCs w:val="20"/>
          <w:color w:val="auto"/>
        </w:rPr>
      </w:pPr>
      <w:r>
        <w:rPr>
          <w:rFonts w:ascii="Arial" w:cs="Arial" w:eastAsia="Arial" w:hAnsi="Arial"/>
          <w:sz w:val="18"/>
          <w:szCs w:val="18"/>
          <w:color w:val="auto"/>
        </w:rPr>
        <w:t>The Company intends to apply for regulatory approval for therapies targeting indications such as major depressive disorder (“</w:t>
      </w:r>
      <w:r>
        <w:rPr>
          <w:rFonts w:ascii="Arial" w:cs="Arial" w:eastAsia="Arial" w:hAnsi="Arial"/>
          <w:sz w:val="18"/>
          <w:szCs w:val="18"/>
          <w:b w:val="1"/>
          <w:bCs w:val="1"/>
          <w:color w:val="auto"/>
        </w:rPr>
        <w:t>MDD</w:t>
      </w:r>
      <w:r>
        <w:rPr>
          <w:rFonts w:ascii="Arial" w:cs="Arial" w:eastAsia="Arial" w:hAnsi="Arial"/>
          <w:sz w:val="18"/>
          <w:szCs w:val="18"/>
          <w:color w:val="auto"/>
        </w:rPr>
        <w:t>”), alcohol use disorder (“</w:t>
      </w:r>
      <w:r>
        <w:rPr>
          <w:rFonts w:ascii="Arial" w:cs="Arial" w:eastAsia="Arial" w:hAnsi="Arial"/>
          <w:sz w:val="18"/>
          <w:szCs w:val="18"/>
          <w:b w:val="1"/>
          <w:bCs w:val="1"/>
          <w:color w:val="auto"/>
        </w:rPr>
        <w:t>AUD</w:t>
      </w:r>
      <w:r>
        <w:rPr>
          <w:rFonts w:ascii="Arial" w:cs="Arial" w:eastAsia="Arial" w:hAnsi="Arial"/>
          <w:sz w:val="18"/>
          <w:szCs w:val="18"/>
          <w:color w:val="auto"/>
        </w:rPr>
        <w:t>”), anxiety disorders and potentially other various mental health conditions</w:t>
      </w:r>
      <w:r>
        <w:rPr>
          <w:rFonts w:ascii="Arial" w:cs="Arial" w:eastAsia="Arial" w:hAnsi="Arial"/>
          <w:sz w:val="23"/>
          <w:szCs w:val="23"/>
          <w:color w:val="auto"/>
          <w:vertAlign w:val="superscript"/>
        </w:rPr>
        <w:t>4</w:t>
      </w:r>
      <w:r>
        <w:rPr>
          <w:rFonts w:ascii="Arial" w:cs="Arial" w:eastAsia="Arial" w:hAnsi="Arial"/>
          <w:sz w:val="18"/>
          <w:szCs w:val="18"/>
          <w:color w:val="auto"/>
        </w:rPr>
        <w:t>. The Company is also developing compounds that may have the potential to address neuroinflammation</w:t>
      </w:r>
      <w:r>
        <w:rPr>
          <w:rFonts w:ascii="Arial" w:cs="Arial" w:eastAsia="Arial" w:hAnsi="Arial"/>
          <w:sz w:val="23"/>
          <w:szCs w:val="23"/>
          <w:color w:val="auto"/>
          <w:vertAlign w:val="superscript"/>
        </w:rPr>
        <w:t>5</w:t>
      </w:r>
      <w:r>
        <w:rPr>
          <w:rFonts w:ascii="Arial" w:cs="Arial" w:eastAsia="Arial" w:hAnsi="Arial"/>
          <w:sz w:val="18"/>
          <w:szCs w:val="18"/>
          <w:color w:val="auto"/>
        </w:rPr>
        <w:t>, central nervous system (“</w:t>
      </w:r>
      <w:r>
        <w:rPr>
          <w:rFonts w:ascii="Arial" w:cs="Arial" w:eastAsia="Arial" w:hAnsi="Arial"/>
          <w:sz w:val="18"/>
          <w:szCs w:val="18"/>
          <w:b w:val="1"/>
          <w:bCs w:val="1"/>
          <w:color w:val="auto"/>
        </w:rPr>
        <w:t>CNS</w:t>
      </w:r>
      <w:r>
        <w:rPr>
          <w:rFonts w:ascii="Arial" w:cs="Arial" w:eastAsia="Arial" w:hAnsi="Arial"/>
          <w:sz w:val="18"/>
          <w:szCs w:val="18"/>
          <w:color w:val="auto"/>
        </w:rPr>
        <w:t>”), and psychiatry disorders</w:t>
      </w:r>
      <w:r>
        <w:rPr>
          <w:rFonts w:ascii="Arial" w:cs="Arial" w:eastAsia="Arial" w:hAnsi="Arial"/>
          <w:sz w:val="23"/>
          <w:szCs w:val="23"/>
          <w:color w:val="auto"/>
          <w:vertAlign w:val="superscript"/>
        </w:rPr>
        <w:t>6</w:t>
      </w:r>
      <w:r>
        <w:rPr>
          <w:rFonts w:ascii="Arial" w:cs="Arial" w:eastAsia="Arial" w:hAnsi="Arial"/>
          <w:sz w:val="18"/>
          <w:szCs w:val="18"/>
          <w:color w:val="auto"/>
        </w:rPr>
        <w:t>.</w:t>
      </w:r>
    </w:p>
    <w:p>
      <w:pPr>
        <w:spacing w:after="0" w:line="127" w:lineRule="exact"/>
        <w:rPr>
          <w:sz w:val="20"/>
          <w:szCs w:val="20"/>
          <w:color w:val="auto"/>
        </w:rPr>
      </w:pPr>
    </w:p>
    <w:p>
      <w:pPr>
        <w:jc w:val="both"/>
        <w:ind w:left="2" w:right="20"/>
        <w:spacing w:after="0" w:line="276" w:lineRule="auto"/>
        <w:rPr>
          <w:sz w:val="20"/>
          <w:szCs w:val="20"/>
          <w:color w:val="auto"/>
        </w:rPr>
      </w:pPr>
      <w:r>
        <w:rPr>
          <w:rFonts w:ascii="Arial" w:cs="Arial" w:eastAsia="Arial" w:hAnsi="Arial"/>
          <w:sz w:val="16"/>
          <w:szCs w:val="16"/>
          <w:color w:val="auto"/>
        </w:rPr>
        <w:t>Further, over the next 12-month period, the Company will continue to seek to establish strategic partnerships that advance the Company’s scientific research and IP for new psychedelic-based compounds and novel delivery mechanisms</w:t>
      </w:r>
      <w:r>
        <w:rPr>
          <w:rFonts w:ascii="Arial" w:cs="Arial" w:eastAsia="Arial" w:hAnsi="Arial"/>
          <w:sz w:val="21"/>
          <w:szCs w:val="21"/>
          <w:color w:val="auto"/>
          <w:vertAlign w:val="superscript"/>
        </w:rPr>
        <w:t>7</w:t>
      </w:r>
      <w:r>
        <w:rPr>
          <w:rFonts w:ascii="Arial" w:cs="Arial" w:eastAsia="Arial" w:hAnsi="Arial"/>
          <w:sz w:val="16"/>
          <w:szCs w:val="16"/>
          <w:color w:val="auto"/>
        </w:rPr>
        <w:t>. The Company will also continue to sponsor select internal and partner-related clinical trials that advance the understanding of safety and efficacy for various psychedelic agents that target mental health conditions</w:t>
      </w:r>
      <w:r>
        <w:rPr>
          <w:rFonts w:ascii="Arial" w:cs="Arial" w:eastAsia="Arial" w:hAnsi="Arial"/>
          <w:sz w:val="21"/>
          <w:szCs w:val="21"/>
          <w:color w:val="auto"/>
          <w:vertAlign w:val="superscript"/>
        </w:rPr>
        <w:t>8</w:t>
      </w:r>
      <w:r>
        <w:rPr>
          <w:rFonts w:ascii="Arial" w:cs="Arial" w:eastAsia="Arial" w:hAnsi="Arial"/>
          <w:sz w:val="16"/>
          <w:szCs w:val="16"/>
          <w:color w:val="auto"/>
        </w:rPr>
        <w:t>.</w:t>
      </w:r>
    </w:p>
    <w:p>
      <w:pPr>
        <w:spacing w:after="0" w:line="88"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Stage of Development</w:t>
      </w:r>
    </w:p>
    <w:p>
      <w:pPr>
        <w:spacing w:after="0" w:line="135"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8"/>
          <w:szCs w:val="18"/>
          <w:color w:val="auto"/>
        </w:rPr>
        <w:t>Like most life sciences and pharmaceutical companies, the Company's psychedelic business is focused on research and development and any future revenue will be dependent on a number of factors, including the outcome of the Company’s sponsored clinical trials and the receipt of all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5519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42" w:lineRule="exact"/>
        <w:rPr>
          <w:sz w:val="20"/>
          <w:szCs w:val="20"/>
          <w:color w:val="auto"/>
        </w:rPr>
      </w:pPr>
    </w:p>
    <w:p>
      <w:pPr>
        <w:jc w:val="both"/>
        <w:ind w:left="2" w:firstLine="3"/>
        <w:spacing w:after="0" w:line="239" w:lineRule="auto"/>
        <w:tabs>
          <w:tab w:leader="none" w:pos="114"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 On November 8, 2021, the Company announced that its research into its Deuterated Psilocybin Analog program has identified a putative orally deliverable drug product that appears to have more desirable characteristics than psilocybin delivered by sublingual film. Although the Company is still evaluating the sublingual film technology, it has prioritized the Deuterated Psilocybin Analog program over the sublingual film technology as a result of the Company’s positive view of the Deuterated Psilocybin Analog program research data.</w:t>
      </w:r>
    </w:p>
    <w:p>
      <w:pPr>
        <w:spacing w:after="0" w:line="5" w:lineRule="exact"/>
        <w:rPr>
          <w:rFonts w:ascii="Arial" w:cs="Arial" w:eastAsia="Arial" w:hAnsi="Arial"/>
          <w:sz w:val="18"/>
          <w:szCs w:val="18"/>
          <w:color w:val="auto"/>
          <w:vertAlign w:val="superscript"/>
        </w:rPr>
      </w:pPr>
    </w:p>
    <w:p>
      <w:pPr>
        <w:ind w:left="2" w:right="20"/>
        <w:spacing w:after="0" w:line="246"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The Company is currently applying Catalent’s proprietary Zydis® ODT technology as a delivery method during the development of the Company's novel deuterated tryptamine. Zydis technology creates a freeze-dried tablet that disperses almost instantly in the mouth without water and is recognized as one of the world’s best-performing ODTs. See footnote 1.</w:t>
      </w:r>
    </w:p>
    <w:p>
      <w:pPr>
        <w:ind w:left="2"/>
        <w:spacing w:after="0" w:line="180" w:lineRule="auto"/>
        <w:rPr>
          <w:rFonts w:ascii="Arial" w:cs="Arial" w:eastAsia="Arial" w:hAnsi="Arial"/>
          <w:sz w:val="18"/>
          <w:szCs w:val="18"/>
          <w:color w:val="auto"/>
          <w:vertAlign w:val="superscript"/>
        </w:rPr>
      </w:pPr>
      <w:r>
        <w:rPr>
          <w:rFonts w:ascii="Arial" w:cs="Arial" w:eastAsia="Arial" w:hAnsi="Arial"/>
          <w:sz w:val="20"/>
          <w:szCs w:val="20"/>
          <w:color w:val="auto"/>
          <w:vertAlign w:val="superscript"/>
        </w:rPr>
        <w:t>4</w:t>
      </w:r>
      <w:r>
        <w:rPr>
          <w:rFonts w:ascii="Arial" w:cs="Arial" w:eastAsia="Arial" w:hAnsi="Arial"/>
          <w:sz w:val="14"/>
          <w:szCs w:val="14"/>
          <w:color w:val="auto"/>
        </w:rPr>
        <w:t xml:space="preserve"> See footnote 1.</w:t>
      </w:r>
    </w:p>
    <w:p>
      <w:pPr>
        <w:ind w:left="122" w:hanging="122"/>
        <w:spacing w:after="0" w:line="192" w:lineRule="auto"/>
        <w:tabs>
          <w:tab w:leader="none" w:pos="122"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See footnote 1.</w:t>
      </w:r>
    </w:p>
    <w:p>
      <w:pPr>
        <w:ind w:left="122" w:hanging="122"/>
        <w:spacing w:after="0" w:line="191" w:lineRule="auto"/>
        <w:tabs>
          <w:tab w:leader="none" w:pos="122" w:val="left"/>
        </w:tabs>
        <w:numPr>
          <w:ilvl w:val="0"/>
          <w:numId w:val="28"/>
        </w:numPr>
        <w:rPr>
          <w:rFonts w:ascii="Arial" w:cs="Arial" w:eastAsia="Arial" w:hAnsi="Arial"/>
          <w:sz w:val="25"/>
          <w:szCs w:val="25"/>
          <w:color w:val="auto"/>
          <w:vertAlign w:val="superscript"/>
        </w:rPr>
      </w:pPr>
      <w:r>
        <w:rPr>
          <w:rFonts w:ascii="Arial" w:cs="Arial" w:eastAsia="Arial" w:hAnsi="Arial"/>
          <w:sz w:val="15"/>
          <w:szCs w:val="15"/>
          <w:color w:val="auto"/>
        </w:rPr>
        <w:t>See footnote 1.</w:t>
      </w:r>
    </w:p>
    <w:p>
      <w:pPr>
        <w:ind w:left="82" w:hanging="82"/>
        <w:spacing w:after="0" w:line="188" w:lineRule="auto"/>
        <w:tabs>
          <w:tab w:leader="none" w:pos="82" w:val="left"/>
        </w:tabs>
        <w:numPr>
          <w:ilvl w:val="0"/>
          <w:numId w:val="29"/>
        </w:numPr>
        <w:rPr>
          <w:rFonts w:ascii="Arial" w:cs="Arial" w:eastAsia="Arial" w:hAnsi="Arial"/>
          <w:sz w:val="19"/>
          <w:szCs w:val="19"/>
          <w:color w:val="auto"/>
          <w:vertAlign w:val="superscript"/>
        </w:rPr>
      </w:pPr>
      <w:r>
        <w:rPr>
          <w:rFonts w:ascii="Arial" w:cs="Arial" w:eastAsia="Arial" w:hAnsi="Arial"/>
          <w:sz w:val="13"/>
          <w:szCs w:val="13"/>
          <w:color w:val="auto"/>
        </w:rPr>
        <w:t>The material factors and assumption underlying this forward-looking statement is that the Company will be able to successfully negotiate strategic partnerships.</w:t>
      </w:r>
    </w:p>
    <w:p>
      <w:pPr>
        <w:spacing w:after="0" w:line="13" w:lineRule="exact"/>
        <w:rPr>
          <w:sz w:val="20"/>
          <w:szCs w:val="20"/>
          <w:color w:val="auto"/>
        </w:rPr>
      </w:pPr>
    </w:p>
    <w:p>
      <w:pPr>
        <w:jc w:val="both"/>
        <w:ind w:left="2" w:right="20" w:hanging="2"/>
        <w:spacing w:after="0" w:line="221" w:lineRule="auto"/>
        <w:tabs>
          <w:tab w:leader="none" w:pos="81"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2"/>
          </w:cols>
          <w:pgMar w:left="318" w:top="929" w:right="319" w:bottom="1440" w:gutter="0" w:footer="0" w:header="0"/>
        </w:sectPr>
      </w:pPr>
    </w:p>
    <w:bookmarkStart w:id="34" w:name="page35"/>
    <w:bookmarkEnd w:id="34"/>
    <w:p>
      <w:pPr>
        <w:jc w:val="both"/>
        <w:ind w:left="2"/>
        <w:spacing w:after="0" w:line="263" w:lineRule="auto"/>
        <w:rPr>
          <w:sz w:val="20"/>
          <w:szCs w:val="20"/>
          <w:color w:val="auto"/>
        </w:rPr>
      </w:pPr>
      <w:r>
        <w:rPr>
          <w:rFonts w:ascii="Arial" w:cs="Arial" w:eastAsia="Arial" w:hAnsi="Arial"/>
          <w:sz w:val="18"/>
          <w:szCs w:val="18"/>
          <w:color w:val="auto"/>
        </w:rPr>
        <w:t>In order to establish its business operations, Cybin intends to leverage the extensive professional network of its management to build working partnerships with (i) existing producers of psychedelic products based in Canada, the United States, the EU and the UK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Arial" w:cs="Arial" w:eastAsia="Arial" w:hAnsi="Arial"/>
          <w:sz w:val="23"/>
          <w:szCs w:val="23"/>
          <w:color w:val="auto"/>
          <w:vertAlign w:val="superscript"/>
        </w:rPr>
        <w:t>9</w:t>
      </w:r>
    </w:p>
    <w:p>
      <w:pPr>
        <w:spacing w:after="0" w:line="89" w:lineRule="exact"/>
        <w:rPr>
          <w:sz w:val="20"/>
          <w:szCs w:val="20"/>
          <w:color w:val="auto"/>
        </w:rPr>
      </w:pPr>
    </w:p>
    <w:p>
      <w:pPr>
        <w:jc w:val="both"/>
        <w:ind w:left="2"/>
        <w:spacing w:after="0" w:line="263" w:lineRule="auto"/>
        <w:rPr>
          <w:sz w:val="20"/>
          <w:szCs w:val="20"/>
          <w:color w:val="auto"/>
        </w:rPr>
      </w:pPr>
      <w:r>
        <w:rPr>
          <w:rFonts w:ascii="Arial" w:cs="Arial" w:eastAsia="Arial" w:hAnsi="Arial"/>
          <w:sz w:val="18"/>
          <w:szCs w:val="18"/>
          <w:color w:val="auto"/>
        </w:rPr>
        <w:t xml:space="preserve">Prescription drugs are classified and regulated under the federal </w:t>
      </w:r>
      <w:r>
        <w:rPr>
          <w:rFonts w:ascii="Arial" w:cs="Arial" w:eastAsia="Arial" w:hAnsi="Arial"/>
          <w:sz w:val="18"/>
          <w:szCs w:val="18"/>
          <w:i w:val="1"/>
          <w:iCs w:val="1"/>
          <w:color w:val="auto"/>
        </w:rPr>
        <w:t>Food and Drugs Act</w:t>
      </w:r>
      <w:r>
        <w:rPr>
          <w:rFonts w:ascii="Arial" w:cs="Arial" w:eastAsia="Arial" w:hAnsi="Arial"/>
          <w:sz w:val="18"/>
          <w:szCs w:val="18"/>
          <w:color w:val="auto"/>
        </w:rPr>
        <w:t xml:space="preserve"> (Canada) (the “</w:t>
      </w:r>
      <w:r>
        <w:rPr>
          <w:rFonts w:ascii="Arial" w:cs="Arial" w:eastAsia="Arial" w:hAnsi="Arial"/>
          <w:sz w:val="18"/>
          <w:szCs w:val="18"/>
          <w:b w:val="1"/>
          <w:bCs w:val="1"/>
          <w:color w:val="auto"/>
        </w:rPr>
        <w:t>Canadian FDA</w:t>
      </w:r>
      <w:r>
        <w:rPr>
          <w:rFonts w:ascii="Arial" w:cs="Arial" w:eastAsia="Arial" w:hAnsi="Arial"/>
          <w:sz w:val="18"/>
          <w:szCs w:val="18"/>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50" w:lineRule="exact"/>
        <w:rPr>
          <w:sz w:val="20"/>
          <w:szCs w:val="20"/>
          <w:color w:val="auto"/>
        </w:rPr>
      </w:pPr>
    </w:p>
    <w:p>
      <w:pPr>
        <w:jc w:val="both"/>
        <w:ind w:left="2"/>
        <w:spacing w:after="0" w:line="277" w:lineRule="auto"/>
        <w:rPr>
          <w:sz w:val="20"/>
          <w:szCs w:val="20"/>
          <w:color w:val="auto"/>
        </w:rPr>
      </w:pPr>
      <w:r>
        <w:rPr>
          <w:rFonts w:ascii="Arial" w:cs="Arial" w:eastAsia="Arial" w:hAnsi="Arial"/>
          <w:sz w:val="17"/>
          <w:szCs w:val="17"/>
          <w:color w:val="auto"/>
        </w:rPr>
        <w:t xml:space="preserve">In the United States, foods, drugs and dietary supplements are subject to extensive regulation. The </w:t>
      </w:r>
      <w:r>
        <w:rPr>
          <w:rFonts w:ascii="Arial" w:cs="Arial" w:eastAsia="Arial" w:hAnsi="Arial"/>
          <w:sz w:val="17"/>
          <w:szCs w:val="17"/>
          <w:i w:val="1"/>
          <w:iCs w:val="1"/>
          <w:color w:val="auto"/>
        </w:rPr>
        <w:t>Federal Food, Drug, and Cosmetic Act</w:t>
      </w:r>
      <w:r>
        <w:rPr>
          <w:rFonts w:ascii="Arial" w:cs="Arial" w:eastAsia="Arial" w:hAnsi="Arial"/>
          <w:sz w:val="17"/>
          <w:szCs w:val="17"/>
          <w:color w:val="auto"/>
        </w:rPr>
        <w:t xml:space="preserve"> (the “</w:t>
      </w:r>
      <w:r>
        <w:rPr>
          <w:rFonts w:ascii="Arial" w:cs="Arial" w:eastAsia="Arial" w:hAnsi="Arial"/>
          <w:sz w:val="17"/>
          <w:szCs w:val="17"/>
          <w:b w:val="1"/>
          <w:bCs w:val="1"/>
          <w:color w:val="auto"/>
        </w:rPr>
        <w:t>FFDCA</w:t>
      </w:r>
      <w:r>
        <w:rPr>
          <w:rFonts w:ascii="Arial" w:cs="Arial" w:eastAsia="Arial" w:hAnsi="Arial"/>
          <w:sz w:val="17"/>
          <w:szCs w:val="17"/>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w:t>
      </w:r>
    </w:p>
    <w:p>
      <w:pPr>
        <w:spacing w:after="0" w:line="147" w:lineRule="exact"/>
        <w:rPr>
          <w:sz w:val="20"/>
          <w:szCs w:val="20"/>
          <w:color w:val="auto"/>
        </w:rPr>
      </w:pPr>
    </w:p>
    <w:p>
      <w:pPr>
        <w:jc w:val="both"/>
        <w:ind w:left="2"/>
        <w:spacing w:after="0" w:line="258" w:lineRule="auto"/>
        <w:rPr>
          <w:sz w:val="20"/>
          <w:szCs w:val="20"/>
          <w:color w:val="auto"/>
        </w:rPr>
      </w:pPr>
      <w:r>
        <w:rPr>
          <w:rFonts w:ascii="Arial" w:cs="Arial" w:eastAsia="Arial" w:hAnsi="Arial"/>
          <w:sz w:val="18"/>
          <w:szCs w:val="18"/>
          <w:color w:val="auto"/>
        </w:rPr>
        <w:t>On November 4, 2021, the Company announced that it had been granted a Schedule I manufacturing license from the U.S. Drug Enforcement Administration (“</w:t>
      </w:r>
      <w:r>
        <w:rPr>
          <w:rFonts w:ascii="Arial" w:cs="Arial" w:eastAsia="Arial" w:hAnsi="Arial"/>
          <w:sz w:val="18"/>
          <w:szCs w:val="18"/>
          <w:b w:val="1"/>
          <w:bCs w:val="1"/>
          <w:color w:val="auto"/>
        </w:rPr>
        <w:t>DEA</w:t>
      </w:r>
      <w:r>
        <w:rPr>
          <w:rFonts w:ascii="Arial" w:cs="Arial" w:eastAsia="Arial" w:hAnsi="Arial"/>
          <w:sz w:val="18"/>
          <w:szCs w:val="18"/>
          <w:color w:val="auto"/>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Non-Revenue Generating Projects</w:t>
      </w:r>
      <w:r>
        <w:rPr>
          <w:rFonts w:ascii="Arial" w:cs="Arial" w:eastAsia="Arial" w:hAnsi="Arial"/>
          <w:sz w:val="23"/>
          <w:szCs w:val="23"/>
          <w:b w:val="1"/>
          <w:bCs w:val="1"/>
          <w:i w:val="1"/>
          <w:iCs w:val="1"/>
          <w:color w:val="auto"/>
          <w:vertAlign w:val="superscript"/>
        </w:rPr>
        <w:t>10</w:t>
      </w:r>
    </w:p>
    <w:p>
      <w:pPr>
        <w:spacing w:after="0" w:line="151"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Company currently has four significant projects, which have not yet generated revenue:</w:t>
      </w:r>
    </w:p>
    <w:p>
      <w:pPr>
        <w:spacing w:after="0" w:line="208" w:lineRule="exact"/>
        <w:rPr>
          <w:sz w:val="20"/>
          <w:szCs w:val="20"/>
          <w:color w:val="auto"/>
        </w:rPr>
      </w:pPr>
    </w:p>
    <w:p>
      <w:pPr>
        <w:ind w:left="582" w:hanging="289"/>
        <w:spacing w:after="0"/>
        <w:tabs>
          <w:tab w:leader="none" w:pos="5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Deuterated Psilocybin Analog Program (CYB003)</w:t>
      </w:r>
    </w:p>
    <w:p>
      <w:pPr>
        <w:spacing w:after="0" w:line="16" w:lineRule="exact"/>
        <w:rPr>
          <w:rFonts w:ascii="Arial" w:cs="Arial" w:eastAsia="Arial" w:hAnsi="Arial"/>
          <w:sz w:val="18"/>
          <w:szCs w:val="18"/>
          <w:color w:val="auto"/>
        </w:rPr>
      </w:pPr>
    </w:p>
    <w:p>
      <w:pPr>
        <w:ind w:left="582" w:hanging="289"/>
        <w:spacing w:after="0"/>
        <w:tabs>
          <w:tab w:leader="none" w:pos="5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Deuterated Dimethyltryptamine Program (CYB004)</w:t>
      </w:r>
    </w:p>
    <w:p>
      <w:pPr>
        <w:spacing w:after="0" w:line="6" w:lineRule="exact"/>
        <w:rPr>
          <w:rFonts w:ascii="Arial" w:cs="Arial" w:eastAsia="Arial" w:hAnsi="Arial"/>
          <w:sz w:val="18"/>
          <w:szCs w:val="18"/>
          <w:color w:val="auto"/>
        </w:rPr>
      </w:pPr>
    </w:p>
    <w:p>
      <w:pPr>
        <w:ind w:left="582" w:hanging="289"/>
        <w:spacing w:after="0"/>
        <w:tabs>
          <w:tab w:leader="none" w:pos="5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Phenethylamine Derivatives Program (CYB005)</w:t>
      </w:r>
    </w:p>
    <w:p>
      <w:pPr>
        <w:spacing w:after="0" w:line="7" w:lineRule="exact"/>
        <w:rPr>
          <w:rFonts w:ascii="Arial" w:cs="Arial" w:eastAsia="Arial" w:hAnsi="Arial"/>
          <w:sz w:val="18"/>
          <w:szCs w:val="18"/>
          <w:color w:val="auto"/>
        </w:rPr>
      </w:pPr>
    </w:p>
    <w:p>
      <w:pPr>
        <w:ind w:left="582" w:hanging="289"/>
        <w:spacing w:after="0"/>
        <w:tabs>
          <w:tab w:leader="none" w:pos="5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Technology Programs</w:t>
      </w:r>
    </w:p>
    <w:p>
      <w:pPr>
        <w:spacing w:after="0" w:line="192" w:lineRule="exact"/>
        <w:rPr>
          <w:sz w:val="20"/>
          <w:szCs w:val="20"/>
          <w:color w:val="auto"/>
        </w:rPr>
      </w:pPr>
    </w:p>
    <w:p>
      <w:pPr>
        <w:jc w:val="both"/>
        <w:ind w:left="2"/>
        <w:spacing w:after="0" w:line="311" w:lineRule="auto"/>
        <w:rPr>
          <w:sz w:val="20"/>
          <w:szCs w:val="20"/>
          <w:color w:val="auto"/>
        </w:rPr>
      </w:pPr>
      <w:r>
        <w:rPr>
          <w:rFonts w:ascii="Arial" w:cs="Arial" w:eastAsia="Arial" w:hAnsi="Arial"/>
          <w:sz w:val="17"/>
          <w:szCs w:val="17"/>
          <w:color w:val="auto"/>
        </w:rPr>
        <w:t>The following is a description of each program, including a description of the Company’s plan for such programs, the status of the objectives related to the Company’s plan for such program and anticipated expenditures to advance the program to the next stage of pipeline development.</w:t>
      </w:r>
    </w:p>
    <w:p>
      <w:pPr>
        <w:spacing w:after="0" w:line="137" w:lineRule="exact"/>
        <w:rPr>
          <w:sz w:val="20"/>
          <w:szCs w:val="20"/>
          <w:color w:val="auto"/>
        </w:rPr>
      </w:pPr>
    </w:p>
    <w:p>
      <w:pPr>
        <w:ind w:left="2"/>
        <w:spacing w:after="0"/>
        <w:rPr>
          <w:sz w:val="20"/>
          <w:szCs w:val="20"/>
          <w:color w:val="auto"/>
        </w:rPr>
      </w:pPr>
      <w:r>
        <w:rPr>
          <w:rFonts w:ascii="Arial" w:cs="Arial" w:eastAsia="Arial" w:hAnsi="Arial"/>
          <w:sz w:val="18"/>
          <w:szCs w:val="18"/>
          <w:b w:val="1"/>
          <w:bCs w:val="1"/>
          <w:u w:val="single" w:color="auto"/>
          <w:color w:val="auto"/>
        </w:rPr>
        <w:t>Deuterated Psilocybin Analog Program (CYB003)</w:t>
      </w:r>
    </w:p>
    <w:p>
      <w:pPr>
        <w:spacing w:after="0" w:line="237" w:lineRule="exact"/>
        <w:rPr>
          <w:sz w:val="20"/>
          <w:szCs w:val="20"/>
          <w:color w:val="auto"/>
        </w:rPr>
      </w:pPr>
    </w:p>
    <w:p>
      <w:pPr>
        <w:jc w:val="both"/>
        <w:ind w:left="2"/>
        <w:spacing w:after="0" w:line="259" w:lineRule="auto"/>
        <w:rPr>
          <w:sz w:val="20"/>
          <w:szCs w:val="20"/>
          <w:color w:val="auto"/>
        </w:rPr>
      </w:pPr>
      <w:r>
        <w:rPr>
          <w:rFonts w:ascii="Arial" w:cs="Arial" w:eastAsia="Arial" w:hAnsi="Arial"/>
          <w:sz w:val="18"/>
          <w:szCs w:val="18"/>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69" w:lineRule="exact"/>
        <w:rPr>
          <w:sz w:val="20"/>
          <w:szCs w:val="20"/>
          <w:color w:val="auto"/>
        </w:rPr>
      </w:pPr>
    </w:p>
    <w:p>
      <w:pPr>
        <w:jc w:val="both"/>
        <w:ind w:left="2"/>
        <w:spacing w:after="0" w:line="267" w:lineRule="auto"/>
        <w:rPr>
          <w:sz w:val="20"/>
          <w:szCs w:val="20"/>
          <w:color w:val="auto"/>
        </w:rPr>
      </w:pPr>
      <w:r>
        <w:rPr>
          <w:rFonts w:ascii="Arial" w:cs="Arial" w:eastAsia="Arial" w:hAnsi="Arial"/>
          <w:sz w:val="18"/>
          <w:szCs w:val="18"/>
          <w:color w:val="auto"/>
        </w:rPr>
        <w:t>The Company's lead program, CYB003, is an orally delivered deuterated psilocybin analog that aims to address the limitations of oral psilocybin, including side effects, scalability and accessibility of treatment.</w:t>
      </w:r>
    </w:p>
    <w:p>
      <w:pPr>
        <w:spacing w:after="0" w:line="187" w:lineRule="exact"/>
        <w:rPr>
          <w:sz w:val="20"/>
          <w:szCs w:val="20"/>
          <w:color w:val="auto"/>
        </w:rPr>
      </w:pPr>
    </w:p>
    <w:p>
      <w:pPr>
        <w:jc w:val="both"/>
        <w:ind w:left="2"/>
        <w:spacing w:after="0" w:line="281" w:lineRule="auto"/>
        <w:rPr>
          <w:sz w:val="20"/>
          <w:szCs w:val="20"/>
          <w:color w:val="auto"/>
        </w:rPr>
      </w:pPr>
      <w:r>
        <w:rPr>
          <w:rFonts w:ascii="Arial" w:cs="Arial" w:eastAsia="Arial" w:hAnsi="Arial"/>
          <w:sz w:val="18"/>
          <w:szCs w:val="18"/>
          <w:color w:val="auto"/>
        </w:rPr>
        <w:t>In preclinical studies, CYB003 demonstrated several advantages compared to oral psilocybin, including faster onset of action, shorter duration of effect, less variability in plasma levels, and improved brain penetration. These preclinical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519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00" w:lineRule="exact"/>
        <w:rPr>
          <w:sz w:val="20"/>
          <w:szCs w:val="20"/>
          <w:color w:val="auto"/>
        </w:rPr>
      </w:pPr>
    </w:p>
    <w:p>
      <w:pPr>
        <w:ind w:left="2" w:hanging="2"/>
        <w:spacing w:after="0" w:line="214" w:lineRule="auto"/>
        <w:tabs>
          <w:tab w:leader="none" w:pos="96"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ind w:left="2"/>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10</w:t>
      </w:r>
      <w:r>
        <w:rPr>
          <w:rFonts w:ascii="Arial" w:cs="Arial" w:eastAsia="Arial" w:hAnsi="Arial"/>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316"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2"/>
          </w:cols>
          <w:pgMar w:left="318" w:top="709" w:right="339" w:bottom="1440" w:gutter="0" w:footer="0" w:header="0"/>
        </w:sectPr>
      </w:pPr>
    </w:p>
    <w:bookmarkStart w:id="35" w:name="page36"/>
    <w:bookmarkEnd w:id="35"/>
    <w:p>
      <w:pPr>
        <w:jc w:val="both"/>
        <w:ind w:left="2" w:right="20"/>
        <w:spacing w:after="0" w:line="281" w:lineRule="auto"/>
        <w:rPr>
          <w:sz w:val="20"/>
          <w:szCs w:val="20"/>
          <w:color w:val="auto"/>
        </w:rPr>
      </w:pPr>
      <w:r>
        <w:rPr>
          <w:rFonts w:ascii="Arial" w:cs="Arial" w:eastAsia="Arial" w:hAnsi="Arial"/>
          <w:sz w:val="18"/>
          <w:szCs w:val="18"/>
          <w:color w:val="auto"/>
        </w:rPr>
        <w:t>results could potentially translate into therapeutic benefits, such as shorter treatment duration, more predictable dosing, lower doses to achieve efficacy, and fewer side effects for patients.</w:t>
      </w:r>
    </w:p>
    <w:p>
      <w:pPr>
        <w:spacing w:after="0" w:line="171" w:lineRule="exact"/>
        <w:rPr>
          <w:sz w:val="20"/>
          <w:szCs w:val="20"/>
          <w:color w:val="auto"/>
        </w:rPr>
      </w:pPr>
    </w:p>
    <w:p>
      <w:pPr>
        <w:jc w:val="both"/>
        <w:ind w:left="2"/>
        <w:spacing w:after="0" w:line="270" w:lineRule="auto"/>
        <w:rPr>
          <w:sz w:val="20"/>
          <w:szCs w:val="20"/>
          <w:color w:val="auto"/>
        </w:rPr>
      </w:pPr>
      <w:r>
        <w:rPr>
          <w:rFonts w:ascii="Arial" w:cs="Arial" w:eastAsia="Arial" w:hAnsi="Arial"/>
          <w:sz w:val="17"/>
          <w:szCs w:val="17"/>
          <w:color w:val="auto"/>
        </w:rPr>
        <w:t>The Company completed its CYB003 Investigational New Drug ("</w:t>
      </w:r>
      <w:r>
        <w:rPr>
          <w:rFonts w:ascii="Arial" w:cs="Arial" w:eastAsia="Arial" w:hAnsi="Arial"/>
          <w:sz w:val="17"/>
          <w:szCs w:val="17"/>
          <w:b w:val="1"/>
          <w:bCs w:val="1"/>
          <w:color w:val="auto"/>
        </w:rPr>
        <w:t>IND</w:t>
      </w:r>
      <w:r>
        <w:rPr>
          <w:rFonts w:ascii="Arial" w:cs="Arial" w:eastAsia="Arial" w:hAnsi="Arial"/>
          <w:sz w:val="17"/>
          <w:szCs w:val="17"/>
          <w:color w:val="auto"/>
        </w:rPr>
        <w:t>")-enabling preclinical studies and Chemistry, Manufacturing and Control ("</w:t>
      </w:r>
      <w:r>
        <w:rPr>
          <w:rFonts w:ascii="Arial" w:cs="Arial" w:eastAsia="Arial" w:hAnsi="Arial"/>
          <w:sz w:val="17"/>
          <w:szCs w:val="17"/>
          <w:b w:val="1"/>
          <w:bCs w:val="1"/>
          <w:color w:val="auto"/>
        </w:rPr>
        <w:t>CMC")</w:t>
      </w:r>
      <w:r>
        <w:rPr>
          <w:rFonts w:ascii="Arial" w:cs="Arial" w:eastAsia="Arial" w:hAnsi="Arial"/>
          <w:sz w:val="17"/>
          <w:szCs w:val="17"/>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Arial" w:cs="Arial" w:eastAsia="Arial" w:hAnsi="Arial"/>
          <w:sz w:val="17"/>
          <w:szCs w:val="17"/>
          <w:b w:val="1"/>
          <w:bCs w:val="1"/>
          <w:color w:val="auto"/>
        </w:rPr>
        <w:t>IRB</w:t>
      </w:r>
      <w:r>
        <w:rPr>
          <w:rFonts w:ascii="Arial" w:cs="Arial" w:eastAsia="Arial" w:hAnsi="Arial"/>
          <w:sz w:val="17"/>
          <w:szCs w:val="17"/>
          <w:color w:val="auto"/>
        </w:rPr>
        <w:t>”) approval in the U.S. to commence its first-in-human Phase 1/2a study of CYB003 in participants with moderate to severe MDD. The Company has engaged Clinilabs Drug Development Corporation (“</w:t>
      </w:r>
      <w:r>
        <w:rPr>
          <w:rFonts w:ascii="Arial" w:cs="Arial" w:eastAsia="Arial" w:hAnsi="Arial"/>
          <w:sz w:val="17"/>
          <w:szCs w:val="17"/>
          <w:b w:val="1"/>
          <w:bCs w:val="1"/>
          <w:color w:val="auto"/>
        </w:rPr>
        <w:t>Clinilabs</w:t>
      </w:r>
      <w:r>
        <w:rPr>
          <w:rFonts w:ascii="Arial" w:cs="Arial" w:eastAsia="Arial" w:hAnsi="Arial"/>
          <w:sz w:val="17"/>
          <w:szCs w:val="17"/>
          <w:color w:val="auto"/>
        </w:rPr>
        <w:t>”), a full-service contract research organization with deep expertise in central nervous system drug development, to carry out the Phase 1/2a clinical trial of CYB003. On August 30, 2022, the Company announced that the first two participants have been dosed in the Phase 1/2a study.</w:t>
      </w:r>
    </w:p>
    <w:p>
      <w:pPr>
        <w:spacing w:after="0" w:line="187"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About the CYB003 Phase 1/2a Clinical Trial</w:t>
      </w:r>
    </w:p>
    <w:p>
      <w:pPr>
        <w:spacing w:after="0" w:line="208" w:lineRule="exact"/>
        <w:rPr>
          <w:sz w:val="20"/>
          <w:szCs w:val="20"/>
          <w:color w:val="auto"/>
        </w:rPr>
      </w:pPr>
    </w:p>
    <w:p>
      <w:pPr>
        <w:jc w:val="both"/>
        <w:ind w:left="2" w:right="20"/>
        <w:spacing w:after="0" w:line="244" w:lineRule="auto"/>
        <w:rPr>
          <w:sz w:val="20"/>
          <w:szCs w:val="20"/>
          <w:color w:val="auto"/>
        </w:rPr>
      </w:pPr>
      <w:r>
        <w:rPr>
          <w:rFonts w:ascii="Arial" w:cs="Arial" w:eastAsia="Arial" w:hAnsi="Arial"/>
          <w:sz w:val="18"/>
          <w:szCs w:val="18"/>
          <w:color w:val="auto"/>
        </w:rPr>
        <w:t>The Phase 1/2a trial is a randomized, double-blind, placebo-controlled study evaluating CYB003 in participants with moderate to severe MDD. Approximately 32 MDD participants are planned to be enrolled into six cohorts. Participants will receive two administrations (placebo/active and active/active) and response/remission will be assessed at Week 3 (after first dose) and at Week 6 (after second dose). Participants in the trial that are currently being treated with antidepressants will be allowed to remain on their antidepressant medication.</w:t>
      </w:r>
    </w:p>
    <w:p>
      <w:pPr>
        <w:spacing w:after="0" w:line="181" w:lineRule="exact"/>
        <w:rPr>
          <w:sz w:val="20"/>
          <w:szCs w:val="20"/>
          <w:color w:val="auto"/>
        </w:rPr>
      </w:pPr>
    </w:p>
    <w:p>
      <w:pPr>
        <w:jc w:val="both"/>
        <w:ind w:left="2"/>
        <w:spacing w:after="0" w:line="281" w:lineRule="auto"/>
        <w:rPr>
          <w:sz w:val="20"/>
          <w:szCs w:val="20"/>
          <w:color w:val="auto"/>
        </w:rPr>
      </w:pPr>
      <w:r>
        <w:rPr>
          <w:rFonts w:ascii="Arial" w:cs="Arial" w:eastAsia="Arial" w:hAnsi="Arial"/>
          <w:sz w:val="16"/>
          <w:szCs w:val="16"/>
          <w:color w:val="auto"/>
        </w:rPr>
        <w:t>The study will investigate the safety, tolerability, pharmacokinetics ("</w:t>
      </w:r>
      <w:r>
        <w:rPr>
          <w:rFonts w:ascii="Arial" w:cs="Arial" w:eastAsia="Arial" w:hAnsi="Arial"/>
          <w:sz w:val="16"/>
          <w:szCs w:val="16"/>
          <w:b w:val="1"/>
          <w:bCs w:val="1"/>
          <w:color w:val="auto"/>
        </w:rPr>
        <w:t>PK</w:t>
      </w:r>
      <w:r>
        <w:rPr>
          <w:rFonts w:ascii="Arial" w:cs="Arial" w:eastAsia="Arial" w:hAnsi="Arial"/>
          <w:sz w:val="16"/>
          <w:szCs w:val="16"/>
          <w:color w:val="auto"/>
        </w:rPr>
        <w:t>") and pharmacodynamics ("</w:t>
      </w:r>
      <w:r>
        <w:rPr>
          <w:rFonts w:ascii="Arial" w:cs="Arial" w:eastAsia="Arial" w:hAnsi="Arial"/>
          <w:sz w:val="16"/>
          <w:szCs w:val="16"/>
          <w:b w:val="1"/>
          <w:bCs w:val="1"/>
          <w:color w:val="auto"/>
        </w:rPr>
        <w:t>PD</w:t>
      </w:r>
      <w:r>
        <w:rPr>
          <w:rFonts w:ascii="Arial" w:cs="Arial" w:eastAsia="Arial" w:hAnsi="Arial"/>
          <w:sz w:val="16"/>
          <w:szCs w:val="16"/>
          <w:color w:val="auto"/>
        </w:rPr>
        <w:t>") of ascending oral doses of CYB003 in MDD participants. The trial will also assess rapid onset of antidepressant effect on the day of dosing, using the Montgomery-Asberg Depression Rating Scale ("</w:t>
      </w:r>
      <w:r>
        <w:rPr>
          <w:rFonts w:ascii="Arial" w:cs="Arial" w:eastAsia="Arial" w:hAnsi="Arial"/>
          <w:sz w:val="16"/>
          <w:szCs w:val="16"/>
          <w:b w:val="1"/>
          <w:bCs w:val="1"/>
          <w:color w:val="auto"/>
        </w:rPr>
        <w:t>MADRS</w:t>
      </w:r>
      <w:r>
        <w:rPr>
          <w:rFonts w:ascii="Arial" w:cs="Arial" w:eastAsia="Arial" w:hAnsi="Arial"/>
          <w:sz w:val="16"/>
          <w:szCs w:val="16"/>
          <w:color w:val="auto"/>
        </w:rPr>
        <w:t>"), and evaluate the incremental benefit of a second dose of CYB003 when administered at Week 3. An optional period of assessment will help determine the durability of treatment effect out to 12 weeks. The study is listed on ClinicalTrials.gov under Identifier: NCT05385783.</w:t>
      </w:r>
    </w:p>
    <w:p>
      <w:pPr>
        <w:spacing w:after="0" w:line="169" w:lineRule="exact"/>
        <w:rPr>
          <w:sz w:val="20"/>
          <w:szCs w:val="20"/>
          <w:color w:val="auto"/>
        </w:rPr>
      </w:pPr>
    </w:p>
    <w:p>
      <w:pPr>
        <w:jc w:val="both"/>
        <w:ind w:left="2"/>
        <w:spacing w:after="0" w:line="254" w:lineRule="auto"/>
        <w:rPr>
          <w:sz w:val="20"/>
          <w:szCs w:val="20"/>
          <w:color w:val="auto"/>
        </w:rPr>
      </w:pPr>
      <w:r>
        <w:rPr>
          <w:rFonts w:ascii="Arial" w:cs="Arial" w:eastAsia="Arial" w:hAnsi="Arial"/>
          <w:sz w:val="17"/>
          <w:szCs w:val="17"/>
          <w:color w:val="auto"/>
        </w:rPr>
        <w:t>To support the Phase 1/2a clinical trial of CYB003, the Company developed EMBARK, a psychotherapeutic support model that integrates leading clinical approaches to promote supportive healing with psychedelic medicine. EMBARK’s six clinical domains (</w:t>
      </w:r>
      <w:r>
        <w:rPr>
          <w:rFonts w:ascii="Arial" w:cs="Arial" w:eastAsia="Arial" w:hAnsi="Arial"/>
          <w:sz w:val="17"/>
          <w:szCs w:val="17"/>
          <w:b w:val="1"/>
          <w:bCs w:val="1"/>
          <w:color w:val="auto"/>
        </w:rPr>
        <w:t>E</w:t>
      </w:r>
      <w:r>
        <w:rPr>
          <w:rFonts w:ascii="Arial" w:cs="Arial" w:eastAsia="Arial" w:hAnsi="Arial"/>
          <w:sz w:val="17"/>
          <w:szCs w:val="17"/>
          <w:color w:val="auto"/>
        </w:rPr>
        <w:t xml:space="preserve">xistential-Spiritual, </w:t>
      </w:r>
      <w:r>
        <w:rPr>
          <w:rFonts w:ascii="Arial" w:cs="Arial" w:eastAsia="Arial" w:hAnsi="Arial"/>
          <w:sz w:val="17"/>
          <w:szCs w:val="17"/>
          <w:b w:val="1"/>
          <w:bCs w:val="1"/>
          <w:color w:val="auto"/>
        </w:rPr>
        <w:t>M</w:t>
      </w:r>
      <w:r>
        <w:rPr>
          <w:rFonts w:ascii="Arial" w:cs="Arial" w:eastAsia="Arial" w:hAnsi="Arial"/>
          <w:sz w:val="17"/>
          <w:szCs w:val="17"/>
          <w:color w:val="auto"/>
        </w:rPr>
        <w:t xml:space="preserve">indfulness, </w:t>
      </w:r>
      <w:r>
        <w:rPr>
          <w:rFonts w:ascii="Arial" w:cs="Arial" w:eastAsia="Arial" w:hAnsi="Arial"/>
          <w:sz w:val="17"/>
          <w:szCs w:val="17"/>
          <w:b w:val="1"/>
          <w:bCs w:val="1"/>
          <w:color w:val="auto"/>
        </w:rPr>
        <w:t>B</w:t>
      </w:r>
      <w:r>
        <w:rPr>
          <w:rFonts w:ascii="Arial" w:cs="Arial" w:eastAsia="Arial" w:hAnsi="Arial"/>
          <w:sz w:val="17"/>
          <w:szCs w:val="17"/>
          <w:color w:val="auto"/>
        </w:rPr>
        <w:t xml:space="preserve">ody Aware, </w:t>
      </w:r>
      <w:r>
        <w:rPr>
          <w:rFonts w:ascii="Arial" w:cs="Arial" w:eastAsia="Arial" w:hAnsi="Arial"/>
          <w:sz w:val="17"/>
          <w:szCs w:val="17"/>
          <w:b w:val="1"/>
          <w:bCs w:val="1"/>
          <w:color w:val="auto"/>
        </w:rPr>
        <w:t>A</w:t>
      </w:r>
      <w:r>
        <w:rPr>
          <w:rFonts w:ascii="Arial" w:cs="Arial" w:eastAsia="Arial" w:hAnsi="Arial"/>
          <w:sz w:val="17"/>
          <w:szCs w:val="17"/>
          <w:color w:val="auto"/>
        </w:rPr>
        <w:t>ffective-Cognitive,</w:t>
      </w:r>
      <w:r>
        <w:rPr>
          <w:rFonts w:ascii="Arial" w:cs="Arial" w:eastAsia="Arial" w:hAnsi="Arial"/>
          <w:sz w:val="17"/>
          <w:szCs w:val="17"/>
          <w:b w:val="1"/>
          <w:bCs w:val="1"/>
          <w:color w:val="auto"/>
        </w:rPr>
        <w:t xml:space="preserve"> R</w:t>
      </w:r>
      <w:r>
        <w:rPr>
          <w:rFonts w:ascii="Arial" w:cs="Arial" w:eastAsia="Arial" w:hAnsi="Arial"/>
          <w:sz w:val="17"/>
          <w:szCs w:val="17"/>
          <w:color w:val="auto"/>
        </w:rPr>
        <w:t>elational,</w:t>
      </w:r>
      <w:r>
        <w:rPr>
          <w:rFonts w:ascii="Arial" w:cs="Arial" w:eastAsia="Arial" w:hAnsi="Arial"/>
          <w:sz w:val="17"/>
          <w:szCs w:val="17"/>
          <w:b w:val="1"/>
          <w:bCs w:val="1"/>
          <w:color w:val="auto"/>
        </w:rPr>
        <w:t xml:space="preserve"> K</w:t>
      </w:r>
      <w:r>
        <w:rPr>
          <w:rFonts w:ascii="Arial" w:cs="Arial" w:eastAsia="Arial" w:hAnsi="Arial"/>
          <w:sz w:val="17"/>
          <w:szCs w:val="17"/>
          <w:color w:val="auto"/>
        </w:rPr>
        <w:t>eeping Momentum) represent the broad spectrum of ways in which therapeutic benefits may arise in psychedelic</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The Company intends to utilize the EMBARK model in potential future clinical trials for its other non-revenue generating projects.</w:t>
      </w:r>
    </w:p>
    <w:p>
      <w:pPr>
        <w:spacing w:after="0" w:line="177"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As at September 30, 2022, the Company has spent approximately $3,852 on the Deuterated Psilocybin Analog Program since the beginning of the fiscal year. The Company additionally spent $1,410 related to licensing agreements for this program (see "Intellectual Property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75"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As the Company continues to progress through the CYB003 program, additional milestones related to the Phase 1/2a clinical trial have been identified. The Company intends to:</w:t>
      </w:r>
    </w:p>
    <w:p>
      <w:pPr>
        <w:spacing w:after="0" w:line="163" w:lineRule="exact"/>
        <w:rPr>
          <w:sz w:val="20"/>
          <w:szCs w:val="20"/>
          <w:color w:val="auto"/>
        </w:rPr>
      </w:pPr>
    </w:p>
    <w:p>
      <w:pPr>
        <w:ind w:left="582" w:hanging="289"/>
        <w:spacing w:after="0"/>
        <w:tabs>
          <w:tab w:leader="none" w:pos="5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an interim pharmacokinetic and safety readout from the Phase 1/2a trial in early 2023</w:t>
      </w:r>
      <w:r>
        <w:rPr>
          <w:rFonts w:ascii="Arial" w:cs="Arial" w:eastAsia="Arial" w:hAnsi="Arial"/>
          <w:sz w:val="23"/>
          <w:szCs w:val="23"/>
          <w:color w:val="auto"/>
          <w:vertAlign w:val="superscript"/>
        </w:rPr>
        <w:t>11</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519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49" w:lineRule="exact"/>
        <w:rPr>
          <w:sz w:val="20"/>
          <w:szCs w:val="20"/>
          <w:color w:val="auto"/>
        </w:rPr>
      </w:pPr>
    </w:p>
    <w:p>
      <w:pPr>
        <w:jc w:val="both"/>
        <w:ind w:left="2" w:right="20" w:hanging="2"/>
        <w:spacing w:after="0" w:line="255" w:lineRule="auto"/>
        <w:tabs>
          <w:tab w:leader="none" w:pos="173" w:val="left"/>
        </w:tabs>
        <w:numPr>
          <w:ilvl w:val="0"/>
          <w:numId w:val="34"/>
        </w:numPr>
        <w:rPr>
          <w:rFonts w:ascii="Arial" w:cs="Arial" w:eastAsia="Arial" w:hAnsi="Arial"/>
          <w:sz w:val="22"/>
          <w:szCs w:val="22"/>
          <w:color w:val="auto"/>
          <w:vertAlign w:val="superscript"/>
        </w:rPr>
      </w:pPr>
      <w:r>
        <w:rPr>
          <w:rFonts w:ascii="Arial" w:cs="Arial" w:eastAsia="Arial" w:hAnsi="Arial"/>
          <w:sz w:val="13"/>
          <w:szCs w:val="13"/>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had previously estimated the milestone completion date would be end of calendar 2022. The updated timeframe is early 2023 due to anticipated progress in the clinical trial.</w:t>
      </w:r>
    </w:p>
    <w:p>
      <w:pPr>
        <w:spacing w:after="0" w:line="200" w:lineRule="exact"/>
        <w:rPr>
          <w:sz w:val="20"/>
          <w:szCs w:val="20"/>
          <w:color w:val="auto"/>
        </w:rPr>
      </w:pPr>
    </w:p>
    <w:p>
      <w:pPr>
        <w:spacing w:after="0" w:line="353"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2"/>
          </w:cols>
          <w:pgMar w:left="318" w:top="709" w:right="319" w:bottom="1440" w:gutter="0" w:footer="0" w:header="0"/>
        </w:sectPr>
      </w:pPr>
    </w:p>
    <w:bookmarkStart w:id="36" w:name="page37"/>
    <w:bookmarkEnd w:id="36"/>
    <w:p>
      <w:pPr>
        <w:ind w:left="582" w:hanging="289"/>
        <w:spacing w:after="0"/>
        <w:tabs>
          <w:tab w:leader="none" w:pos="5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receive its clinical trial first in human full study report in Q3 2023</w:t>
      </w:r>
      <w:r>
        <w:rPr>
          <w:rFonts w:ascii="Arial" w:cs="Arial" w:eastAsia="Arial" w:hAnsi="Arial"/>
          <w:sz w:val="23"/>
          <w:szCs w:val="23"/>
          <w:color w:val="auto"/>
          <w:vertAlign w:val="superscript"/>
        </w:rPr>
        <w:t>12</w:t>
      </w:r>
      <w:r>
        <w:rPr>
          <w:rFonts w:ascii="Arial" w:cs="Arial" w:eastAsia="Arial" w:hAnsi="Arial"/>
          <w:sz w:val="18"/>
          <w:szCs w:val="18"/>
          <w:color w:val="auto"/>
        </w:rPr>
        <w:t>.</w:t>
      </w:r>
    </w:p>
    <w:p>
      <w:pPr>
        <w:spacing w:after="0" w:line="175" w:lineRule="exact"/>
        <w:rPr>
          <w:sz w:val="20"/>
          <w:szCs w:val="20"/>
          <w:color w:val="auto"/>
        </w:rPr>
      </w:pPr>
    </w:p>
    <w:p>
      <w:pPr>
        <w:jc w:val="both"/>
        <w:ind w:left="2" w:right="20"/>
        <w:spacing w:after="0" w:line="228" w:lineRule="auto"/>
        <w:rPr>
          <w:sz w:val="20"/>
          <w:szCs w:val="20"/>
          <w:color w:val="auto"/>
        </w:rPr>
      </w:pPr>
      <w:r>
        <w:rPr>
          <w:rFonts w:ascii="Arial" w:cs="Arial" w:eastAsia="Arial" w:hAnsi="Arial"/>
          <w:sz w:val="18"/>
          <w:szCs w:val="18"/>
          <w:color w:val="auto"/>
        </w:rPr>
        <w:t>The Company expects to spend approximately $4,190</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to receive its initial pharmacokinetic and safety readout in early 2023</w:t>
      </w:r>
      <w:r>
        <w:rPr>
          <w:rFonts w:ascii="Arial" w:cs="Arial" w:eastAsia="Arial" w:hAnsi="Arial"/>
          <w:sz w:val="23"/>
          <w:szCs w:val="23"/>
          <w:color w:val="auto"/>
          <w:vertAlign w:val="superscript"/>
        </w:rPr>
        <w:t>14</w:t>
      </w:r>
      <w:r>
        <w:rPr>
          <w:rFonts w:ascii="Arial" w:cs="Arial" w:eastAsia="Arial" w:hAnsi="Arial"/>
          <w:sz w:val="18"/>
          <w:szCs w:val="18"/>
          <w:color w:val="auto"/>
        </w:rPr>
        <w:t>. The Company intends to continue funding the Deuterated Psilocybin Analog (CYB003) Program.</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Company intends to complete future clinical trials for this program in the U.S., Canada, and/or Europe.</w:t>
      </w:r>
    </w:p>
    <w:p>
      <w:pPr>
        <w:spacing w:after="0" w:line="221"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8"/>
          <w:szCs w:val="18"/>
          <w:color w:val="auto"/>
        </w:rPr>
        <w:t>There is no assurance that the aforementioned timelines will be met.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18"/>
          <w:szCs w:val="18"/>
          <w:b w:val="1"/>
          <w:bCs w:val="1"/>
          <w:u w:val="single" w:color="auto"/>
          <w:color w:val="auto"/>
        </w:rPr>
        <w:t>Deuterated Dimethyltryptamine Program (CYB004)</w:t>
      </w:r>
    </w:p>
    <w:p>
      <w:pPr>
        <w:spacing w:after="0" w:line="237" w:lineRule="exact"/>
        <w:rPr>
          <w:sz w:val="20"/>
          <w:szCs w:val="20"/>
          <w:color w:val="auto"/>
        </w:rPr>
      </w:pPr>
    </w:p>
    <w:p>
      <w:pPr>
        <w:jc w:val="both"/>
        <w:ind w:left="2" w:right="20"/>
        <w:spacing w:after="0" w:line="252" w:lineRule="auto"/>
        <w:rPr>
          <w:sz w:val="20"/>
          <w:szCs w:val="20"/>
          <w:color w:val="auto"/>
        </w:rPr>
      </w:pPr>
      <w:r>
        <w:rPr>
          <w:rFonts w:ascii="Arial" w:cs="Arial" w:eastAsia="Arial" w:hAnsi="Arial"/>
          <w:sz w:val="18"/>
          <w:szCs w:val="18"/>
          <w:color w:val="auto"/>
        </w:rPr>
        <w:t>The Company’s Deuterated Dimethyltryptamine Program is focused on the development of CYB004, a deuterated version of DMT. Cybin is currently developing CYB004 for the potential treatment of anxiety disorders.</w:t>
      </w:r>
    </w:p>
    <w:p>
      <w:pPr>
        <w:spacing w:after="0" w:line="176" w:lineRule="exact"/>
        <w:rPr>
          <w:sz w:val="20"/>
          <w:szCs w:val="20"/>
          <w:color w:val="auto"/>
        </w:rPr>
      </w:pPr>
    </w:p>
    <w:p>
      <w:pPr>
        <w:jc w:val="both"/>
        <w:ind w:left="2"/>
        <w:spacing w:after="0" w:line="246" w:lineRule="auto"/>
        <w:rPr>
          <w:sz w:val="20"/>
          <w:szCs w:val="20"/>
          <w:color w:val="auto"/>
        </w:rPr>
      </w:pPr>
      <w:r>
        <w:rPr>
          <w:rFonts w:ascii="Arial" w:cs="Arial" w:eastAsia="Arial" w:hAnsi="Arial"/>
          <w:sz w:val="18"/>
          <w:szCs w:val="18"/>
          <w:color w:val="auto"/>
        </w:rPr>
        <w:t>In preclinical studies,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psychedelic-based therapeutics.</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Company has continued to advance its Deuterated Dimethyltryptamine Program as described herein, including with the following progress:</w:t>
      </w:r>
    </w:p>
    <w:p>
      <w:pPr>
        <w:spacing w:after="0" w:line="16" w:lineRule="exact"/>
        <w:rPr>
          <w:sz w:val="20"/>
          <w:szCs w:val="20"/>
          <w:color w:val="auto"/>
        </w:rPr>
      </w:pPr>
    </w:p>
    <w:p>
      <w:pPr>
        <w:ind w:left="582" w:right="20" w:hanging="289"/>
        <w:spacing w:after="0" w:line="247" w:lineRule="auto"/>
        <w:tabs>
          <w:tab w:leader="none" w:pos="5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completed additional preclinical studies on CYB004, and reported positive preclinical data from a PK study evaluating CYB004 delivered via inhalation; and</w:t>
      </w:r>
    </w:p>
    <w:p>
      <w:pPr>
        <w:spacing w:after="0" w:line="1" w:lineRule="exact"/>
        <w:rPr>
          <w:rFonts w:ascii="Arial" w:cs="Arial" w:eastAsia="Arial" w:hAnsi="Arial"/>
          <w:sz w:val="18"/>
          <w:szCs w:val="18"/>
          <w:color w:val="auto"/>
        </w:rPr>
      </w:pPr>
    </w:p>
    <w:p>
      <w:pPr>
        <w:jc w:val="both"/>
        <w:ind w:left="582" w:right="20" w:hanging="289"/>
        <w:spacing w:after="0" w:line="272" w:lineRule="auto"/>
        <w:tabs>
          <w:tab w:leader="none" w:pos="572"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received U.S. Patent 11,242,318 which includes claims directed to the composition of matter for several deuterated tryptamine compounds, including the proposed drug substance in CYB004. The issued claims include other forms of deuterated psychedelic tryptamines, notably certain deuterated forms of DMT and 5-MeO-DMT. The patent, which is expected to expire in 2041 before consideration of any patent term extensions, covers composition of matter for the CYB004 drug substance as a putative new chemical entity.</w:t>
      </w:r>
    </w:p>
    <w:p>
      <w:pPr>
        <w:spacing w:after="0" w:line="181" w:lineRule="exact"/>
        <w:rPr>
          <w:sz w:val="20"/>
          <w:szCs w:val="20"/>
          <w:color w:val="auto"/>
        </w:rPr>
      </w:pPr>
    </w:p>
    <w:p>
      <w:pPr>
        <w:jc w:val="both"/>
        <w:ind w:left="2"/>
        <w:spacing w:after="0" w:line="238" w:lineRule="auto"/>
        <w:rPr>
          <w:sz w:val="20"/>
          <w:szCs w:val="20"/>
          <w:color w:val="auto"/>
        </w:rPr>
      </w:pPr>
      <w:r>
        <w:rPr>
          <w:rFonts w:ascii="Arial" w:cs="Arial" w:eastAsia="Arial" w:hAnsi="Arial"/>
          <w:sz w:val="18"/>
          <w:szCs w:val="18"/>
          <w:color w:val="auto"/>
        </w:rPr>
        <w:t>In addition, on June 7, 2022, the Company announced it had entered into an agreement to acquire a Phase 1 DMT study (the “</w:t>
      </w:r>
      <w:r>
        <w:rPr>
          <w:rFonts w:ascii="Arial" w:cs="Arial" w:eastAsia="Arial" w:hAnsi="Arial"/>
          <w:sz w:val="18"/>
          <w:szCs w:val="18"/>
          <w:b w:val="1"/>
          <w:bCs w:val="1"/>
          <w:color w:val="auto"/>
        </w:rPr>
        <w:t>Asset Acquisition</w:t>
      </w:r>
      <w:r>
        <w:rPr>
          <w:rFonts w:ascii="Arial" w:cs="Arial" w:eastAsia="Arial" w:hAnsi="Arial"/>
          <w:sz w:val="18"/>
          <w:szCs w:val="18"/>
          <w:color w:val="auto"/>
        </w:rPr>
        <w:t>”) from Entheon Biomedical Corp. (“</w:t>
      </w:r>
      <w:r>
        <w:rPr>
          <w:rFonts w:ascii="Arial" w:cs="Arial" w:eastAsia="Arial" w:hAnsi="Arial"/>
          <w:sz w:val="18"/>
          <w:szCs w:val="18"/>
          <w:b w:val="1"/>
          <w:bCs w:val="1"/>
          <w:color w:val="auto"/>
        </w:rPr>
        <w:t>Entheon</w:t>
      </w:r>
      <w:r>
        <w:rPr>
          <w:rFonts w:ascii="Arial" w:cs="Arial" w:eastAsia="Arial" w:hAnsi="Arial"/>
          <w:sz w:val="18"/>
          <w:szCs w:val="18"/>
          <w:color w:val="auto"/>
        </w:rPr>
        <w:t>”) to accelerate the clinical development path for CYB004. On July 11, 2022, the Company announced that the Asset Acquisition was completed. The Phase 1 study, previously identified as EBRX-101 and now named CYB004-E, is being conducted in the Netherlands in 50 healthy volunteers who smoke tobacco. The CYB004-E study is expected to yield essential safety and dosing optimization data. Entheon will continue to support the CYB004-E study and act as external consultants to the Company. Pending results from the CYB004-E study, the Company plans to evaluate CYB004 to determine the clinical path forward.</w:t>
      </w:r>
    </w:p>
    <w:p>
      <w:pPr>
        <w:spacing w:after="0" w:line="20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About the Phase 1 CYB004-E DMT Study</w:t>
      </w:r>
    </w:p>
    <w:p>
      <w:pPr>
        <w:spacing w:after="0" w:line="233"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8"/>
          <w:szCs w:val="18"/>
          <w:color w:val="auto"/>
        </w:rPr>
        <w:t>The CYB004-E study is an adaptive, randomized, double-blind, placebo-controlled, single ascending dose study to evaluate the safety, PK and PD of a target-controlled intravenous infusion of DMT in healthy volunteers. The study is expected to provide essential safety and dosing optimization data to inform the clinical path forward for CYB004.</w:t>
      </w:r>
    </w:p>
    <w:p>
      <w:pPr>
        <w:spacing w:after="0" w:line="192"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As at September 30, 2022, the Company has spent approximately $3,904 on its Deuterated Dimethyltryptamine Program since the beginning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15519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98" w:lineRule="exact"/>
        <w:rPr>
          <w:sz w:val="20"/>
          <w:szCs w:val="20"/>
          <w:color w:val="auto"/>
        </w:rPr>
      </w:pPr>
    </w:p>
    <w:p>
      <w:pPr>
        <w:jc w:val="both"/>
        <w:ind w:left="2" w:right="20" w:hanging="2"/>
        <w:spacing w:after="0" w:line="229" w:lineRule="auto"/>
        <w:tabs>
          <w:tab w:leader="none" w:pos="178"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182" w:hanging="182"/>
        <w:spacing w:after="0" w:line="191" w:lineRule="auto"/>
        <w:tabs>
          <w:tab w:leader="none" w:pos="182"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Dollar amount since the beginning of the fiscal year April 1, 2022.</w:t>
      </w:r>
    </w:p>
    <w:p>
      <w:pPr>
        <w:spacing w:after="0" w:line="21" w:lineRule="exact"/>
        <w:rPr>
          <w:rFonts w:ascii="Arial" w:cs="Arial" w:eastAsia="Arial" w:hAnsi="Arial"/>
          <w:sz w:val="24"/>
          <w:szCs w:val="24"/>
          <w:color w:val="auto"/>
          <w:vertAlign w:val="superscript"/>
        </w:rPr>
      </w:pPr>
    </w:p>
    <w:p>
      <w:pPr>
        <w:ind w:left="122" w:hanging="122"/>
        <w:spacing w:after="0" w:line="227" w:lineRule="auto"/>
        <w:tabs>
          <w:tab w:leader="none" w:pos="122"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See footnote 11.</w:t>
      </w: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2"/>
          </w:cols>
          <w:pgMar w:left="318" w:top="709" w:right="319" w:bottom="1440" w:gutter="0" w:footer="0" w:header="0"/>
        </w:sectPr>
      </w:pPr>
    </w:p>
    <w:bookmarkStart w:id="37" w:name="page38"/>
    <w:bookmarkEnd w:id="37"/>
    <w:p>
      <w:pPr>
        <w:ind w:left="2" w:right="20"/>
        <w:spacing w:after="0" w:line="239" w:lineRule="auto"/>
        <w:rPr>
          <w:sz w:val="20"/>
          <w:szCs w:val="20"/>
          <w:color w:val="auto"/>
        </w:rPr>
      </w:pPr>
      <w:r>
        <w:rPr>
          <w:rFonts w:ascii="Arial" w:cs="Arial" w:eastAsia="Arial" w:hAnsi="Arial"/>
          <w:sz w:val="18"/>
          <w:szCs w:val="18"/>
          <w:color w:val="auto"/>
        </w:rPr>
        <w:t>As the Company continues to progress its Deuterated Dimethyltryptamine Program, additional milestones related to its clinical development have been identified. The Company intends to:</w:t>
      </w:r>
    </w:p>
    <w:p>
      <w:pPr>
        <w:ind w:left="582" w:hanging="289"/>
        <w:spacing w:after="0" w:line="205" w:lineRule="auto"/>
        <w:tabs>
          <w:tab w:leader="none" w:pos="582" w:val="left"/>
        </w:tabs>
        <w:numPr>
          <w:ilvl w:val="0"/>
          <w:numId w:val="38"/>
        </w:numPr>
        <w:rPr>
          <w:rFonts w:ascii="Arial" w:cs="Arial" w:eastAsia="Arial" w:hAnsi="Arial"/>
          <w:sz w:val="18"/>
          <w:szCs w:val="18"/>
          <w:color w:val="auto"/>
          <w:strike w:val="1"/>
        </w:rPr>
      </w:pPr>
      <w:r>
        <w:rPr>
          <w:rFonts w:ascii="Arial" w:cs="Arial" w:eastAsia="Arial" w:hAnsi="Arial"/>
          <w:sz w:val="18"/>
          <w:szCs w:val="18"/>
          <w:color w:val="auto"/>
        </w:rPr>
        <w:t>complete the CYB004-E Phase 1 trial in early 2023</w:t>
      </w:r>
      <w:r>
        <w:rPr>
          <w:rFonts w:ascii="Arial" w:cs="Arial" w:eastAsia="Arial" w:hAnsi="Arial"/>
          <w:sz w:val="23"/>
          <w:szCs w:val="23"/>
          <w:color w:val="auto"/>
          <w:vertAlign w:val="superscript"/>
        </w:rPr>
        <w:t>15</w:t>
      </w:r>
      <w:r>
        <w:rPr>
          <w:rFonts w:ascii="Arial" w:cs="Arial" w:eastAsia="Arial" w:hAnsi="Arial"/>
          <w:sz w:val="18"/>
          <w:szCs w:val="18"/>
          <w:color w:val="auto"/>
        </w:rPr>
        <w:t>; and,</w:t>
      </w:r>
    </w:p>
    <w:p>
      <w:pPr>
        <w:ind w:left="582" w:hanging="289"/>
        <w:spacing w:after="0"/>
        <w:tabs>
          <w:tab w:leader="none" w:pos="58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complete the IND-enabling preclinical studies of CYB004 in Q3 2023</w:t>
      </w:r>
      <w:r>
        <w:rPr>
          <w:rFonts w:ascii="Arial" w:cs="Arial" w:eastAsia="Arial" w:hAnsi="Arial"/>
          <w:sz w:val="23"/>
          <w:szCs w:val="23"/>
          <w:color w:val="auto"/>
          <w:vertAlign w:val="superscript"/>
        </w:rPr>
        <w:t>16</w:t>
      </w:r>
      <w:r>
        <w:rPr>
          <w:rFonts w:ascii="Arial" w:cs="Arial" w:eastAsia="Arial" w:hAnsi="Arial"/>
          <w:sz w:val="18"/>
          <w:szCs w:val="18"/>
          <w:color w:val="auto"/>
        </w:rPr>
        <w:t>.</w:t>
      </w:r>
    </w:p>
    <w:p>
      <w:pPr>
        <w:spacing w:after="0" w:line="159" w:lineRule="exact"/>
        <w:rPr>
          <w:sz w:val="20"/>
          <w:szCs w:val="20"/>
          <w:color w:val="auto"/>
        </w:rPr>
      </w:pPr>
    </w:p>
    <w:p>
      <w:pPr>
        <w:jc w:val="both"/>
        <w:ind w:left="2"/>
        <w:spacing w:after="0" w:line="214" w:lineRule="auto"/>
        <w:rPr>
          <w:sz w:val="20"/>
          <w:szCs w:val="20"/>
          <w:color w:val="auto"/>
        </w:rPr>
      </w:pPr>
      <w:r>
        <w:rPr>
          <w:rFonts w:ascii="Arial" w:cs="Arial" w:eastAsia="Arial" w:hAnsi="Arial"/>
          <w:sz w:val="18"/>
          <w:szCs w:val="18"/>
          <w:color w:val="auto"/>
        </w:rPr>
        <w:t>The Company expects to spend approximately $10,244</w:t>
      </w:r>
      <w:r>
        <w:rPr>
          <w:rFonts w:ascii="Arial" w:cs="Arial" w:eastAsia="Arial" w:hAnsi="Arial"/>
          <w:sz w:val="23"/>
          <w:szCs w:val="23"/>
          <w:color w:val="auto"/>
          <w:vertAlign w:val="superscript"/>
        </w:rPr>
        <w:t>17</w:t>
      </w:r>
      <w:r>
        <w:rPr>
          <w:rFonts w:ascii="Arial" w:cs="Arial" w:eastAsia="Arial" w:hAnsi="Arial"/>
          <w:sz w:val="18"/>
          <w:szCs w:val="18"/>
          <w:color w:val="auto"/>
        </w:rPr>
        <w:t xml:space="preserve"> to advance preclinical development of CYB004 by September 30, 2023 and $3,130</w:t>
      </w:r>
      <w:r>
        <w:rPr>
          <w:rFonts w:ascii="Arial" w:cs="Arial" w:eastAsia="Arial" w:hAnsi="Arial"/>
          <w:sz w:val="23"/>
          <w:szCs w:val="23"/>
          <w:color w:val="auto"/>
          <w:vertAlign w:val="superscript"/>
        </w:rPr>
        <w:t>18</w:t>
      </w:r>
      <w:r>
        <w:rPr>
          <w:rFonts w:ascii="Arial" w:cs="Arial" w:eastAsia="Arial" w:hAnsi="Arial"/>
          <w:sz w:val="18"/>
          <w:szCs w:val="18"/>
          <w:color w:val="auto"/>
        </w:rPr>
        <w:t xml:space="preserve"> to advance Phase 1 DMT study for CYB004-E by the first half of calendar 2023. The Company intends to continue funding the Deuterated Dimethyltryptamine (CYB004) Program.</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8"/>
          <w:szCs w:val="18"/>
          <w:b w:val="1"/>
          <w:bCs w:val="1"/>
          <w:u w:val="single" w:color="auto"/>
          <w:color w:val="auto"/>
        </w:rPr>
        <w:t>Phenethylamine Derivatives Program (CYB005)</w:t>
      </w:r>
    </w:p>
    <w:p>
      <w:pPr>
        <w:spacing w:after="0" w:line="212" w:lineRule="exact"/>
        <w:rPr>
          <w:sz w:val="20"/>
          <w:szCs w:val="20"/>
          <w:color w:val="auto"/>
        </w:rPr>
      </w:pPr>
    </w:p>
    <w:p>
      <w:pPr>
        <w:jc w:val="both"/>
        <w:ind w:left="2" w:right="20"/>
        <w:spacing w:after="0" w:line="254" w:lineRule="auto"/>
        <w:rPr>
          <w:sz w:val="20"/>
          <w:szCs w:val="20"/>
          <w:color w:val="auto"/>
        </w:rPr>
      </w:pPr>
      <w:r>
        <w:rPr>
          <w:rFonts w:ascii="Arial" w:cs="Arial" w:eastAsia="Arial" w:hAnsi="Arial"/>
          <w:sz w:val="18"/>
          <w:szCs w:val="18"/>
          <w:color w:val="auto"/>
        </w:rPr>
        <w:t xml:space="preserve">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deuterium substitution, proprietary formulations and directed delivery systems has yielded a number of novel leads with significant therapeutic potential. Several compounds are now being further studied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selection of the best development candidates. The Company is investigating phenethylamine derivatives for the potential treatment of neuroinflammation and other neurological conditions</w:t>
      </w:r>
      <w:r>
        <w:rPr>
          <w:rFonts w:ascii="Arial" w:cs="Arial" w:eastAsia="Arial" w:hAnsi="Arial"/>
          <w:sz w:val="23"/>
          <w:szCs w:val="23"/>
          <w:color w:val="auto"/>
          <w:vertAlign w:val="superscript"/>
        </w:rPr>
        <w:t>19</w:t>
      </w:r>
      <w:r>
        <w:rPr>
          <w:rFonts w:ascii="Arial" w:cs="Arial" w:eastAsia="Arial" w:hAnsi="Arial"/>
          <w:sz w:val="18"/>
          <w:szCs w:val="18"/>
          <w:color w:val="auto"/>
        </w:rPr>
        <w:t>.</w:t>
      </w:r>
    </w:p>
    <w:p>
      <w:pPr>
        <w:spacing w:after="0" w:line="128" w:lineRule="exact"/>
        <w:rPr>
          <w:sz w:val="20"/>
          <w:szCs w:val="20"/>
          <w:color w:val="auto"/>
        </w:rPr>
      </w:pPr>
    </w:p>
    <w:p>
      <w:pPr>
        <w:jc w:val="both"/>
        <w:ind w:left="2" w:right="20"/>
        <w:spacing w:after="0" w:line="272" w:lineRule="auto"/>
        <w:rPr>
          <w:sz w:val="20"/>
          <w:szCs w:val="20"/>
          <w:color w:val="auto"/>
        </w:rPr>
      </w:pPr>
      <w:r>
        <w:rPr>
          <w:rFonts w:ascii="Arial" w:cs="Arial" w:eastAsia="Arial" w:hAnsi="Arial"/>
          <w:sz w:val="17"/>
          <w:szCs w:val="17"/>
          <w:color w:val="auto"/>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 and Controls to meet cGMP.</w:t>
      </w:r>
    </w:p>
    <w:p>
      <w:pPr>
        <w:spacing w:after="0" w:line="186" w:lineRule="exact"/>
        <w:rPr>
          <w:sz w:val="20"/>
          <w:szCs w:val="20"/>
          <w:color w:val="auto"/>
        </w:rPr>
      </w:pPr>
    </w:p>
    <w:p>
      <w:pPr>
        <w:jc w:val="both"/>
        <w:ind w:left="2" w:right="20"/>
        <w:spacing w:after="0" w:line="272" w:lineRule="auto"/>
        <w:rPr>
          <w:sz w:val="20"/>
          <w:szCs w:val="20"/>
          <w:color w:val="auto"/>
        </w:rPr>
      </w:pPr>
      <w:r>
        <w:rPr>
          <w:rFonts w:ascii="Arial" w:cs="Arial" w:eastAsia="Arial" w:hAnsi="Arial"/>
          <w:sz w:val="17"/>
          <w:szCs w:val="17"/>
          <w:color w:val="auto"/>
        </w:rPr>
        <w:t>In addition, utilizing the expertise of selected third parties, the Company intends to oversee the study of the PK profiles of its formulations in a number of animal models and the completion of Absorption, Distribution, Metabolism, and Excretion ("</w:t>
      </w:r>
      <w:r>
        <w:rPr>
          <w:rFonts w:ascii="Arial" w:cs="Arial" w:eastAsia="Arial" w:hAnsi="Arial"/>
          <w:sz w:val="17"/>
          <w:szCs w:val="17"/>
          <w:b w:val="1"/>
          <w:bCs w:val="1"/>
          <w:color w:val="auto"/>
        </w:rPr>
        <w:t>ADME</w:t>
      </w:r>
      <w:r>
        <w:rPr>
          <w:rFonts w:ascii="Arial" w:cs="Arial" w:eastAsia="Arial" w:hAnsi="Arial"/>
          <w:sz w:val="17"/>
          <w:szCs w:val="17"/>
          <w:color w:val="auto"/>
        </w:rPr>
        <w:t>") profiles. Further, the Company’s licensed third party vendors will be responsible for completing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w:t>
      </w:r>
    </w:p>
    <w:p>
      <w:pPr>
        <w:spacing w:after="0" w:line="187" w:lineRule="exact"/>
        <w:rPr>
          <w:sz w:val="20"/>
          <w:szCs w:val="20"/>
          <w:color w:val="auto"/>
        </w:rPr>
      </w:pPr>
    </w:p>
    <w:p>
      <w:pPr>
        <w:jc w:val="both"/>
        <w:ind w:left="2" w:right="20"/>
        <w:spacing w:after="0" w:line="281" w:lineRule="auto"/>
        <w:rPr>
          <w:sz w:val="20"/>
          <w:szCs w:val="20"/>
          <w:color w:val="auto"/>
        </w:rPr>
      </w:pPr>
      <w:r>
        <w:rPr>
          <w:rFonts w:ascii="Arial" w:cs="Arial" w:eastAsia="Arial" w:hAnsi="Arial"/>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75"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As at September 30, 2022, the Company has spent approximately $600 on its preclinical Phenethylamine Derivatives Program since the beginning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15519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392" w:lineRule="exact"/>
        <w:rPr>
          <w:sz w:val="20"/>
          <w:szCs w:val="20"/>
          <w:color w:val="auto"/>
        </w:rPr>
      </w:pPr>
    </w:p>
    <w:p>
      <w:pPr>
        <w:ind w:left="182" w:hanging="182"/>
        <w:spacing w:after="0"/>
        <w:tabs>
          <w:tab w:leader="none" w:pos="182"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See footnote 11.</w:t>
      </w:r>
    </w:p>
    <w:p>
      <w:pPr>
        <w:spacing w:after="0" w:line="69" w:lineRule="exact"/>
        <w:rPr>
          <w:rFonts w:ascii="Arial" w:cs="Arial" w:eastAsia="Arial" w:hAnsi="Arial"/>
          <w:sz w:val="24"/>
          <w:szCs w:val="24"/>
          <w:color w:val="auto"/>
          <w:vertAlign w:val="superscript"/>
        </w:rPr>
      </w:pPr>
    </w:p>
    <w:p>
      <w:pPr>
        <w:ind w:left="182" w:hanging="182"/>
        <w:spacing w:after="0" w:line="182" w:lineRule="auto"/>
        <w:tabs>
          <w:tab w:leader="none" w:pos="182" w:val="left"/>
        </w:tabs>
        <w:numPr>
          <w:ilvl w:val="0"/>
          <w:numId w:val="39"/>
        </w:numPr>
        <w:rPr>
          <w:rFonts w:ascii="Arial" w:cs="Arial" w:eastAsia="Arial" w:hAnsi="Arial"/>
          <w:sz w:val="20"/>
          <w:szCs w:val="20"/>
          <w:color w:val="auto"/>
          <w:vertAlign w:val="superscript"/>
        </w:rPr>
      </w:pPr>
      <w:r>
        <w:rPr>
          <w:rFonts w:ascii="Arial" w:cs="Arial" w:eastAsia="Arial" w:hAnsi="Arial"/>
          <w:sz w:val="12"/>
          <w:szCs w:val="12"/>
          <w:color w:val="auto"/>
        </w:rPr>
        <w:t>See footnote 11.</w:t>
      </w:r>
    </w:p>
    <w:p>
      <w:pPr>
        <w:spacing w:after="0" w:line="57" w:lineRule="exact"/>
        <w:rPr>
          <w:rFonts w:ascii="Arial" w:cs="Arial" w:eastAsia="Arial" w:hAnsi="Arial"/>
          <w:sz w:val="20"/>
          <w:szCs w:val="20"/>
          <w:color w:val="auto"/>
          <w:vertAlign w:val="superscript"/>
        </w:rPr>
      </w:pPr>
    </w:p>
    <w:p>
      <w:pPr>
        <w:ind w:left="182" w:hanging="182"/>
        <w:spacing w:after="0" w:line="182" w:lineRule="auto"/>
        <w:tabs>
          <w:tab w:leader="none" w:pos="182" w:val="left"/>
        </w:tabs>
        <w:numPr>
          <w:ilvl w:val="0"/>
          <w:numId w:val="39"/>
        </w:numPr>
        <w:rPr>
          <w:rFonts w:ascii="Arial" w:cs="Arial" w:eastAsia="Arial" w:hAnsi="Arial"/>
          <w:sz w:val="20"/>
          <w:szCs w:val="20"/>
          <w:color w:val="auto"/>
          <w:vertAlign w:val="superscript"/>
        </w:rPr>
      </w:pPr>
      <w:r>
        <w:rPr>
          <w:rFonts w:ascii="Arial" w:cs="Arial" w:eastAsia="Arial" w:hAnsi="Arial"/>
          <w:sz w:val="12"/>
          <w:szCs w:val="12"/>
          <w:color w:val="auto"/>
        </w:rPr>
        <w:t>See footnote 13.</w:t>
      </w:r>
    </w:p>
    <w:p>
      <w:pPr>
        <w:spacing w:after="0" w:line="57" w:lineRule="exact"/>
        <w:rPr>
          <w:rFonts w:ascii="Arial" w:cs="Arial" w:eastAsia="Arial" w:hAnsi="Arial"/>
          <w:sz w:val="20"/>
          <w:szCs w:val="20"/>
          <w:color w:val="auto"/>
          <w:vertAlign w:val="superscript"/>
        </w:rPr>
      </w:pPr>
    </w:p>
    <w:p>
      <w:pPr>
        <w:ind w:left="182" w:hanging="182"/>
        <w:spacing w:after="0" w:line="182" w:lineRule="auto"/>
        <w:tabs>
          <w:tab w:leader="none" w:pos="182" w:val="left"/>
        </w:tabs>
        <w:numPr>
          <w:ilvl w:val="0"/>
          <w:numId w:val="39"/>
        </w:numPr>
        <w:rPr>
          <w:rFonts w:ascii="Arial" w:cs="Arial" w:eastAsia="Arial" w:hAnsi="Arial"/>
          <w:sz w:val="20"/>
          <w:szCs w:val="20"/>
          <w:color w:val="auto"/>
          <w:vertAlign w:val="superscript"/>
        </w:rPr>
      </w:pPr>
      <w:r>
        <w:rPr>
          <w:rFonts w:ascii="Arial" w:cs="Arial" w:eastAsia="Arial" w:hAnsi="Arial"/>
          <w:sz w:val="12"/>
          <w:szCs w:val="12"/>
          <w:color w:val="auto"/>
        </w:rPr>
        <w:t>See footnote 13.</w:t>
      </w:r>
    </w:p>
    <w:p>
      <w:pPr>
        <w:spacing w:after="0" w:line="57" w:lineRule="exact"/>
        <w:rPr>
          <w:rFonts w:ascii="Arial" w:cs="Arial" w:eastAsia="Arial" w:hAnsi="Arial"/>
          <w:sz w:val="20"/>
          <w:szCs w:val="20"/>
          <w:color w:val="auto"/>
          <w:vertAlign w:val="superscript"/>
        </w:rPr>
      </w:pPr>
    </w:p>
    <w:p>
      <w:pPr>
        <w:ind w:left="2" w:right="20" w:hanging="2"/>
        <w:spacing w:after="0" w:line="226" w:lineRule="auto"/>
        <w:tabs>
          <w:tab w:leader="none" w:pos="178"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5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2"/>
          </w:cols>
          <w:pgMar w:left="318" w:top="709" w:right="319" w:bottom="1440" w:gutter="0" w:footer="0" w:header="0"/>
        </w:sectPr>
      </w:pPr>
    </w:p>
    <w:bookmarkStart w:id="38" w:name="page39"/>
    <w:bookmarkEnd w:id="38"/>
    <w:p>
      <w:pPr>
        <w:jc w:val="both"/>
        <w:ind w:left="2"/>
        <w:spacing w:after="0" w:line="267" w:lineRule="auto"/>
        <w:rPr>
          <w:sz w:val="20"/>
          <w:szCs w:val="20"/>
          <w:color w:val="auto"/>
        </w:rPr>
      </w:pPr>
      <w:r>
        <w:rPr>
          <w:rFonts w:ascii="Arial" w:cs="Arial" w:eastAsia="Arial" w:hAnsi="Arial"/>
          <w:sz w:val="18"/>
          <w:szCs w:val="18"/>
          <w:color w:val="auto"/>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2023</w:t>
      </w:r>
      <w:r>
        <w:rPr>
          <w:rFonts w:ascii="Arial" w:cs="Arial" w:eastAsia="Arial" w:hAnsi="Arial"/>
          <w:sz w:val="23"/>
          <w:szCs w:val="23"/>
          <w:color w:val="auto"/>
          <w:vertAlign w:val="superscript"/>
        </w:rPr>
        <w:t>20</w:t>
      </w:r>
      <w:r>
        <w:rPr>
          <w:rFonts w:ascii="Arial" w:cs="Arial" w:eastAsia="Arial" w:hAnsi="Arial"/>
          <w:sz w:val="18"/>
          <w:szCs w:val="18"/>
          <w:color w:val="auto"/>
        </w:rPr>
        <w:t>.</w:t>
      </w:r>
    </w:p>
    <w:p>
      <w:pPr>
        <w:spacing w:after="0" w:line="113" w:lineRule="exact"/>
        <w:rPr>
          <w:sz w:val="20"/>
          <w:szCs w:val="20"/>
          <w:color w:val="auto"/>
        </w:rPr>
      </w:pPr>
    </w:p>
    <w:p>
      <w:pPr>
        <w:jc w:val="both"/>
        <w:ind w:left="2"/>
        <w:spacing w:after="0" w:line="228" w:lineRule="auto"/>
        <w:rPr>
          <w:sz w:val="20"/>
          <w:szCs w:val="20"/>
          <w:color w:val="auto"/>
        </w:rPr>
      </w:pPr>
      <w:r>
        <w:rPr>
          <w:rFonts w:ascii="Arial" w:cs="Arial" w:eastAsia="Arial" w:hAnsi="Arial"/>
          <w:sz w:val="18"/>
          <w:szCs w:val="18"/>
          <w:color w:val="auto"/>
        </w:rPr>
        <w:t>The Company expects to spend approximately $1,286</w:t>
      </w:r>
      <w:r>
        <w:rPr>
          <w:rFonts w:ascii="Arial" w:cs="Arial" w:eastAsia="Arial" w:hAnsi="Arial"/>
          <w:sz w:val="23"/>
          <w:szCs w:val="23"/>
          <w:color w:val="auto"/>
          <w:vertAlign w:val="superscript"/>
        </w:rPr>
        <w:t>21</w:t>
      </w:r>
      <w:r>
        <w:rPr>
          <w:rFonts w:ascii="Arial" w:cs="Arial" w:eastAsia="Arial" w:hAnsi="Arial"/>
          <w:sz w:val="18"/>
          <w:szCs w:val="18"/>
          <w:color w:val="auto"/>
        </w:rPr>
        <w:t xml:space="preserve"> to complete preclinical development of a phenethylamine drug candidate by September 30, 2023.The Company intends to continue funding the </w:t>
      </w:r>
      <w:r>
        <w:rPr>
          <w:rFonts w:ascii="Arial" w:cs="Arial" w:eastAsia="Arial" w:hAnsi="Arial"/>
          <w:sz w:val="18"/>
          <w:szCs w:val="18"/>
          <w:u w:val="single" w:color="auto"/>
          <w:color w:val="auto"/>
        </w:rPr>
        <w:t>Phenethylamine Derivatives Program</w:t>
      </w:r>
      <w:r>
        <w:rPr>
          <w:rFonts w:ascii="Arial" w:cs="Arial" w:eastAsia="Arial" w:hAnsi="Arial"/>
          <w:sz w:val="18"/>
          <w:szCs w:val="18"/>
          <w:color w:val="auto"/>
        </w:rPr>
        <w:t xml:space="preserve"> (CYB005) Program.</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8"/>
          <w:szCs w:val="18"/>
          <w:b w:val="1"/>
          <w:bCs w:val="1"/>
          <w:u w:val="single" w:color="auto"/>
          <w:color w:val="auto"/>
        </w:rPr>
        <w:t>Technology Programs</w:t>
      </w:r>
    </w:p>
    <w:p>
      <w:pPr>
        <w:spacing w:after="0" w:line="237"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Digital Therapy Platform</w:t>
      </w:r>
    </w:p>
    <w:p>
      <w:pPr>
        <w:spacing w:after="0" w:line="17" w:lineRule="exact"/>
        <w:rPr>
          <w:sz w:val="20"/>
          <w:szCs w:val="20"/>
          <w:color w:val="auto"/>
        </w:rPr>
      </w:pPr>
    </w:p>
    <w:p>
      <w:pPr>
        <w:jc w:val="both"/>
        <w:ind w:left="2"/>
        <w:spacing w:after="0" w:line="258" w:lineRule="auto"/>
        <w:rPr>
          <w:sz w:val="20"/>
          <w:szCs w:val="20"/>
          <w:color w:val="auto"/>
        </w:rPr>
      </w:pPr>
      <w:r>
        <w:rPr>
          <w:rFonts w:ascii="Arial" w:cs="Arial" w:eastAsia="Arial" w:hAnsi="Arial"/>
          <w:sz w:val="18"/>
          <w:szCs w:val="18"/>
          <w:color w:val="auto"/>
        </w:rPr>
        <w:t>The Company has been working on the creation of a patient digital therapy platform (the “</w:t>
      </w:r>
      <w:r>
        <w:rPr>
          <w:rFonts w:ascii="Arial" w:cs="Arial" w:eastAsia="Arial" w:hAnsi="Arial"/>
          <w:sz w:val="18"/>
          <w:szCs w:val="18"/>
          <w:b w:val="1"/>
          <w:bCs w:val="1"/>
          <w:color w:val="auto"/>
        </w:rPr>
        <w:t>Digital Platform</w:t>
      </w:r>
      <w:r>
        <w:rPr>
          <w:rFonts w:ascii="Arial" w:cs="Arial" w:eastAsia="Arial" w:hAnsi="Arial"/>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w:t>
      </w:r>
    </w:p>
    <w:p>
      <w:pPr>
        <w:spacing w:after="0" w:line="159" w:lineRule="exact"/>
        <w:rPr>
          <w:sz w:val="20"/>
          <w:szCs w:val="20"/>
          <w:color w:val="auto"/>
        </w:rPr>
      </w:pPr>
    </w:p>
    <w:p>
      <w:pPr>
        <w:jc w:val="both"/>
        <w:ind w:left="2"/>
        <w:spacing w:after="0" w:line="261" w:lineRule="auto"/>
        <w:rPr>
          <w:sz w:val="20"/>
          <w:szCs w:val="20"/>
          <w:color w:val="auto"/>
        </w:rPr>
      </w:pPr>
      <w:r>
        <w:rPr>
          <w:rFonts w:ascii="Arial" w:cs="Arial" w:eastAsia="Arial" w:hAnsi="Arial"/>
          <w:sz w:val="18"/>
          <w:szCs w:val="18"/>
          <w:color w:val="auto"/>
        </w:rPr>
        <w:t>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w:t>
      </w:r>
    </w:p>
    <w:p>
      <w:pPr>
        <w:spacing w:after="0" w:line="192" w:lineRule="exact"/>
        <w:rPr>
          <w:sz w:val="20"/>
          <w:szCs w:val="20"/>
          <w:color w:val="auto"/>
        </w:rPr>
      </w:pPr>
    </w:p>
    <w:p>
      <w:pPr>
        <w:jc w:val="both"/>
        <w:ind w:left="2"/>
        <w:spacing w:after="0" w:line="281" w:lineRule="auto"/>
        <w:rPr>
          <w:sz w:val="20"/>
          <w:szCs w:val="20"/>
          <w:color w:val="auto"/>
        </w:rPr>
      </w:pPr>
      <w:r>
        <w:rPr>
          <w:rFonts w:ascii="Arial" w:cs="Arial" w:eastAsia="Arial" w:hAnsi="Arial"/>
          <w:sz w:val="18"/>
          <w:szCs w:val="18"/>
          <w:color w:val="auto"/>
        </w:rPr>
        <w:t>Proof-of-concept testing for the Company's Digital Platform was completed in Q2 2022. The Company is currently evaluating paths forward for its Digital Platform program.</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Kernel Collaboration</w:t>
      </w:r>
    </w:p>
    <w:p>
      <w:pPr>
        <w:spacing w:after="0" w:line="23" w:lineRule="exact"/>
        <w:rPr>
          <w:sz w:val="20"/>
          <w:szCs w:val="20"/>
          <w:color w:val="auto"/>
        </w:rPr>
      </w:pPr>
    </w:p>
    <w:p>
      <w:pPr>
        <w:jc w:val="both"/>
        <w:ind w:left="2"/>
        <w:spacing w:after="0" w:line="255" w:lineRule="auto"/>
        <w:rPr>
          <w:sz w:val="20"/>
          <w:szCs w:val="20"/>
          <w:color w:val="auto"/>
        </w:rPr>
      </w:pPr>
      <w:r>
        <w:rPr>
          <w:rFonts w:ascii="Arial" w:cs="Arial" w:eastAsia="Arial" w:hAnsi="Arial"/>
          <w:sz w:val="18"/>
          <w:szCs w:val="18"/>
          <w:color w:val="auto"/>
        </w:rPr>
        <w:t>On January 11, 2021, the Company announced that it entered into an agreement with HI, LLC dba Kernel (“</w:t>
      </w:r>
      <w:r>
        <w:rPr>
          <w:rFonts w:ascii="Arial" w:cs="Arial" w:eastAsia="Arial" w:hAnsi="Arial"/>
          <w:sz w:val="18"/>
          <w:szCs w:val="18"/>
          <w:b w:val="1"/>
          <w:bCs w:val="1"/>
          <w:color w:val="auto"/>
        </w:rPr>
        <w:t>Kernel</w:t>
      </w:r>
      <w:r>
        <w:rPr>
          <w:rFonts w:ascii="Arial" w:cs="Arial" w:eastAsia="Arial" w:hAnsi="Arial"/>
          <w:sz w:val="18"/>
          <w:szCs w:val="18"/>
          <w:color w:val="auto"/>
        </w:rPr>
        <w:t>”) that will enable the Company to use the Kernel Flow technology to potentially measure neural activity during psychedelic therapy.</w:t>
      </w:r>
    </w:p>
    <w:p>
      <w:pPr>
        <w:spacing w:after="0" w:line="174" w:lineRule="exact"/>
        <w:rPr>
          <w:sz w:val="20"/>
          <w:szCs w:val="20"/>
          <w:color w:val="auto"/>
        </w:rPr>
      </w:pPr>
    </w:p>
    <w:p>
      <w:pPr>
        <w:jc w:val="both"/>
        <w:ind w:left="2"/>
        <w:spacing w:after="0" w:line="277" w:lineRule="auto"/>
        <w:rPr>
          <w:sz w:val="20"/>
          <w:szCs w:val="20"/>
          <w:color w:val="auto"/>
        </w:rPr>
      </w:pPr>
      <w:r>
        <w:rPr>
          <w:rFonts w:ascii="Arial" w:cs="Arial" w:eastAsia="Arial" w:hAnsi="Arial"/>
          <w:sz w:val="17"/>
          <w:szCs w:val="17"/>
          <w:color w:val="auto"/>
        </w:rPr>
        <w:t>On October 26, 2021, the Company announced that the FDA had authorized an IND application to proceed with a Cybin-sponsored feasibility study using the Kernel Flow technology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confirms the Kernel Flow technology’s ability to successfully measure neuro-effect of ketamine over 10 days.</w:t>
      </w:r>
      <w:r>
        <w:rPr>
          <w:rFonts w:ascii="Arial" w:cs="Arial" w:eastAsia="Arial" w:hAnsi="Arial"/>
          <w:sz w:val="22"/>
          <w:szCs w:val="22"/>
          <w:color w:val="auto"/>
          <w:vertAlign w:val="superscript"/>
        </w:rPr>
        <w:t>22</w:t>
      </w:r>
    </w:p>
    <w:p>
      <w:pPr>
        <w:spacing w:after="0" w:line="82" w:lineRule="exact"/>
        <w:rPr>
          <w:sz w:val="20"/>
          <w:szCs w:val="20"/>
          <w:color w:val="auto"/>
        </w:rPr>
      </w:pPr>
    </w:p>
    <w:p>
      <w:pPr>
        <w:jc w:val="both"/>
        <w:ind w:left="2"/>
        <w:spacing w:after="0" w:line="267" w:lineRule="auto"/>
        <w:rPr>
          <w:sz w:val="20"/>
          <w:szCs w:val="20"/>
          <w:color w:val="auto"/>
        </w:rPr>
      </w:pPr>
      <w:r>
        <w:rPr>
          <w:rFonts w:ascii="Arial" w:cs="Arial" w:eastAsia="Arial" w:hAnsi="Arial"/>
          <w:sz w:val="18"/>
          <w:szCs w:val="18"/>
          <w:color w:val="auto"/>
        </w:rPr>
        <w:t>The Company completed its feasibility study sponsorship utilizing Kernel Flow technology in Q3 2022. Cybin and its partner Kernel expect to report data from a Phase I feasibility study evaluating Kernel’s Flow technology to measure ketamine's psychedelic effect on cerebral cortex hemodynamics at the end of 2022</w:t>
      </w:r>
      <w:r>
        <w:rPr>
          <w:rFonts w:ascii="Arial" w:cs="Arial" w:eastAsia="Arial" w:hAnsi="Arial"/>
          <w:sz w:val="23"/>
          <w:szCs w:val="23"/>
          <w:color w:val="auto"/>
          <w:vertAlign w:val="superscript"/>
        </w:rPr>
        <w:t>23</w:t>
      </w:r>
      <w:r>
        <w:rPr>
          <w:rFonts w:ascii="Arial" w:cs="Arial" w:eastAsia="Arial" w:hAnsi="Arial"/>
          <w:sz w:val="18"/>
          <w:szCs w:val="18"/>
          <w:color w:val="auto"/>
        </w:rPr>
        <w:t>. Results from the study will inform the next steps forward for this important program.</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8"/>
          <w:szCs w:val="18"/>
          <w:color w:val="auto"/>
        </w:rPr>
        <w:t>As at September 30, 2022, the Company has spent approximately $492 on its technology programs since the beginning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5519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54" w:lineRule="exact"/>
        <w:rPr>
          <w:sz w:val="20"/>
          <w:szCs w:val="20"/>
          <w:color w:val="auto"/>
        </w:rPr>
      </w:pPr>
    </w:p>
    <w:p>
      <w:pPr>
        <w:ind w:left="182" w:hanging="182"/>
        <w:spacing w:after="0"/>
        <w:tabs>
          <w:tab w:leader="none" w:pos="182"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See footnote 11.</w:t>
      </w:r>
    </w:p>
    <w:p>
      <w:pPr>
        <w:spacing w:after="0" w:line="57" w:lineRule="exact"/>
        <w:rPr>
          <w:rFonts w:ascii="Arial" w:cs="Arial" w:eastAsia="Arial" w:hAnsi="Arial"/>
          <w:sz w:val="24"/>
          <w:szCs w:val="24"/>
          <w:color w:val="auto"/>
          <w:vertAlign w:val="superscript"/>
        </w:rPr>
      </w:pPr>
    </w:p>
    <w:p>
      <w:pPr>
        <w:ind w:left="182" w:hanging="182"/>
        <w:spacing w:after="0" w:line="182" w:lineRule="auto"/>
        <w:tabs>
          <w:tab w:leader="none" w:pos="182" w:val="left"/>
        </w:tabs>
        <w:numPr>
          <w:ilvl w:val="0"/>
          <w:numId w:val="40"/>
        </w:numPr>
        <w:rPr>
          <w:rFonts w:ascii="Arial" w:cs="Arial" w:eastAsia="Arial" w:hAnsi="Arial"/>
          <w:sz w:val="20"/>
          <w:szCs w:val="20"/>
          <w:color w:val="auto"/>
          <w:vertAlign w:val="superscript"/>
        </w:rPr>
      </w:pPr>
      <w:r>
        <w:rPr>
          <w:rFonts w:ascii="Arial" w:cs="Arial" w:eastAsia="Arial" w:hAnsi="Arial"/>
          <w:sz w:val="12"/>
          <w:szCs w:val="12"/>
          <w:color w:val="auto"/>
        </w:rPr>
        <w:t>See footnote 13.</w:t>
      </w:r>
    </w:p>
    <w:p>
      <w:pPr>
        <w:spacing w:after="0" w:line="8" w:lineRule="exact"/>
        <w:rPr>
          <w:rFonts w:ascii="Arial" w:cs="Arial" w:eastAsia="Arial" w:hAnsi="Arial"/>
          <w:sz w:val="20"/>
          <w:szCs w:val="20"/>
          <w:color w:val="auto"/>
          <w:vertAlign w:val="superscript"/>
        </w:rPr>
      </w:pPr>
    </w:p>
    <w:p>
      <w:pPr>
        <w:jc w:val="both"/>
        <w:ind w:left="2" w:hanging="2"/>
        <w:spacing w:after="0" w:line="246" w:lineRule="auto"/>
        <w:tabs>
          <w:tab w:leader="none" w:pos="135"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Preliminary data from the piloting suggested that ketamine-induced changes in functional connectivity persisted for several days after administration. Kernel Flow successfully measured the neuro-effect of ketamine over 11 days (baseline at Days 1-5, dosing at Day 6, follow-up at Days 7-11), and confirmed changes in functional connectivity that are consistent with current scientific research (</w:t>
      </w:r>
      <w:r>
        <w:rPr>
          <w:rFonts w:ascii="Arial" w:cs="Arial" w:eastAsia="Arial" w:hAnsi="Arial"/>
          <w:sz w:val="14"/>
          <w:szCs w:val="14"/>
          <w:i w:val="1"/>
          <w:iCs w:val="1"/>
          <w:color w:val="auto"/>
        </w:rPr>
        <w:t>Scheidegger et al 2012; Zacharias et al 2019; Li et al 2022</w:t>
      </w:r>
      <w:r>
        <w:rPr>
          <w:rFonts w:ascii="Arial" w:cs="Arial" w:eastAsia="Arial" w:hAnsi="Arial"/>
          <w:sz w:val="14"/>
          <w:szCs w:val="14"/>
          <w:color w:val="auto"/>
        </w:rPr>
        <w:t>). The piloting was conducted to ensure the efficiency of the feasibility study design. Participants in the pilot received either a low dose of ketamine and/or a placebo while wearing the Flow headset.</w:t>
      </w:r>
    </w:p>
    <w:p>
      <w:pPr>
        <w:spacing w:after="0" w:line="1" w:lineRule="exact"/>
        <w:rPr>
          <w:rFonts w:ascii="Arial" w:cs="Arial" w:eastAsia="Arial" w:hAnsi="Arial"/>
          <w:sz w:val="18"/>
          <w:szCs w:val="18"/>
          <w:color w:val="auto"/>
          <w:vertAlign w:val="superscript"/>
        </w:rPr>
      </w:pPr>
    </w:p>
    <w:p>
      <w:pPr>
        <w:jc w:val="both"/>
        <w:ind w:left="2" w:hanging="2"/>
        <w:spacing w:after="0" w:line="239" w:lineRule="auto"/>
        <w:tabs>
          <w:tab w:leader="none" w:pos="166" w:val="left"/>
        </w:tabs>
        <w:numPr>
          <w:ilvl w:val="0"/>
          <w:numId w:val="40"/>
        </w:numPr>
        <w:rPr>
          <w:rFonts w:ascii="Arial" w:cs="Arial" w:eastAsia="Arial" w:hAnsi="Arial"/>
          <w:sz w:val="22"/>
          <w:szCs w:val="22"/>
          <w:color w:val="auto"/>
          <w:vertAlign w:val="superscript"/>
        </w:rPr>
      </w:pPr>
      <w:r>
        <w:rPr>
          <w:rFonts w:ascii="Arial" w:cs="Arial" w:eastAsia="Arial" w:hAnsi="Arial"/>
          <w:sz w:val="13"/>
          <w:szCs w:val="13"/>
          <w:color w:val="auto"/>
        </w:rPr>
        <w:t>There is no assurance that the aforementioned timelines will be met.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2"/>
          </w:cols>
          <w:pgMar w:left="318" w:top="709" w:right="339" w:bottom="1440" w:gutter="0" w:footer="0" w:header="0"/>
        </w:sectPr>
      </w:pPr>
    </w:p>
    <w:bookmarkStart w:id="39" w:name="page40"/>
    <w:bookmarkEnd w:id="39"/>
    <w:p>
      <w:pPr>
        <w:ind w:left="2"/>
        <w:spacing w:after="0"/>
        <w:rPr>
          <w:sz w:val="20"/>
          <w:szCs w:val="20"/>
          <w:color w:val="auto"/>
        </w:rPr>
      </w:pPr>
      <w:r>
        <w:rPr>
          <w:rFonts w:ascii="Arial" w:cs="Arial" w:eastAsia="Arial" w:hAnsi="Arial"/>
          <w:sz w:val="18"/>
          <w:szCs w:val="18"/>
          <w:b w:val="1"/>
          <w:bCs w:val="1"/>
          <w:u w:val="single" w:color="auto"/>
          <w:color w:val="auto"/>
        </w:rPr>
        <w:t>Relationships with Third Parties</w:t>
      </w:r>
    </w:p>
    <w:p>
      <w:pPr>
        <w:spacing w:after="0" w:line="225" w:lineRule="exact"/>
        <w:rPr>
          <w:sz w:val="20"/>
          <w:szCs w:val="20"/>
          <w:color w:val="auto"/>
        </w:rPr>
      </w:pPr>
    </w:p>
    <w:p>
      <w:pPr>
        <w:jc w:val="both"/>
        <w:ind w:left="2" w:right="20"/>
        <w:spacing w:after="0" w:line="252" w:lineRule="auto"/>
        <w:rPr>
          <w:sz w:val="20"/>
          <w:szCs w:val="20"/>
          <w:color w:val="auto"/>
        </w:rPr>
      </w:pPr>
      <w:r>
        <w:rPr>
          <w:rFonts w:ascii="Arial" w:cs="Arial" w:eastAsia="Arial" w:hAnsi="Arial"/>
          <w:sz w:val="18"/>
          <w:szCs w:val="18"/>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University of Washington</w:t>
      </w:r>
    </w:p>
    <w:p>
      <w:pPr>
        <w:spacing w:after="0" w:line="17"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8"/>
          <w:szCs w:val="18"/>
          <w:color w:val="auto"/>
        </w:rPr>
        <w:t>As of the date of this MD&amp;A, the Company and the University of Washington are co-sponsoring a randomized, placebo-controlled clinical trial of psychedelic-assisted psychotherapy with psilocybin, utilizing the Company's EMBARK psychotherapy model, for frontline clinicians experiencing COVID-19 related distress.</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Greenbrook TMS</w:t>
      </w:r>
    </w:p>
    <w:p>
      <w:pPr>
        <w:spacing w:after="0" w:line="17" w:lineRule="exact"/>
        <w:rPr>
          <w:sz w:val="20"/>
          <w:szCs w:val="20"/>
          <w:color w:val="auto"/>
        </w:rPr>
      </w:pPr>
    </w:p>
    <w:p>
      <w:pPr>
        <w:jc w:val="both"/>
        <w:ind w:left="2" w:right="20"/>
        <w:spacing w:after="0" w:line="292" w:lineRule="auto"/>
        <w:rPr>
          <w:sz w:val="20"/>
          <w:szCs w:val="20"/>
          <w:color w:val="auto"/>
        </w:rPr>
      </w:pPr>
      <w:r>
        <w:rPr>
          <w:rFonts w:ascii="Arial" w:cs="Arial" w:eastAsia="Arial" w:hAnsi="Arial"/>
          <w:sz w:val="17"/>
          <w:szCs w:val="17"/>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Clinilabs Drug Development Corporation</w:t>
      </w:r>
    </w:p>
    <w:p>
      <w:pPr>
        <w:spacing w:after="0" w:line="23" w:lineRule="exact"/>
        <w:rPr>
          <w:sz w:val="20"/>
          <w:szCs w:val="20"/>
          <w:color w:val="auto"/>
        </w:rPr>
      </w:pPr>
    </w:p>
    <w:p>
      <w:pPr>
        <w:jc w:val="both"/>
        <w:ind w:left="2" w:right="20"/>
        <w:spacing w:after="0" w:line="255" w:lineRule="auto"/>
        <w:rPr>
          <w:sz w:val="20"/>
          <w:szCs w:val="20"/>
          <w:color w:val="auto"/>
        </w:rPr>
      </w:pPr>
      <w:r>
        <w:rPr>
          <w:rFonts w:ascii="Arial" w:cs="Arial" w:eastAsia="Arial" w:hAnsi="Arial"/>
          <w:sz w:val="18"/>
          <w:szCs w:val="18"/>
          <w:color w:val="auto"/>
        </w:rPr>
        <w:t>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psilocybin analog. CYB003 is the first psilocybin analog to be evaluated in Phase 1/2a development for the treatment of MDD.</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Entheon Biomedical Corp.</w:t>
      </w:r>
    </w:p>
    <w:p>
      <w:pPr>
        <w:spacing w:after="0" w:line="17" w:lineRule="exact"/>
        <w:rPr>
          <w:sz w:val="20"/>
          <w:szCs w:val="20"/>
          <w:color w:val="auto"/>
        </w:rPr>
      </w:pPr>
    </w:p>
    <w:p>
      <w:pPr>
        <w:jc w:val="both"/>
        <w:ind w:left="2" w:right="20"/>
        <w:spacing w:after="0" w:line="252" w:lineRule="auto"/>
        <w:rPr>
          <w:sz w:val="20"/>
          <w:szCs w:val="20"/>
          <w:color w:val="auto"/>
        </w:rPr>
      </w:pPr>
      <w:r>
        <w:rPr>
          <w:rFonts w:ascii="Arial" w:cs="Arial" w:eastAsia="Arial" w:hAnsi="Arial"/>
          <w:sz w:val="18"/>
          <w:szCs w:val="18"/>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Arial" w:cs="Arial" w:eastAsia="Arial" w:hAnsi="Arial"/>
          <w:sz w:val="18"/>
          <w:szCs w:val="18"/>
          <w:b w:val="1"/>
          <w:bCs w:val="1"/>
          <w:color w:val="auto"/>
        </w:rPr>
        <w:t>CHDR</w:t>
      </w:r>
      <w:r>
        <w:rPr>
          <w:rFonts w:ascii="Arial" w:cs="Arial" w:eastAsia="Arial" w:hAnsi="Arial"/>
          <w:sz w:val="18"/>
          <w:szCs w:val="18"/>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20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Mindset Pharma Inc.</w:t>
      </w:r>
    </w:p>
    <w:p>
      <w:pPr>
        <w:spacing w:after="0" w:line="23" w:lineRule="exact"/>
        <w:rPr>
          <w:sz w:val="20"/>
          <w:szCs w:val="20"/>
          <w:color w:val="auto"/>
        </w:rPr>
      </w:pPr>
    </w:p>
    <w:p>
      <w:pPr>
        <w:jc w:val="both"/>
        <w:ind w:left="2"/>
        <w:spacing w:after="0" w:line="250" w:lineRule="auto"/>
        <w:rPr>
          <w:sz w:val="20"/>
          <w:szCs w:val="20"/>
          <w:color w:val="auto"/>
        </w:rPr>
      </w:pPr>
      <w:r>
        <w:rPr>
          <w:rFonts w:ascii="Arial" w:cs="Arial" w:eastAsia="Arial" w:hAnsi="Arial"/>
          <w:sz w:val="18"/>
          <w:szCs w:val="18"/>
          <w:color w:val="auto"/>
        </w:rPr>
        <w:t>On September 27, 2022, the Company entered into an agreement, as amended, with Mindset Pharma Inc. (“</w:t>
      </w:r>
      <w:r>
        <w:rPr>
          <w:rFonts w:ascii="Arial" w:cs="Arial" w:eastAsia="Arial" w:hAnsi="Arial"/>
          <w:sz w:val="18"/>
          <w:szCs w:val="18"/>
          <w:b w:val="1"/>
          <w:bCs w:val="1"/>
          <w:color w:val="auto"/>
        </w:rPr>
        <w:t>Mindset</w:t>
      </w:r>
      <w:r>
        <w:rPr>
          <w:rFonts w:ascii="Arial" w:cs="Arial" w:eastAsia="Arial" w:hAnsi="Arial"/>
          <w:sz w:val="18"/>
          <w:szCs w:val="18"/>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Neo Exchange Inc. There is no assurance that the aforementioned milestones will be met.The agreement also contemplates a sales royalty of approximately 2% for all commercialized licensed products within the scope of the agreement, which is customary for drug licensing agreements of this nature.</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Other Third-Party Partners</w:t>
      </w:r>
    </w:p>
    <w:p>
      <w:pPr>
        <w:spacing w:after="0" w:line="23" w:lineRule="exact"/>
        <w:rPr>
          <w:sz w:val="20"/>
          <w:szCs w:val="20"/>
          <w:color w:val="auto"/>
        </w:rPr>
      </w:pPr>
    </w:p>
    <w:p>
      <w:pPr>
        <w:jc w:val="both"/>
        <w:ind w:left="2" w:right="20"/>
        <w:spacing w:after="0" w:line="239" w:lineRule="auto"/>
        <w:rPr>
          <w:sz w:val="20"/>
          <w:szCs w:val="20"/>
          <w:color w:val="auto"/>
        </w:rPr>
      </w:pPr>
      <w:r>
        <w:rPr>
          <w:rFonts w:ascii="Arial" w:cs="Arial" w:eastAsia="Arial" w:hAnsi="Arial"/>
          <w:sz w:val="18"/>
          <w:szCs w:val="18"/>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Arial" w:cs="Arial" w:eastAsia="Arial" w:hAnsi="Arial"/>
          <w:sz w:val="23"/>
          <w:szCs w:val="23"/>
          <w:color w:val="auto"/>
          <w:vertAlign w:val="superscript"/>
        </w:rPr>
        <w:t>24</w:t>
      </w:r>
      <w:r>
        <w:rPr>
          <w:rFonts w:ascii="Arial" w:cs="Arial" w:eastAsia="Arial" w:hAnsi="Arial"/>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11"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63" w:lineRule="exact"/>
        <w:rPr>
          <w:sz w:val="20"/>
          <w:szCs w:val="20"/>
          <w:color w:val="auto"/>
        </w:rPr>
      </w:pPr>
    </w:p>
    <w:p>
      <w:pPr>
        <w:jc w:val="both"/>
        <w:ind w:left="2" w:right="20"/>
        <w:spacing w:after="0" w:line="267" w:lineRule="auto"/>
        <w:rPr>
          <w:sz w:val="20"/>
          <w:szCs w:val="20"/>
          <w:color w:val="auto"/>
        </w:rPr>
      </w:pPr>
      <w:r>
        <w:rPr>
          <w:rFonts w:ascii="Arial" w:cs="Arial" w:eastAsia="Arial" w:hAnsi="Arial"/>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5519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61" w:lineRule="exact"/>
        <w:rPr>
          <w:sz w:val="20"/>
          <w:szCs w:val="20"/>
          <w:color w:val="auto"/>
        </w:rPr>
      </w:pPr>
    </w:p>
    <w:p>
      <w:pPr>
        <w:ind w:left="2" w:hanging="2"/>
        <w:spacing w:after="0" w:line="209" w:lineRule="auto"/>
        <w:tabs>
          <w:tab w:leader="none" w:pos="179"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35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2"/>
          </w:cols>
          <w:pgMar w:left="318" w:top="705" w:right="319" w:bottom="1440" w:gutter="0" w:footer="0" w:header="0"/>
        </w:sectPr>
      </w:pPr>
    </w:p>
    <w:bookmarkStart w:id="40" w:name="page41"/>
    <w:bookmarkEnd w:id="40"/>
    <w:p>
      <w:pPr>
        <w:jc w:val="both"/>
        <w:spacing w:after="0" w:line="258" w:lineRule="auto"/>
        <w:rPr>
          <w:sz w:val="20"/>
          <w:szCs w:val="20"/>
          <w:color w:val="auto"/>
        </w:rPr>
      </w:pPr>
      <w:r>
        <w:rPr>
          <w:rFonts w:ascii="Arial" w:cs="Arial" w:eastAsia="Arial" w:hAnsi="Arial"/>
          <w:sz w:val="18"/>
          <w:szCs w:val="18"/>
          <w:color w:val="auto"/>
        </w:rPr>
        <w:t>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Other than as described in the AIF and herein, to the knowledge of management, there are no other particular significant events or milestones that must occur for the Company’s initial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0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96"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Cybin has title to one granted US patent related to the Company’s investigational deuterated DMT compound CYB004. The patent covers composition of matter and protects the CYB004 drug substance, a putative new chemical entity.</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3"/>
                <w:szCs w:val="23"/>
                <w:color w:val="auto"/>
              </w:rPr>
            </w:pPr>
          </w:p>
        </w:tc>
        <w:tc>
          <w:tcPr>
            <w:tcW w:w="2040" w:type="dxa"/>
            <w:vAlign w:val="bottom"/>
            <w:tcBorders>
              <w:top w:val="single" w:sz="8" w:color="auto"/>
              <w:bottom w:val="single" w:sz="8" w:color="BFBFBF"/>
              <w:right w:val="single" w:sz="8" w:color="auto"/>
            </w:tcBorders>
            <w:shd w:val="clear" w:color="auto" w:fill="BFBFBF"/>
          </w:tcPr>
          <w:p>
            <w:pPr>
              <w:jc w:val="right"/>
              <w:ind w:right="419"/>
              <w:spacing w:after="0"/>
              <w:rPr>
                <w:sz w:val="20"/>
                <w:szCs w:val="20"/>
                <w:color w:val="auto"/>
              </w:rPr>
            </w:pPr>
            <w:r>
              <w:rPr>
                <w:rFonts w:ascii="Arial" w:cs="Arial" w:eastAsia="Arial" w:hAnsi="Arial"/>
                <w:sz w:val="16"/>
                <w:szCs w:val="16"/>
                <w:b w:val="1"/>
                <w:bCs w:val="1"/>
                <w:color w:val="auto"/>
              </w:rPr>
              <w:t>Patent Number</w:t>
            </w:r>
          </w:p>
        </w:tc>
        <w:tc>
          <w:tcPr>
            <w:tcW w:w="174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Arial" w:cs="Arial" w:eastAsia="Arial" w:hAnsi="Arial"/>
                <w:sz w:val="16"/>
                <w:szCs w:val="16"/>
                <w:b w:val="1"/>
                <w:bCs w:val="1"/>
                <w:color w:val="auto"/>
              </w:rPr>
              <w:t>Jurisdiction of Filing</w:t>
            </w:r>
          </w:p>
        </w:tc>
        <w:tc>
          <w:tcPr>
            <w:tcW w:w="7160" w:type="dxa"/>
            <w:vAlign w:val="bottom"/>
            <w:tcBorders>
              <w:top w:val="single" w:sz="8" w:color="auto"/>
              <w:bottom w:val="single" w:sz="8" w:color="BFBFBF"/>
              <w:right w:val="single" w:sz="8" w:color="auto"/>
            </w:tcBorders>
            <w:shd w:val="clear" w:color="auto" w:fill="BFBFBF"/>
          </w:tcPr>
          <w:p>
            <w:pPr>
              <w:ind w:left="3160"/>
              <w:spacing w:after="0"/>
              <w:rPr>
                <w:sz w:val="20"/>
                <w:szCs w:val="20"/>
                <w:color w:val="auto"/>
              </w:rPr>
            </w:pPr>
            <w:r>
              <w:rPr>
                <w:rFonts w:ascii="Arial" w:cs="Arial" w:eastAsia="Arial" w:hAnsi="Arial"/>
                <w:sz w:val="16"/>
                <w:szCs w:val="16"/>
                <w:b w:val="1"/>
                <w:bCs w:val="1"/>
                <w:color w:val="auto"/>
              </w:rPr>
              <w:t>Description</w:t>
            </w:r>
          </w:p>
        </w:tc>
      </w:tr>
      <w:tr>
        <w:trPr>
          <w:trHeight w:val="211"/>
        </w:trPr>
        <w:tc>
          <w:tcPr>
            <w:tcW w:w="320" w:type="dxa"/>
            <w:vAlign w:val="bottom"/>
            <w:tcBorders>
              <w:top w:val="single" w:sz="8" w:color="auto"/>
              <w:left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w w:val="89"/>
              </w:rPr>
              <w:t>1</w:t>
            </w:r>
          </w:p>
        </w:tc>
        <w:tc>
          <w:tcPr>
            <w:tcW w:w="2040" w:type="dxa"/>
            <w:vAlign w:val="bottom"/>
            <w:tcBorders>
              <w:top w:val="single" w:sz="8" w:color="auto"/>
              <w:right w:val="single" w:sz="8" w:color="auto"/>
            </w:tcBorders>
          </w:tcPr>
          <w:p>
            <w:pPr>
              <w:jc w:val="right"/>
              <w:ind w:right="1239"/>
              <w:spacing w:after="0"/>
              <w:rPr>
                <w:sz w:val="20"/>
                <w:szCs w:val="20"/>
                <w:color w:val="auto"/>
              </w:rPr>
            </w:pPr>
            <w:r>
              <w:rPr>
                <w:rFonts w:ascii="Arial" w:cs="Arial" w:eastAsia="Arial" w:hAnsi="Arial"/>
                <w:sz w:val="16"/>
                <w:szCs w:val="16"/>
                <w:color w:val="auto"/>
                <w:w w:val="87"/>
              </w:rPr>
              <w:t>11,242,318</w:t>
            </w:r>
          </w:p>
        </w:tc>
        <w:tc>
          <w:tcPr>
            <w:tcW w:w="17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7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Deuterated Tryptamine Derivatives And Methods Of Use</w:t>
            </w: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bl>
    <w:p>
      <w:pPr>
        <w:spacing w:after="0" w:line="2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addition, Cybin has title to ten provisional patent applications, two US non-provisional patent application, one national (non-US) patent application, and nine Patent Cooperation Treaty (“</w:t>
      </w:r>
      <w:r>
        <w:rPr>
          <w:rFonts w:ascii="Arial" w:cs="Arial" w:eastAsia="Arial" w:hAnsi="Arial"/>
          <w:sz w:val="18"/>
          <w:szCs w:val="18"/>
          <w:b w:val="1"/>
          <w:bCs w:val="1"/>
          <w:color w:val="auto"/>
        </w:rPr>
        <w:t>PCT</w:t>
      </w:r>
      <w:r>
        <w:rPr>
          <w:rFonts w:ascii="Arial" w:cs="Arial" w:eastAsia="Arial" w:hAnsi="Arial"/>
          <w:sz w:val="18"/>
          <w:szCs w:val="18"/>
          <w:color w:val="auto"/>
        </w:rPr>
        <w:t>”) applications, including claims directed to compositions of matter and methods of use in support of its research and development and preclinical and clinical trial programs.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3"/>
                <w:szCs w:val="23"/>
                <w:color w:val="auto"/>
              </w:rPr>
            </w:pPr>
          </w:p>
        </w:tc>
        <w:tc>
          <w:tcPr>
            <w:tcW w:w="204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6"/>
                <w:szCs w:val="16"/>
                <w:b w:val="1"/>
                <w:bCs w:val="1"/>
                <w:color w:val="auto"/>
                <w:w w:val="95"/>
              </w:rPr>
              <w:t>Patent Application Number</w:t>
            </w:r>
          </w:p>
        </w:tc>
        <w:tc>
          <w:tcPr>
            <w:tcW w:w="172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Arial" w:cs="Arial" w:eastAsia="Arial" w:hAnsi="Arial"/>
                <w:sz w:val="16"/>
                <w:szCs w:val="16"/>
                <w:b w:val="1"/>
                <w:bCs w:val="1"/>
                <w:color w:val="auto"/>
                <w:w w:val="99"/>
              </w:rPr>
              <w:t>Jurisdiction of Filing</w:t>
            </w:r>
          </w:p>
        </w:tc>
        <w:tc>
          <w:tcPr>
            <w:tcW w:w="2040" w:type="dxa"/>
            <w:vAlign w:val="bottom"/>
            <w:tcBorders>
              <w:top w:val="single" w:sz="8" w:color="auto"/>
              <w:bottom w:val="single" w:sz="8" w:color="BFBFBF"/>
              <w:right w:val="single" w:sz="8" w:color="auto"/>
            </w:tcBorders>
            <w:shd w:val="clear" w:color="auto" w:fill="BFBFBF"/>
          </w:tcPr>
          <w:p>
            <w:pPr>
              <w:ind w:left="800"/>
              <w:spacing w:after="0"/>
              <w:rPr>
                <w:sz w:val="20"/>
                <w:szCs w:val="20"/>
                <w:color w:val="auto"/>
              </w:rPr>
            </w:pPr>
            <w:r>
              <w:rPr>
                <w:rFonts w:ascii="Arial" w:cs="Arial" w:eastAsia="Arial" w:hAnsi="Arial"/>
                <w:sz w:val="16"/>
                <w:szCs w:val="16"/>
                <w:b w:val="1"/>
                <w:bCs w:val="1"/>
                <w:color w:val="auto"/>
              </w:rPr>
              <w:t>Status</w:t>
            </w:r>
          </w:p>
        </w:tc>
        <w:tc>
          <w:tcPr>
            <w:tcW w:w="4800" w:type="dxa"/>
            <w:vAlign w:val="bottom"/>
            <w:tcBorders>
              <w:top w:val="single" w:sz="8" w:color="auto"/>
              <w:bottom w:val="single" w:sz="8" w:color="BFBFBF"/>
            </w:tcBorders>
            <w:shd w:val="clear" w:color="auto" w:fill="BFBFBF"/>
          </w:tcPr>
          <w:p>
            <w:pPr>
              <w:ind w:left="2140"/>
              <w:spacing w:after="0"/>
              <w:rPr>
                <w:sz w:val="20"/>
                <w:szCs w:val="20"/>
                <w:color w:val="auto"/>
              </w:rPr>
            </w:pPr>
            <w:r>
              <w:rPr>
                <w:rFonts w:ascii="Arial" w:cs="Arial" w:eastAsia="Arial" w:hAnsi="Arial"/>
                <w:sz w:val="16"/>
                <w:szCs w:val="16"/>
                <w:b w:val="1"/>
                <w:bCs w:val="1"/>
                <w:color w:val="auto"/>
              </w:rPr>
              <w:t>Description</w:t>
            </w:r>
          </w:p>
        </w:tc>
        <w:tc>
          <w:tcPr>
            <w:tcW w:w="320" w:type="dxa"/>
            <w:vAlign w:val="bottom"/>
            <w:tcBorders>
              <w:top w:val="single" w:sz="8" w:color="auto"/>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w:t>
            </w:r>
          </w:p>
        </w:tc>
        <w:tc>
          <w:tcPr>
            <w:tcW w:w="20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PCT/IB2021/054340</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2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Tryptamine Derivative Compounds and Methods</w:t>
            </w:r>
          </w:p>
        </w:tc>
        <w:tc>
          <w:tcPr>
            <w:tcW w:w="3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w:t>
            </w: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PCT/EP2022/069109</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Ireland</w:t>
            </w:r>
          </w:p>
        </w:tc>
        <w:tc>
          <w:tcPr>
            <w:tcW w:w="20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Integrated Data Collection Devices for Use in Various Therapeutic</w:t>
            </w:r>
          </w:p>
        </w:tc>
        <w:tc>
          <w:tcPr>
            <w:tcW w:w="3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89"/>
              </w:rPr>
              <w:t>and</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4800" w:type="dxa"/>
            <w:vAlign w:val="bottom"/>
            <w:vMerge w:val="restart"/>
          </w:tcPr>
          <w:p>
            <w:pPr>
              <w:ind w:left="20"/>
              <w:spacing w:after="0"/>
              <w:rPr>
                <w:sz w:val="20"/>
                <w:szCs w:val="20"/>
                <w:color w:val="auto"/>
              </w:rPr>
            </w:pPr>
            <w:r>
              <w:rPr>
                <w:rFonts w:ascii="Arial" w:cs="Arial" w:eastAsia="Arial" w:hAnsi="Arial"/>
                <w:sz w:val="16"/>
                <w:szCs w:val="16"/>
                <w:color w:val="auto"/>
              </w:rPr>
              <w:t>Wellness Applications</w:t>
            </w: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20" w:type="dxa"/>
            <w:vAlign w:val="bottom"/>
            <w:tcBorders>
              <w:left w:val="single" w:sz="8" w:color="auto"/>
              <w:right w:val="single" w:sz="8" w:color="auto"/>
            </w:tcBorders>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4800" w:type="dxa"/>
            <w:vAlign w:val="bottom"/>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PCT/EP2021/072898</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Phenethylamine Derivatives,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PCT/EP2021/072896</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Therapeutic Phenethylamine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5</w:t>
            </w: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PCT/EP2021/077057</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Ireland</w:t>
            </w:r>
          </w:p>
        </w:tc>
        <w:tc>
          <w:tcPr>
            <w:tcW w:w="20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w w:val="99"/>
              </w:rPr>
              <w:t>Methods  For  Delivery  of  Psychedelic  Medications  By  Inhalation</w:t>
            </w:r>
          </w:p>
        </w:tc>
        <w:tc>
          <w:tcPr>
            <w:tcW w:w="3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89"/>
              </w:rPr>
              <w:t>and</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4800" w:type="dxa"/>
            <w:vAlign w:val="bottom"/>
            <w:vMerge w:val="restart"/>
          </w:tcPr>
          <w:p>
            <w:pPr>
              <w:ind w:left="20"/>
              <w:spacing w:after="0"/>
              <w:rPr>
                <w:sz w:val="20"/>
                <w:szCs w:val="20"/>
                <w:color w:val="auto"/>
              </w:rPr>
            </w:pPr>
            <w:r>
              <w:rPr>
                <w:rFonts w:ascii="Arial" w:cs="Arial" w:eastAsia="Arial" w:hAnsi="Arial"/>
                <w:sz w:val="16"/>
                <w:szCs w:val="16"/>
                <w:color w:val="auto"/>
              </w:rPr>
              <w:t>Systems For Performing the Methods</w:t>
            </w: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20" w:type="dxa"/>
            <w:vAlign w:val="bottom"/>
            <w:tcBorders>
              <w:left w:val="single" w:sz="8" w:color="auto"/>
              <w:right w:val="single" w:sz="8" w:color="auto"/>
            </w:tcBorders>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4800" w:type="dxa"/>
            <w:vAlign w:val="bottom"/>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17/564,707</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7</w:t>
            </w: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vMerge w:val="continue"/>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PCT/EP2022/056991</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Psilocybin Analogs, Salts,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63/268,019</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Therapeutic Phenethylamine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63/268,020</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Phenethylamine Derivatives,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PCT/EP2022/058574</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Combination Drug Therapies</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11</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63/268,022</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Therapeutic Phenethylamine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63/268,024</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Amphetamine Derivatives,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13</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63/299,599</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Tryptamine Compositions and Methods</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14</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63/362,238</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3"/>
              </w:rPr>
              <w:t>Methods For Delivery of Psychedelic Medications by Inhalation and Systems</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15</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63/362,258</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Combination Drug Therapies</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16</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PCT/EP2022/063269</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Formulations of Psilocybin</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17</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63/366,788</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Formulations of Psilocybin</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18</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63/402,650</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Tryptamine Compounds,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19</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PCT/EP2022/076073</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Formulations Of Psilocybin Analogs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17/974,007</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21</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63/420,265</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Phenethylamine Compounds, Compositions,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22</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793553</w:t>
            </w:r>
          </w:p>
        </w:tc>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New Zealand</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4800" w:type="dxa"/>
            <w:vAlign w:val="bottom"/>
          </w:tcPr>
          <w:p>
            <w:pPr>
              <w:ind w:left="20"/>
              <w:spacing w:after="0"/>
              <w:rPr>
                <w:sz w:val="20"/>
                <w:szCs w:val="20"/>
                <w:color w:val="auto"/>
              </w:rPr>
            </w:pPr>
            <w:r>
              <w:rPr>
                <w:rFonts w:ascii="Arial" w:cs="Arial" w:eastAsia="Arial" w:hAnsi="Arial"/>
                <w:sz w:val="16"/>
                <w:szCs w:val="16"/>
                <w:color w:val="auto"/>
              </w:rPr>
              <w:t>Deuterated Tryptamine Derivatives and Methods of Use</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drug delivery platforms for administration of</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320" w:top="929" w:right="319" w:bottom="1440" w:gutter="0" w:footer="0" w:header="0"/>
        </w:sectPr>
      </w:pPr>
    </w:p>
    <w:bookmarkStart w:id="42" w:name="page43"/>
    <w:bookmarkEnd w:id="42"/>
    <w:p>
      <w:pPr>
        <w:jc w:val="both"/>
        <w:ind w:right="20"/>
        <w:spacing w:after="0" w:line="281" w:lineRule="auto"/>
        <w:rPr>
          <w:sz w:val="20"/>
          <w:szCs w:val="20"/>
          <w:color w:val="auto"/>
        </w:rPr>
      </w:pPr>
      <w:r>
        <w:rPr>
          <w:rFonts w:ascii="Arial" w:cs="Arial" w:eastAsia="Arial" w:hAnsi="Arial"/>
          <w:sz w:val="18"/>
          <w:szCs w:val="18"/>
          <w:color w:val="auto"/>
        </w:rPr>
        <w:t>the psychedelic drugs with faster onset of action, higher bioavailability by way of bypassing liver metabolism, more controlled delivery for better patient experience, and optimized therapeutic outcomes.</w:t>
      </w:r>
    </w:p>
    <w:p>
      <w:pPr>
        <w:spacing w:after="0" w:line="13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Additionally, the Company has entered into multiple licensing agreements that provide Cybin with additional access to IP from over 15 more patents or patent applications,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Cybin has also filed applications for registration of twenty-five trademarks, including Changing Minds™, Cybin®, Embark™, It’s not magic. It’s mushrooms™, It’s not magic, its science™, Journey™, Mushroom &amp; Friends™, Psilotonin™, Psychedelics to Therapeutics®, MindClef™ and CYB™. The Company has registered the CYBIN trademark in the European Union (the "</w:t>
      </w:r>
      <w:r>
        <w:rPr>
          <w:rFonts w:ascii="Arial" w:cs="Arial" w:eastAsia="Arial" w:hAnsi="Arial"/>
          <w:sz w:val="18"/>
          <w:szCs w:val="18"/>
          <w:b w:val="1"/>
          <w:bCs w:val="1"/>
          <w:color w:val="auto"/>
        </w:rPr>
        <w:t>EU</w:t>
      </w:r>
      <w:r>
        <w:rPr>
          <w:rFonts w:ascii="Arial" w:cs="Arial" w:eastAsia="Arial" w:hAnsi="Arial"/>
          <w:sz w:val="18"/>
          <w:szCs w:val="18"/>
          <w:color w:val="auto"/>
        </w:rPr>
        <w:t>") (reg. 18495520), the UK (reg. UK00003656496), and the US (reg. 6,852,975) and the mark PSYCHEDELICS TO THERAPEUTICS in the UK (reg. UK00003717706).</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57"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On July 8, 2021, the Company announced its scaling up of its European operations though its recently formed wholly owned Ireland subsidiary, Cybin Ireland. In connection with the formation of Cybin Ireland, the Company transferred its intellectual property assets to this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Framework and Licensing Regimen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6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 xml:space="preserve">Certain psychoactive compounds, such as psilocybin, are considered controlled substances under Schedule III of the </w:t>
      </w:r>
      <w:r>
        <w:rPr>
          <w:rFonts w:ascii="Arial" w:cs="Arial" w:eastAsia="Arial" w:hAnsi="Arial"/>
          <w:sz w:val="18"/>
          <w:szCs w:val="18"/>
          <w:i w:val="1"/>
          <w:iCs w:val="1"/>
          <w:color w:val="auto"/>
        </w:rPr>
        <w:t>Controlled Drugs and Substances Act</w:t>
      </w:r>
      <w:r>
        <w:rPr>
          <w:rFonts w:ascii="Arial" w:cs="Arial" w:eastAsia="Arial" w:hAnsi="Arial"/>
          <w:sz w:val="18"/>
          <w:szCs w:val="18"/>
          <w:color w:val="auto"/>
        </w:rPr>
        <w:t xml:space="preserve"> (Canada) (the “</w:t>
      </w:r>
      <w:r>
        <w:rPr>
          <w:rFonts w:ascii="Arial" w:cs="Arial" w:eastAsia="Arial" w:hAnsi="Arial"/>
          <w:sz w:val="18"/>
          <w:szCs w:val="18"/>
          <w:b w:val="1"/>
          <w:bCs w:val="1"/>
          <w:color w:val="auto"/>
        </w:rPr>
        <w:t>CDSA</w:t>
      </w:r>
      <w:r>
        <w:rPr>
          <w:rFonts w:ascii="Arial" w:cs="Arial" w:eastAsia="Arial" w:hAnsi="Arial"/>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Arial" w:cs="Arial" w:eastAsia="Arial" w:hAnsi="Arial"/>
          <w:sz w:val="18"/>
          <w:szCs w:val="18"/>
          <w:b w:val="1"/>
          <w:bCs w:val="1"/>
          <w:color w:val="auto"/>
        </w:rPr>
        <w:t>Section 56 Exemption</w:t>
      </w:r>
      <w:r>
        <w:rPr>
          <w:rFonts w:ascii="Arial" w:cs="Arial" w:eastAsia="Arial" w:hAnsi="Arial"/>
          <w:sz w:val="18"/>
          <w:szCs w:val="18"/>
          <w:color w:val="auto"/>
        </w:rPr>
        <w:t>”) is required. This exemption allows the holder to possess and use the controlled substance without being subject to the restrictions set out in the CDSA. The Company has not applied for a Section 56 Exemption from Health Canada.</w:t>
      </w:r>
    </w:p>
    <w:p>
      <w:pPr>
        <w:spacing w:after="0" w:line="158"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w:t>
      </w:r>
      <w:r>
        <w:rPr>
          <w:rFonts w:ascii="Arial" w:cs="Arial" w:eastAsia="Arial" w:hAnsi="Arial"/>
          <w:sz w:val="17"/>
          <w:szCs w:val="17"/>
          <w:i w:val="1"/>
          <w:iCs w:val="1"/>
          <w:color w:val="auto"/>
        </w:rPr>
        <w:t>Controlled Drugs and Substances</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w:t>
      </w:r>
      <w:r>
        <w:rPr>
          <w:rFonts w:ascii="Arial" w:cs="Arial" w:eastAsia="Arial" w:hAnsi="Arial"/>
          <w:sz w:val="17"/>
          <w:szCs w:val="17"/>
          <w:i w:val="1"/>
          <w:iCs w:val="1"/>
          <w:color w:val="auto"/>
        </w:rPr>
        <w:t xml:space="preserve"> Food and Drugs Regulations</w:t>
      </w:r>
      <w:r>
        <w:rPr>
          <w:rFonts w:ascii="Arial" w:cs="Arial" w:eastAsia="Arial" w:hAnsi="Arial"/>
          <w:sz w:val="17"/>
          <w:szCs w:val="17"/>
          <w:color w:val="auto"/>
        </w:rPr>
        <w:t>) and subject to any restrictions placed on the licence by Health Canada, an entity with a Dealer’s Licence may produce,</w:t>
      </w:r>
      <w:r>
        <w:rPr>
          <w:rFonts w:ascii="Arial" w:cs="Arial" w:eastAsia="Arial" w:hAnsi="Arial"/>
          <w:sz w:val="17"/>
          <w:szCs w:val="17"/>
          <w:i w:val="1"/>
          <w:iCs w:val="1"/>
          <w:color w:val="auto"/>
        </w:rPr>
        <w:t xml:space="preserve"> </w:t>
      </w:r>
      <w:r>
        <w:rPr>
          <w:rFonts w:ascii="Arial" w:cs="Arial" w:eastAsia="Arial" w:hAnsi="Arial"/>
          <w:sz w:val="17"/>
          <w:szCs w:val="17"/>
          <w:color w:val="auto"/>
        </w:rPr>
        <w:t>assemble, sell, provide, transport, send, deliver, import or export a restricted drug (as listed in Part J in the Food and Drugs Regulations – which includes psilocybin and psilocin) (see s. J.01.009 (1) of the Food and Drug Regulations).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320" w:top="709" w:right="319" w:bottom="1440" w:gutter="0" w:footer="0" w:header="0"/>
        </w:sectPr>
      </w:pPr>
    </w:p>
    <w:bookmarkStart w:id="43" w:name="page44"/>
    <w:bookmarkEnd w:id="43"/>
    <w:p>
      <w:pPr>
        <w:ind w:left="2"/>
        <w:spacing w:after="0"/>
        <w:rPr>
          <w:sz w:val="20"/>
          <w:szCs w:val="20"/>
          <w:color w:val="auto"/>
        </w:rPr>
      </w:pPr>
      <w:r>
        <w:rPr>
          <w:rFonts w:ascii="Arial" w:cs="Arial" w:eastAsia="Arial" w:hAnsi="Arial"/>
          <w:sz w:val="16"/>
          <w:szCs w:val="16"/>
          <w:color w:val="auto"/>
        </w:rPr>
        <w:t>The Company intends to sponsor and work with licensed third parties to conduct any clinical trials and research and does not handle controlled substances.</w:t>
      </w:r>
    </w:p>
    <w:p>
      <w:pPr>
        <w:spacing w:after="0" w:line="46" w:lineRule="exact"/>
        <w:rPr>
          <w:sz w:val="20"/>
          <w:szCs w:val="20"/>
          <w:color w:val="auto"/>
        </w:rPr>
      </w:pPr>
    </w:p>
    <w:p>
      <w:pPr>
        <w:ind w:left="2"/>
        <w:spacing w:after="0"/>
        <w:rPr>
          <w:sz w:val="20"/>
          <w:szCs w:val="20"/>
          <w:color w:val="auto"/>
        </w:rPr>
      </w:pPr>
      <w:r>
        <w:rPr>
          <w:rFonts w:ascii="Arial" w:cs="Arial" w:eastAsia="Arial" w:hAnsi="Arial"/>
          <w:sz w:val="16"/>
          <w:szCs w:val="16"/>
          <w:color w:val="auto"/>
        </w:rPr>
        <w:t>If the Company were to conduct this work without the reliance on third parties, it would need to obtain additional licences and approvals described above.</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United States</w:t>
      </w:r>
    </w:p>
    <w:p>
      <w:pPr>
        <w:spacing w:after="0" w:line="208" w:lineRule="exact"/>
        <w:rPr>
          <w:sz w:val="20"/>
          <w:szCs w:val="20"/>
          <w:color w:val="auto"/>
        </w:rPr>
      </w:pPr>
    </w:p>
    <w:p>
      <w:pPr>
        <w:jc w:val="both"/>
        <w:ind w:left="2" w:right="20"/>
        <w:spacing w:after="0" w:line="277" w:lineRule="auto"/>
        <w:rPr>
          <w:sz w:val="20"/>
          <w:szCs w:val="20"/>
          <w:color w:val="auto"/>
        </w:rPr>
      </w:pPr>
      <w:r>
        <w:rPr>
          <w:rFonts w:ascii="Arial" w:cs="Arial" w:eastAsia="Arial" w:hAnsi="Arial"/>
          <w:sz w:val="16"/>
          <w:szCs w:val="16"/>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Arial" w:cs="Arial" w:eastAsia="Arial" w:hAnsi="Arial"/>
          <w:sz w:val="21"/>
          <w:szCs w:val="21"/>
          <w:color w:val="auto"/>
          <w:vertAlign w:val="superscript"/>
        </w:rPr>
        <w:t>25</w:t>
      </w:r>
      <w:r>
        <w:rPr>
          <w:rFonts w:ascii="Arial" w:cs="Arial" w:eastAsia="Arial" w:hAnsi="Arial"/>
          <w:sz w:val="16"/>
          <w:szCs w:val="16"/>
          <w:color w:val="auto"/>
        </w:rPr>
        <w:t>. Anticipated timelines related to regulatory filings are based on reasonable assumptions informed by current knowledge and information available to the Company.</w:t>
      </w:r>
    </w:p>
    <w:p>
      <w:pPr>
        <w:spacing w:after="0" w:line="173" w:lineRule="exact"/>
        <w:rPr>
          <w:sz w:val="20"/>
          <w:szCs w:val="20"/>
          <w:color w:val="auto"/>
        </w:rPr>
      </w:pPr>
    </w:p>
    <w:p>
      <w:pPr>
        <w:jc w:val="both"/>
        <w:ind w:left="2"/>
        <w:spacing w:after="0" w:line="289" w:lineRule="auto"/>
        <w:rPr>
          <w:sz w:val="20"/>
          <w:szCs w:val="20"/>
          <w:color w:val="auto"/>
        </w:rPr>
      </w:pPr>
      <w:r>
        <w:rPr>
          <w:rFonts w:ascii="Arial" w:cs="Arial" w:eastAsia="Arial" w:hAnsi="Arial"/>
          <w:sz w:val="16"/>
          <w:szCs w:val="16"/>
          <w:color w:val="auto"/>
        </w:rPr>
        <w:t>Psilocybin, psilocin, DMT, and 5-Methoxy-DMT are strictly controlled under the federal Controlled Substances Act, 21 U.S.C. §801, et. seq. (“</w:t>
      </w:r>
      <w:r>
        <w:rPr>
          <w:rFonts w:ascii="Arial" w:cs="Arial" w:eastAsia="Arial" w:hAnsi="Arial"/>
          <w:sz w:val="16"/>
          <w:szCs w:val="16"/>
          <w:b w:val="1"/>
          <w:bCs w:val="1"/>
          <w:color w:val="auto"/>
        </w:rPr>
        <w:t>CSA</w:t>
      </w:r>
      <w:r>
        <w:rPr>
          <w:rFonts w:ascii="Arial" w:cs="Arial" w:eastAsia="Arial" w:hAnsi="Arial"/>
          <w:sz w:val="16"/>
          <w:szCs w:val="16"/>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Europe (Netherlands)</w:t>
      </w:r>
    </w:p>
    <w:p>
      <w:pPr>
        <w:spacing w:after="0" w:line="229" w:lineRule="exact"/>
        <w:rPr>
          <w:sz w:val="20"/>
          <w:szCs w:val="20"/>
          <w:color w:val="auto"/>
        </w:rPr>
      </w:pPr>
    </w:p>
    <w:p>
      <w:pPr>
        <w:jc w:val="both"/>
        <w:ind w:left="2" w:right="20"/>
        <w:spacing w:after="0" w:line="284" w:lineRule="auto"/>
        <w:rPr>
          <w:sz w:val="20"/>
          <w:szCs w:val="20"/>
          <w:color w:val="auto"/>
        </w:rPr>
      </w:pPr>
      <w:r>
        <w:rPr>
          <w:rFonts w:ascii="Arial" w:cs="Arial" w:eastAsia="Arial" w:hAnsi="Arial"/>
          <w:sz w:val="16"/>
          <w:szCs w:val="16"/>
          <w:color w:val="auto"/>
        </w:rPr>
        <w:t>The International Narcotics Control Board (“</w:t>
      </w:r>
      <w:r>
        <w:rPr>
          <w:rFonts w:ascii="Arial" w:cs="Arial" w:eastAsia="Arial" w:hAnsi="Arial"/>
          <w:sz w:val="16"/>
          <w:szCs w:val="16"/>
          <w:b w:val="1"/>
          <w:bCs w:val="1"/>
          <w:color w:val="auto"/>
        </w:rPr>
        <w:t>INCB</w:t>
      </w:r>
      <w:r>
        <w:rPr>
          <w:rFonts w:ascii="Arial" w:cs="Arial" w:eastAsia="Arial" w:hAnsi="Arial"/>
          <w:sz w:val="16"/>
          <w:szCs w:val="16"/>
          <w:color w:val="auto"/>
        </w:rPr>
        <w:t>”), a United Nations (“</w:t>
      </w:r>
      <w:r>
        <w:rPr>
          <w:rFonts w:ascii="Arial" w:cs="Arial" w:eastAsia="Arial" w:hAnsi="Arial"/>
          <w:sz w:val="16"/>
          <w:szCs w:val="16"/>
          <w:b w:val="1"/>
          <w:bCs w:val="1"/>
          <w:color w:val="auto"/>
        </w:rPr>
        <w:t>UN</w:t>
      </w:r>
      <w:r>
        <w:rPr>
          <w:rFonts w:ascii="Arial" w:cs="Arial" w:eastAsia="Arial" w:hAnsi="Arial"/>
          <w:sz w:val="16"/>
          <w:szCs w:val="16"/>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jc w:val="both"/>
        <w:ind w:left="2" w:right="20"/>
        <w:spacing w:after="0" w:line="289" w:lineRule="auto"/>
        <w:rPr>
          <w:sz w:val="20"/>
          <w:szCs w:val="20"/>
          <w:color w:val="auto"/>
        </w:rPr>
      </w:pPr>
      <w:r>
        <w:rPr>
          <w:rFonts w:ascii="Arial" w:cs="Arial" w:eastAsia="Arial" w:hAnsi="Arial"/>
          <w:sz w:val="16"/>
          <w:szCs w:val="16"/>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64" w:lineRule="exact"/>
        <w:rPr>
          <w:sz w:val="20"/>
          <w:szCs w:val="20"/>
          <w:color w:val="auto"/>
        </w:rPr>
      </w:pPr>
    </w:p>
    <w:p>
      <w:pPr>
        <w:ind w:left="582" w:right="20" w:hanging="289"/>
        <w:spacing w:after="0" w:line="281" w:lineRule="auto"/>
        <w:tabs>
          <w:tab w:leader="none" w:pos="5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519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00" w:lineRule="exact"/>
        <w:rPr>
          <w:sz w:val="20"/>
          <w:szCs w:val="20"/>
          <w:color w:val="auto"/>
        </w:rPr>
      </w:pPr>
    </w:p>
    <w:p>
      <w:pPr>
        <w:jc w:val="both"/>
        <w:ind w:left="2" w:right="20" w:hanging="2"/>
        <w:spacing w:after="0" w:line="251" w:lineRule="auto"/>
        <w:tabs>
          <w:tab w:leader="none" w:pos="155"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spacing w:after="0" w:line="200" w:lineRule="exact"/>
        <w:rPr>
          <w:sz w:val="20"/>
          <w:szCs w:val="20"/>
          <w:color w:val="auto"/>
        </w:rPr>
      </w:pPr>
    </w:p>
    <w:p>
      <w:pPr>
        <w:spacing w:after="0" w:line="343"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2"/>
          </w:cols>
          <w:pgMar w:left="318" w:top="709" w:right="319" w:bottom="1440" w:gutter="0" w:footer="0" w:header="0"/>
        </w:sectPr>
      </w:pPr>
    </w:p>
    <w:bookmarkStart w:id="44" w:name="page45"/>
    <w:bookmarkEnd w:id="44"/>
    <w:p>
      <w:pPr>
        <w:ind w:left="580" w:hanging="28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that manufacture, trade, distribution and possession be under a special licence or prior authorization;</w:t>
      </w:r>
    </w:p>
    <w:p>
      <w:pPr>
        <w:spacing w:after="0" w:line="22" w:lineRule="exact"/>
        <w:rPr>
          <w:rFonts w:ascii="Arial" w:cs="Arial" w:eastAsia="Arial" w:hAnsi="Arial"/>
          <w:sz w:val="18"/>
          <w:szCs w:val="18"/>
          <w:color w:val="auto"/>
        </w:rPr>
      </w:pPr>
    </w:p>
    <w:p>
      <w:pPr>
        <w:ind w:left="580" w:hanging="28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close supervision of the activities and acts mentioned in paragraphs (a) and (b);</w:t>
      </w:r>
    </w:p>
    <w:p>
      <w:pPr>
        <w:spacing w:after="0" w:line="7" w:lineRule="exact"/>
        <w:rPr>
          <w:rFonts w:ascii="Arial" w:cs="Arial" w:eastAsia="Arial" w:hAnsi="Arial"/>
          <w:sz w:val="18"/>
          <w:szCs w:val="18"/>
          <w:color w:val="auto"/>
        </w:rPr>
      </w:pPr>
    </w:p>
    <w:p>
      <w:pPr>
        <w:ind w:left="580" w:hanging="28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 the amount supplied to a duly authorized person to the quantity required for his authorized purpose;</w:t>
      </w:r>
    </w:p>
    <w:p>
      <w:pPr>
        <w:spacing w:after="0" w:line="6" w:lineRule="exact"/>
        <w:rPr>
          <w:rFonts w:ascii="Arial" w:cs="Arial" w:eastAsia="Arial" w:hAnsi="Arial"/>
          <w:sz w:val="18"/>
          <w:szCs w:val="18"/>
          <w:color w:val="auto"/>
        </w:rPr>
      </w:pPr>
    </w:p>
    <w:p>
      <w:pPr>
        <w:ind w:left="580" w:right="20" w:hanging="289"/>
        <w:spacing w:after="0" w:line="251" w:lineRule="auto"/>
        <w:tabs>
          <w:tab w:leader="none" w:pos="5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1" w:lineRule="exact"/>
        <w:rPr>
          <w:rFonts w:ascii="Arial" w:cs="Arial" w:eastAsia="Arial" w:hAnsi="Arial"/>
          <w:sz w:val="18"/>
          <w:szCs w:val="18"/>
          <w:color w:val="auto"/>
        </w:rPr>
      </w:pPr>
    </w:p>
    <w:p>
      <w:pPr>
        <w:jc w:val="both"/>
        <w:ind w:left="580" w:right="20" w:hanging="289"/>
        <w:spacing w:after="0" w:line="251" w:lineRule="auto"/>
        <w:tabs>
          <w:tab w:leader="none" w:pos="5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2"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Arial" w:cs="Arial" w:eastAsia="Arial" w:hAnsi="Arial"/>
          <w:sz w:val="17"/>
          <w:szCs w:val="17"/>
          <w:b w:val="1"/>
          <w:bCs w:val="1"/>
          <w:color w:val="auto"/>
        </w:rPr>
        <w:t>Dutch Opium Act</w:t>
      </w:r>
      <w:r>
        <w:rPr>
          <w:rFonts w:ascii="Arial" w:cs="Arial" w:eastAsia="Arial" w:hAnsi="Arial"/>
          <w:sz w:val="17"/>
          <w:szCs w:val="17"/>
          <w:color w:val="auto"/>
        </w:rPr>
        <w:t>”) and as such, subject to express authorization being obtained, the production, trade and possession of DMT are prohibited.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Dutch Opium Act, two other Dutch Acts may be relevant when it comes to drugs: the Medicines Act and the Commodities Act.</w:t>
      </w:r>
    </w:p>
    <w:p>
      <w:pPr>
        <w:spacing w:after="0" w:line="24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Arial" w:cs="Arial" w:eastAsia="Arial" w:hAnsi="Arial"/>
          <w:sz w:val="17"/>
          <w:szCs w:val="17"/>
          <w:b w:val="1"/>
          <w:bCs w:val="1"/>
          <w:color w:val="auto"/>
        </w:rPr>
        <w:t>CCMO</w:t>
      </w:r>
      <w:r>
        <w:rPr>
          <w:rFonts w:ascii="Arial" w:cs="Arial" w:eastAsia="Arial" w:hAnsi="Arial"/>
          <w:sz w:val="17"/>
          <w:szCs w:val="17"/>
          <w:color w:val="auto"/>
        </w:rPr>
        <w:t>"), which is also known as the Competent Authority in The Netherlands. In Dutch, the CCMO is called the ‘</w:t>
      </w:r>
      <w:r>
        <w:rPr>
          <w:rFonts w:ascii="Arial" w:cs="Arial" w:eastAsia="Arial" w:hAnsi="Arial"/>
          <w:sz w:val="17"/>
          <w:szCs w:val="17"/>
          <w:i w:val="1"/>
          <w:iCs w:val="1"/>
          <w:color w:val="auto"/>
        </w:rPr>
        <w:t>Centrale Commissie Mensgebonden Onderzoek</w:t>
      </w:r>
      <w:r>
        <w:rPr>
          <w:rFonts w:ascii="Arial" w:cs="Arial" w:eastAsia="Arial" w:hAnsi="Arial"/>
          <w:sz w:val="17"/>
          <w:szCs w:val="17"/>
          <w:color w:val="auto"/>
        </w:rPr>
        <w:t>’. In cases where the study involves a substance subject to the Dutch Opium Act (such as DMT), an official exemption by Farmatec is needed, which needs to be included in the CTA.</w:t>
      </w:r>
    </w:p>
    <w:p>
      <w:pPr>
        <w:spacing w:after="0" w:line="18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6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main UK controlled drugs legislation is the Misuse of Drugs Act 1971 (the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(the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6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320" w:top="709" w:right="319" w:bottom="1440" w:gutter="0" w:footer="0" w:header="0"/>
        </w:sectPr>
      </w:pPr>
    </w:p>
    <w:bookmarkStart w:id="45" w:name="page46"/>
    <w:bookmarkEnd w:id="45"/>
    <w:p>
      <w:pPr>
        <w:jc w:val="both"/>
        <w:ind w:left="2" w:right="100"/>
        <w:spacing w:after="0" w:line="278" w:lineRule="auto"/>
        <w:rPr>
          <w:sz w:val="20"/>
          <w:szCs w:val="20"/>
          <w:color w:val="auto"/>
        </w:rPr>
      </w:pPr>
      <w:r>
        <w:rPr>
          <w:rFonts w:ascii="Arial" w:cs="Arial" w:eastAsia="Arial" w:hAnsi="Arial"/>
          <w:sz w:val="17"/>
          <w:szCs w:val="17"/>
          <w:color w:val="auto"/>
        </w:rPr>
        <w:t>The Company previously mentioned that it intended to file a clinical trial application with the U.K. Medicines and Healthcare products Regulatory Agency (the “</w:t>
      </w:r>
      <w:r>
        <w:rPr>
          <w:rFonts w:ascii="Arial" w:cs="Arial" w:eastAsia="Arial" w:hAnsi="Arial"/>
          <w:sz w:val="17"/>
          <w:szCs w:val="17"/>
          <w:b w:val="1"/>
          <w:bCs w:val="1"/>
          <w:color w:val="auto"/>
        </w:rPr>
        <w:t>MHRA</w:t>
      </w:r>
      <w:r>
        <w:rPr>
          <w:rFonts w:ascii="Arial" w:cs="Arial" w:eastAsia="Arial" w:hAnsi="Arial"/>
          <w:sz w:val="17"/>
          <w:szCs w:val="17"/>
          <w:color w:val="auto"/>
        </w:rPr>
        <w:t>”)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Licensing Requirements</w:t>
      </w:r>
    </w:p>
    <w:p>
      <w:pPr>
        <w:spacing w:after="0" w:line="196" w:lineRule="exact"/>
        <w:rPr>
          <w:sz w:val="20"/>
          <w:szCs w:val="20"/>
          <w:color w:val="auto"/>
        </w:rPr>
      </w:pPr>
    </w:p>
    <w:p>
      <w:pPr>
        <w:jc w:val="both"/>
        <w:ind w:left="2" w:right="100"/>
        <w:spacing w:after="0" w:line="297" w:lineRule="auto"/>
        <w:rPr>
          <w:sz w:val="20"/>
          <w:szCs w:val="20"/>
          <w:color w:val="auto"/>
        </w:rPr>
      </w:pPr>
      <w:r>
        <w:rPr>
          <w:rFonts w:ascii="Arial" w:cs="Arial" w:eastAsia="Arial" w:hAnsi="Arial"/>
          <w:sz w:val="16"/>
          <w:szCs w:val="16"/>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Arial" w:cs="Arial" w:eastAsia="Arial" w:hAnsi="Arial"/>
          <w:sz w:val="21"/>
          <w:szCs w:val="21"/>
          <w:color w:val="auto"/>
          <w:vertAlign w:val="superscript"/>
        </w:rPr>
        <w:t>26</w:t>
      </w:r>
      <w:r>
        <w:rPr>
          <w:rFonts w:ascii="Arial" w:cs="Arial" w:eastAsia="Arial" w:hAnsi="Arial"/>
          <w:sz w:val="16"/>
          <w:szCs w:val="16"/>
          <w:color w:val="auto"/>
        </w:rPr>
        <w:t>.</w:t>
      </w:r>
    </w:p>
    <w:p>
      <w:pPr>
        <w:spacing w:after="0" w:line="81" w:lineRule="exact"/>
        <w:rPr>
          <w:sz w:val="20"/>
          <w:szCs w:val="20"/>
          <w:color w:val="auto"/>
        </w:rPr>
      </w:pPr>
    </w:p>
    <w:p>
      <w:pPr>
        <w:jc w:val="both"/>
        <w:ind w:left="2" w:right="80"/>
        <w:spacing w:after="0" w:line="292" w:lineRule="auto"/>
        <w:rPr>
          <w:sz w:val="20"/>
          <w:szCs w:val="20"/>
          <w:color w:val="auto"/>
        </w:rPr>
      </w:pPr>
      <w:r>
        <w:rPr>
          <w:rFonts w:ascii="Arial" w:cs="Arial" w:eastAsia="Arial" w:hAnsi="Arial"/>
          <w:sz w:val="16"/>
          <w:szCs w:val="16"/>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47" w:lineRule="exact"/>
        <w:rPr>
          <w:sz w:val="20"/>
          <w:szCs w:val="20"/>
          <w:color w:val="auto"/>
        </w:rPr>
      </w:pPr>
    </w:p>
    <w:p>
      <w:pPr>
        <w:jc w:val="both"/>
        <w:ind w:left="2" w:right="100"/>
        <w:spacing w:after="0" w:line="276" w:lineRule="auto"/>
        <w:rPr>
          <w:sz w:val="20"/>
          <w:szCs w:val="20"/>
          <w:color w:val="auto"/>
        </w:rPr>
      </w:pPr>
      <w:r>
        <w:rPr>
          <w:rFonts w:ascii="Arial" w:cs="Arial" w:eastAsia="Arial" w:hAnsi="Arial"/>
          <w:sz w:val="18"/>
          <w:szCs w:val="18"/>
          <w:color w:val="auto"/>
        </w:rPr>
        <w:t>All premises that are licensed in connection with the possession, supply, manufacture and/or production of controlled drugs are required to adhere to detailed security standards.</w:t>
      </w:r>
      <w:r>
        <w:rPr>
          <w:rFonts w:ascii="Arial" w:cs="Arial" w:eastAsia="Arial" w:hAnsi="Arial"/>
          <w:sz w:val="23"/>
          <w:szCs w:val="23"/>
          <w:color w:val="auto"/>
          <w:vertAlign w:val="superscript"/>
        </w:rPr>
        <w:t>27</w:t>
      </w:r>
    </w:p>
    <w:p>
      <w:pPr>
        <w:spacing w:after="0" w:line="81" w:lineRule="exact"/>
        <w:rPr>
          <w:sz w:val="20"/>
          <w:szCs w:val="20"/>
          <w:color w:val="auto"/>
        </w:rPr>
      </w:pPr>
    </w:p>
    <w:p>
      <w:pPr>
        <w:jc w:val="both"/>
        <w:ind w:left="2" w:right="100"/>
        <w:spacing w:after="0" w:line="275" w:lineRule="auto"/>
        <w:rPr>
          <w:sz w:val="20"/>
          <w:szCs w:val="20"/>
          <w:color w:val="auto"/>
        </w:rPr>
      </w:pPr>
      <w:r>
        <w:rPr>
          <w:rFonts w:ascii="Arial" w:cs="Arial" w:eastAsia="Arial" w:hAnsi="Arial"/>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Arial" w:cs="Arial" w:eastAsia="Arial" w:hAnsi="Arial"/>
          <w:sz w:val="22"/>
          <w:szCs w:val="22"/>
          <w:color w:val="auto"/>
          <w:vertAlign w:val="superscript"/>
        </w:rPr>
        <w:t>28</w:t>
      </w:r>
    </w:p>
    <w:p>
      <w:pPr>
        <w:spacing w:after="0" w:line="85"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Pharmaceutical Products</w:t>
      </w:r>
    </w:p>
    <w:p>
      <w:pPr>
        <w:spacing w:after="0" w:line="196" w:lineRule="exact"/>
        <w:rPr>
          <w:sz w:val="20"/>
          <w:szCs w:val="20"/>
          <w:color w:val="auto"/>
        </w:rPr>
      </w:pPr>
    </w:p>
    <w:p>
      <w:pPr>
        <w:jc w:val="both"/>
        <w:ind w:left="2" w:right="100"/>
        <w:spacing w:after="0" w:line="261" w:lineRule="auto"/>
        <w:rPr>
          <w:sz w:val="20"/>
          <w:szCs w:val="20"/>
          <w:color w:val="auto"/>
        </w:rPr>
      </w:pPr>
      <w:r>
        <w:rPr>
          <w:rFonts w:ascii="Arial" w:cs="Arial" w:eastAsia="Arial" w:hAnsi="Arial"/>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68" w:lineRule="exact"/>
        <w:rPr>
          <w:sz w:val="20"/>
          <w:szCs w:val="20"/>
          <w:color w:val="auto"/>
        </w:rPr>
      </w:pPr>
    </w:p>
    <w:p>
      <w:pPr>
        <w:jc w:val="both"/>
        <w:ind w:left="2" w:right="100"/>
        <w:spacing w:after="0" w:line="261" w:lineRule="auto"/>
        <w:rPr>
          <w:sz w:val="20"/>
          <w:szCs w:val="20"/>
          <w:color w:val="auto"/>
        </w:rPr>
      </w:pPr>
      <w:r>
        <w:rPr>
          <w:rFonts w:ascii="Arial" w:cs="Arial" w:eastAsia="Arial" w:hAnsi="Arial"/>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68" w:lineRule="exact"/>
        <w:rPr>
          <w:sz w:val="20"/>
          <w:szCs w:val="20"/>
          <w:color w:val="auto"/>
        </w:rPr>
      </w:pPr>
    </w:p>
    <w:p>
      <w:pPr>
        <w:jc w:val="both"/>
        <w:ind w:left="2" w:right="100"/>
        <w:spacing w:after="0" w:line="261" w:lineRule="auto"/>
        <w:rPr>
          <w:sz w:val="20"/>
          <w:szCs w:val="20"/>
          <w:color w:val="auto"/>
        </w:rPr>
      </w:pPr>
      <w:r>
        <w:rPr>
          <w:rFonts w:ascii="Arial" w:cs="Arial" w:eastAsia="Arial" w:hAnsi="Arial"/>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5519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303" w:lineRule="exact"/>
        <w:rPr>
          <w:sz w:val="20"/>
          <w:szCs w:val="20"/>
          <w:color w:val="auto"/>
        </w:rPr>
      </w:pPr>
    </w:p>
    <w:p>
      <w:pPr>
        <w:jc w:val="both"/>
        <w:ind w:left="2" w:right="100" w:hanging="2"/>
        <w:spacing w:after="0" w:line="230" w:lineRule="auto"/>
        <w:tabs>
          <w:tab w:leader="none" w:pos="146"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ind w:left="2" w:hanging="2"/>
        <w:spacing w:after="0" w:line="281" w:lineRule="auto"/>
        <w:tabs>
          <w:tab w:leader="none" w:pos="123" w:val="left"/>
        </w:tabs>
        <w:numPr>
          <w:ilvl w:val="0"/>
          <w:numId w:val="45"/>
        </w:numPr>
        <w:rPr>
          <w:rFonts w:ascii="Arial" w:cs="Arial" w:eastAsia="Arial" w:hAnsi="Arial"/>
          <w:sz w:val="7"/>
          <w:szCs w:val="7"/>
          <w:color w:val="auto"/>
        </w:rPr>
      </w:pPr>
      <w:r>
        <w:rPr>
          <w:rFonts w:ascii="Arial" w:cs="Arial" w:eastAsia="Arial" w:hAnsi="Arial"/>
          <w:sz w:val="13"/>
          <w:szCs w:val="13"/>
          <w:color w:val="auto"/>
        </w:rPr>
        <w:t>Home Office guidance; Security guidance for all existing or prospective Home Office Controlled Drug Licensees and/or Precursor Chemical Licensees or Registrants; 2020</w:t>
      </w:r>
      <w:r>
        <w:rPr>
          <w:rFonts w:ascii="Arial" w:cs="Arial" w:eastAsia="Arial" w:hAnsi="Arial"/>
          <w:sz w:val="13"/>
          <w:szCs w:val="13"/>
          <w:u w:val="single" w:color="auto"/>
          <w:color w:val="3051F2"/>
        </w:rPr>
        <w:t>;</w:t>
      </w:r>
      <w:r>
        <w:rPr>
          <w:rFonts w:ascii="Arial" w:cs="Arial" w:eastAsia="Arial" w:hAnsi="Arial"/>
          <w:sz w:val="13"/>
          <w:szCs w:val="13"/>
          <w:color w:val="auto"/>
        </w:rPr>
        <w:t xml:space="preserve"> </w:t>
      </w:r>
      <w:r>
        <w:rPr>
          <w:rFonts w:ascii="Arial" w:cs="Arial" w:eastAsia="Arial" w:hAnsi="Arial"/>
          <w:sz w:val="13"/>
          <w:szCs w:val="13"/>
          <w:u w:val="single" w:color="auto"/>
          <w:color w:val="3051F2"/>
        </w:rPr>
        <w:t>https://assets.publishing.service.gov.uk/government/uploads/system/uploads/attachment_data/file/857591/Security_Guidance_for_all_Businesses_and_Other_Organisations_v1.4_Jan_2020.pdf.</w:t>
      </w:r>
    </w:p>
    <w:p>
      <w:pPr>
        <w:ind w:left="122" w:hanging="122"/>
        <w:spacing w:after="0"/>
        <w:tabs>
          <w:tab w:leader="none" w:pos="122" w:val="left"/>
        </w:tabs>
        <w:numPr>
          <w:ilvl w:val="0"/>
          <w:numId w:val="45"/>
        </w:numPr>
        <w:rPr>
          <w:rFonts w:ascii="Arial" w:cs="Arial" w:eastAsia="Arial" w:hAnsi="Arial"/>
          <w:sz w:val="8"/>
          <w:szCs w:val="8"/>
          <w:color w:val="auto"/>
        </w:rPr>
      </w:pPr>
      <w:r>
        <w:rPr>
          <w:rFonts w:ascii="Arial" w:cs="Arial" w:eastAsia="Arial" w:hAnsi="Arial"/>
          <w:sz w:val="15"/>
          <w:szCs w:val="15"/>
          <w:color w:val="auto"/>
        </w:rPr>
        <w:t>Home Office guidance; Guidelines for Standard Operating Procedures (SOPs);</w:t>
      </w:r>
    </w:p>
    <w:p>
      <w:pPr>
        <w:spacing w:after="0" w:line="2" w:lineRule="exact"/>
        <w:rPr>
          <w:sz w:val="20"/>
          <w:szCs w:val="20"/>
          <w:color w:val="auto"/>
        </w:rPr>
      </w:pPr>
    </w:p>
    <w:p>
      <w:pPr>
        <w:ind w:left="2"/>
        <w:spacing w:after="0"/>
        <w:rPr>
          <w:sz w:val="20"/>
          <w:szCs w:val="20"/>
          <w:color w:val="auto"/>
        </w:rPr>
      </w:pPr>
      <w:r>
        <w:rPr>
          <w:rFonts w:ascii="Arial" w:cs="Arial" w:eastAsia="Arial" w:hAnsi="Arial"/>
          <w:sz w:val="15"/>
          <w:szCs w:val="15"/>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361"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2"/>
          </w:cols>
          <w:pgMar w:left="318" w:top="709" w:right="239" w:bottom="1440" w:gutter="0" w:footer="0" w:header="0"/>
        </w:sectPr>
      </w:pPr>
    </w:p>
    <w:bookmarkStart w:id="46" w:name="page47"/>
    <w:bookmarkEnd w:id="46"/>
    <w:p>
      <w:pPr>
        <w:jc w:val="both"/>
        <w:spacing w:after="0" w:line="261" w:lineRule="auto"/>
        <w:rPr>
          <w:sz w:val="20"/>
          <w:szCs w:val="20"/>
          <w:color w:val="auto"/>
        </w:rPr>
      </w:pPr>
      <w:r>
        <w:rPr>
          <w:rFonts w:ascii="Arial" w:cs="Arial" w:eastAsia="Arial" w:hAnsi="Arial"/>
          <w:sz w:val="18"/>
          <w:szCs w:val="18"/>
          <w:color w:val="auto"/>
        </w:rPr>
        <w:t>addition to a marketing authorization for the product itself, companies carrying out activities involving medicinal products, such as manufacturing, distribution and wholesaling, need to meet defined standards (Good Manufacturing Practices (“</w:t>
      </w:r>
      <w:r>
        <w:rPr>
          <w:rFonts w:ascii="Arial" w:cs="Arial" w:eastAsia="Arial" w:hAnsi="Arial"/>
          <w:sz w:val="18"/>
          <w:szCs w:val="18"/>
          <w:b w:val="1"/>
          <w:bCs w:val="1"/>
          <w:color w:val="auto"/>
        </w:rPr>
        <w:t>GMP</w:t>
      </w:r>
      <w:r>
        <w:rPr>
          <w:rFonts w:ascii="Arial" w:cs="Arial" w:eastAsia="Arial" w:hAnsi="Arial"/>
          <w:sz w:val="18"/>
          <w:szCs w:val="18"/>
          <w:color w:val="auto"/>
        </w:rPr>
        <w:t>”)) and/or Good Distribution Practice (“</w:t>
      </w:r>
      <w:r>
        <w:rPr>
          <w:rFonts w:ascii="Arial" w:cs="Arial" w:eastAsia="Arial" w:hAnsi="Arial"/>
          <w:sz w:val="18"/>
          <w:szCs w:val="18"/>
          <w:b w:val="1"/>
          <w:bCs w:val="1"/>
          <w:color w:val="auto"/>
        </w:rPr>
        <w:t>GDP</w:t>
      </w:r>
      <w:r>
        <w:rPr>
          <w:rFonts w:ascii="Arial" w:cs="Arial" w:eastAsia="Arial" w:hAnsi="Arial"/>
          <w:sz w:val="18"/>
          <w:szCs w:val="18"/>
          <w:color w:val="auto"/>
        </w:rPr>
        <w:t>”) and to hold a related licence from the MHRA.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How the API is subsequently processed will determine the licences that the UK-based facility must hold. In particular:</w:t>
      </w:r>
    </w:p>
    <w:p>
      <w:pPr>
        <w:spacing w:after="0" w:line="204" w:lineRule="exact"/>
        <w:rPr>
          <w:sz w:val="20"/>
          <w:szCs w:val="20"/>
          <w:color w:val="auto"/>
        </w:rPr>
      </w:pPr>
    </w:p>
    <w:p>
      <w:pPr>
        <w:jc w:val="both"/>
        <w:ind w:left="580" w:hanging="289"/>
        <w:spacing w:after="0" w:line="253" w:lineRule="auto"/>
        <w:tabs>
          <w:tab w:leader="none" w:pos="5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API is just one ‘ingredient’ of the investigational medicinal product (the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of the API, and comply with GMP and GDP for active substances; and</w:t>
      </w:r>
    </w:p>
    <w:p>
      <w:pPr>
        <w:jc w:val="both"/>
        <w:ind w:left="580" w:hanging="289"/>
        <w:spacing w:after="0" w:line="258" w:lineRule="auto"/>
        <w:tabs>
          <w:tab w:leader="none" w:pos="5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conversely, if the API will itself constitute the IMP, the manufacturer must hold a Manufacturer’s Authorizations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 EEA Member State or a third country (such as the United States or Canada).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Company cannot guarantee that the continued effects of COVID-19 will not impact patient recruiting for clinical trials and institutional processes at institutions involved in pharmaceutical product development.</w:t>
      </w:r>
    </w:p>
    <w:p>
      <w:pPr>
        <w:spacing w:after="0" w:line="12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Arial" w:cs="Arial" w:eastAsia="Arial" w:hAnsi="Arial"/>
          <w:sz w:val="16"/>
          <w:szCs w:val="16"/>
          <w:i w:val="1"/>
          <w:iCs w:val="1"/>
          <w:color w:val="auto"/>
        </w:rPr>
        <w:t>Psilocybe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P. azurescens</w:t>
      </w:r>
      <w:r>
        <w:rPr>
          <w:rFonts w:ascii="Arial" w:cs="Arial" w:eastAsia="Arial" w:hAnsi="Arial"/>
          <w:sz w:val="16"/>
          <w:szCs w:val="16"/>
          <w:color w:val="auto"/>
        </w:rPr>
        <w:t xml:space="preserve">, </w:t>
      </w:r>
      <w:r>
        <w:rPr>
          <w:rFonts w:ascii="Arial" w:cs="Arial" w:eastAsia="Arial" w:hAnsi="Arial"/>
          <w:sz w:val="16"/>
          <w:szCs w:val="16"/>
          <w:i w:val="1"/>
          <w:iCs w:val="1"/>
          <w:color w:val="auto"/>
        </w:rPr>
        <w:t>P. semilanceata</w:t>
      </w:r>
      <w:r>
        <w:rPr>
          <w:rFonts w:ascii="Arial" w:cs="Arial" w:eastAsia="Arial" w:hAnsi="Arial"/>
          <w:sz w:val="16"/>
          <w:szCs w:val="16"/>
          <w:color w:val="auto"/>
        </w:rPr>
        <w:t xml:space="preserve">, and </w:t>
      </w:r>
      <w:r>
        <w:rPr>
          <w:rFonts w:ascii="Arial" w:cs="Arial" w:eastAsia="Arial" w:hAnsi="Arial"/>
          <w:sz w:val="16"/>
          <w:szCs w:val="16"/>
          <w:i w:val="1"/>
          <w:iCs w:val="1"/>
          <w:color w:val="auto"/>
        </w:rPr>
        <w:t>P. cyanescens</w:t>
      </w:r>
      <w:r>
        <w:rPr>
          <w:rFonts w:ascii="Arial" w:cs="Arial" w:eastAsia="Arial" w:hAnsi="Arial"/>
          <w:sz w:val="16"/>
          <w:szCs w:val="16"/>
          <w:color w:val="auto"/>
        </w:rPr>
        <w:t>, but psilocybin has also been isolated from about a dozen other genera. As a prodrug, psilocybin is quickly converted by the body to psilocin, which has mind-altering effects.</w:t>
      </w:r>
    </w:p>
    <w:p>
      <w:pPr>
        <w:spacing w:after="0" w:line="13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Cybin has commenced research and development on the delivery of synthetic psilocybin and other psychedelics through mechanisms such as sublingual film delivery, ODT, IV, and by way of inhalation.</w:t>
      </w:r>
    </w:p>
    <w:p>
      <w:pPr>
        <w:spacing w:after="0" w:line="19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Research and development is led by the Company’s North American Chief Research and Development Officer, Dr. Michael G. Palfreyman. Dr. Palfreyman, who holds a PhD in Neuroscience and Neuropharmacology from the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0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University of Nottingham, United Kingdom, is an accomplished pharmaceutical industry veteran responsible for more than 30 successful clinical programs.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96" w:lineRule="exact"/>
        <w:rPr>
          <w:sz w:val="20"/>
          <w:szCs w:val="20"/>
          <w:color w:val="auto"/>
        </w:rPr>
      </w:pPr>
    </w:p>
    <w:p>
      <w:pPr>
        <w:ind w:left="580" w:hanging="289"/>
        <w:spacing w:after="0" w:line="281"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drug. If the results are promising, the manufacturer will proceed to the next step of development.</w:t>
      </w:r>
    </w:p>
    <w:p>
      <w:pPr>
        <w:spacing w:after="0" w:line="175" w:lineRule="exact"/>
        <w:rPr>
          <w:rFonts w:ascii="Arial" w:cs="Arial" w:eastAsia="Arial" w:hAnsi="Arial"/>
          <w:sz w:val="18"/>
          <w:szCs w:val="18"/>
          <w:color w:val="auto"/>
        </w:rPr>
      </w:pPr>
    </w:p>
    <w:p>
      <w:pPr>
        <w:ind w:left="580" w:hanging="289"/>
        <w:spacing w:after="0" w:line="267"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preclinical Development – </w:t>
      </w:r>
      <w:r>
        <w:rPr>
          <w:rFonts w:ascii="Arial" w:cs="Arial" w:eastAsia="Arial" w:hAnsi="Arial"/>
          <w:sz w:val="18"/>
          <w:szCs w:val="18"/>
          <w:color w:val="auto"/>
        </w:rPr>
        <w:t>Animals are given the drug in varying amounts over differing periods of time. If it can be shown that the drug causes no</w:t>
      </w:r>
      <w:r>
        <w:rPr>
          <w:rFonts w:ascii="Arial" w:cs="Arial" w:eastAsia="Arial" w:hAnsi="Arial"/>
          <w:sz w:val="18"/>
          <w:szCs w:val="18"/>
          <w:i w:val="1"/>
          <w:iCs w:val="1"/>
          <w:color w:val="auto"/>
        </w:rPr>
        <w:t xml:space="preserve"> </w:t>
      </w:r>
      <w:r>
        <w:rPr>
          <w:rFonts w:ascii="Arial" w:cs="Arial" w:eastAsia="Arial" w:hAnsi="Arial"/>
          <w:sz w:val="18"/>
          <w:szCs w:val="18"/>
          <w:color w:val="auto"/>
        </w:rPr>
        <w:t>serious or unexpected harm at the doses required to have an effect, the manufacturer will proceed to clinical trials.</w:t>
      </w:r>
    </w:p>
    <w:p>
      <w:pPr>
        <w:spacing w:after="0" w:line="186" w:lineRule="exact"/>
        <w:rPr>
          <w:rFonts w:ascii="Arial" w:cs="Arial" w:eastAsia="Arial" w:hAnsi="Arial"/>
          <w:sz w:val="18"/>
          <w:szCs w:val="18"/>
          <w:color w:val="auto"/>
        </w:rPr>
      </w:pPr>
    </w:p>
    <w:p>
      <w:pPr>
        <w:jc w:val="both"/>
        <w:ind w:left="580" w:hanging="289"/>
        <w:spacing w:after="0" w:line="273" w:lineRule="auto"/>
        <w:tabs>
          <w:tab w:leader="none" w:pos="569"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Clinical Trials – Phase 1 - </w:t>
      </w:r>
      <w:r>
        <w:rPr>
          <w:rFonts w:ascii="Arial" w:cs="Arial" w:eastAsia="Arial" w:hAnsi="Arial"/>
          <w:sz w:val="17"/>
          <w:szCs w:val="17"/>
          <w:color w:val="auto"/>
        </w:rPr>
        <w:t>The first administration in humans is to test if people can tolerate the drug. If this testing is to take place in Canada,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must prepare a clinical trial application for the Therapeutic Products Directorate of Health Canada (the “</w:t>
      </w:r>
      <w:r>
        <w:rPr>
          <w:rFonts w:ascii="Arial" w:cs="Arial" w:eastAsia="Arial" w:hAnsi="Arial"/>
          <w:sz w:val="17"/>
          <w:szCs w:val="17"/>
          <w:b w:val="1"/>
          <w:bCs w:val="1"/>
          <w:color w:val="auto"/>
        </w:rPr>
        <w:t>TPD</w:t>
      </w:r>
      <w:r>
        <w:rPr>
          <w:rFonts w:ascii="Arial" w:cs="Arial" w:eastAsia="Arial" w:hAnsi="Arial"/>
          <w:sz w:val="17"/>
          <w:szCs w:val="17"/>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7"/>
          <w:szCs w:val="17"/>
          <w:b w:val="1"/>
          <w:bCs w:val="1"/>
          <w:color w:val="auto"/>
        </w:rPr>
        <w:t>HPFB</w:t>
      </w:r>
      <w:r>
        <w:rPr>
          <w:rFonts w:ascii="Arial" w:cs="Arial" w:eastAsia="Arial" w:hAnsi="Arial"/>
          <w:sz w:val="17"/>
          <w:szCs w:val="17"/>
          <w:color w:val="auto"/>
        </w:rPr>
        <w:t>”) grants permission to start testing the drug, generally first on healthy volunteers.</w:t>
      </w:r>
    </w:p>
    <w:p>
      <w:pPr>
        <w:spacing w:after="0" w:line="185" w:lineRule="exact"/>
        <w:rPr>
          <w:rFonts w:ascii="Arial" w:cs="Arial" w:eastAsia="Arial" w:hAnsi="Arial"/>
          <w:sz w:val="17"/>
          <w:szCs w:val="17"/>
          <w:color w:val="auto"/>
        </w:rPr>
      </w:pPr>
    </w:p>
    <w:p>
      <w:pPr>
        <w:jc w:val="both"/>
        <w:ind w:left="580" w:hanging="289"/>
        <w:spacing w:after="0" w:line="261"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2 - Phase 2 </w:t>
      </w:r>
      <w:r>
        <w:rPr>
          <w:rFonts w:ascii="Arial" w:cs="Arial" w:eastAsia="Arial" w:hAnsi="Arial"/>
          <w:sz w:val="18"/>
          <w:szCs w:val="18"/>
          <w:color w:val="auto"/>
        </w:rPr>
        <w:t>trials are carried out on people with the target condition, who are usually otherwise healthy, with no other</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condition. Trials carried out in Canada must be approved by the TPD. In phase II, the objective of the trials is to continue to gather information on the safety of the drug and begin to determine its effectiveness.</w:t>
      </w:r>
    </w:p>
    <w:p>
      <w:pPr>
        <w:spacing w:after="0" w:line="192" w:lineRule="exact"/>
        <w:rPr>
          <w:rFonts w:ascii="Arial" w:cs="Arial" w:eastAsia="Arial" w:hAnsi="Arial"/>
          <w:sz w:val="18"/>
          <w:szCs w:val="18"/>
          <w:color w:val="auto"/>
        </w:rPr>
      </w:pPr>
    </w:p>
    <w:p>
      <w:pPr>
        <w:jc w:val="both"/>
        <w:ind w:left="580" w:hanging="289"/>
        <w:spacing w:after="0" w:line="259"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3 - </w:t>
      </w:r>
      <w:r>
        <w:rPr>
          <w:rFonts w:ascii="Arial" w:cs="Arial" w:eastAsia="Arial" w:hAnsi="Arial"/>
          <w:sz w:val="18"/>
          <w:szCs w:val="18"/>
          <w:color w:val="auto"/>
        </w:rPr>
        <w:t>If the results from phase II show promise, the manufacturer provides an updated clinical trial application to the TPD for</w:t>
      </w:r>
      <w:r>
        <w:rPr>
          <w:rFonts w:ascii="Arial" w:cs="Arial" w:eastAsia="Arial" w:hAnsi="Arial"/>
          <w:sz w:val="18"/>
          <w:szCs w:val="18"/>
          <w:i w:val="1"/>
          <w:iCs w:val="1"/>
          <w:color w:val="auto"/>
        </w:rPr>
        <w:t xml:space="preserve"> </w:t>
      </w:r>
      <w:r>
        <w:rPr>
          <w:rFonts w:ascii="Arial" w:cs="Arial" w:eastAsia="Arial" w:hAnsi="Arial"/>
          <w:sz w:val="18"/>
          <w:szCs w:val="18"/>
          <w:color w:val="auto"/>
        </w:rPr>
        <w:t>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177" w:lineRule="exact"/>
        <w:rPr>
          <w:rFonts w:ascii="Arial" w:cs="Arial" w:eastAsia="Arial" w:hAnsi="Arial"/>
          <w:sz w:val="18"/>
          <w:szCs w:val="18"/>
          <w:color w:val="auto"/>
        </w:rPr>
      </w:pPr>
    </w:p>
    <w:p>
      <w:pPr>
        <w:jc w:val="both"/>
        <w:ind w:left="580" w:hanging="289"/>
        <w:spacing w:after="0" w:line="259"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 (“</w:t>
      </w:r>
      <w:r>
        <w:rPr>
          <w:rFonts w:ascii="Arial" w:cs="Arial" w:eastAsia="Arial" w:hAnsi="Arial"/>
          <w:sz w:val="18"/>
          <w:szCs w:val="18"/>
          <w:b w:val="1"/>
          <w:bCs w:val="1"/>
          <w:color w:val="auto"/>
        </w:rPr>
        <w:t>NDS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3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7" w:lineRule="exact"/>
        <w:rPr>
          <w:sz w:val="20"/>
          <w:szCs w:val="20"/>
          <w:color w:val="auto"/>
        </w:rPr>
      </w:pPr>
    </w:p>
    <w:p>
      <w:pPr>
        <w:ind w:left="580" w:hanging="289"/>
        <w:spacing w:after="0" w:line="251" w:lineRule="auto"/>
        <w:tabs>
          <w:tab w:leader="none" w:pos="5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Clinical and/or Good Manufacturing Practice regulations;</w:t>
      </w:r>
    </w:p>
    <w:p>
      <w:pPr>
        <w:spacing w:after="0" w:line="1" w:lineRule="exact"/>
        <w:rPr>
          <w:rFonts w:ascii="Arial" w:cs="Arial" w:eastAsia="Arial" w:hAnsi="Arial"/>
          <w:sz w:val="18"/>
          <w:szCs w:val="18"/>
          <w:color w:val="auto"/>
        </w:rPr>
      </w:pPr>
    </w:p>
    <w:p>
      <w:pPr>
        <w:ind w:left="580" w:hanging="28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submission to the FDA of an IND, which the FDA must approve before human clinical trials may begin;</w:t>
      </w:r>
    </w:p>
    <w:p>
      <w:pPr>
        <w:spacing w:after="0" w:line="6" w:lineRule="exact"/>
        <w:rPr>
          <w:rFonts w:ascii="Arial" w:cs="Arial" w:eastAsia="Arial" w:hAnsi="Arial"/>
          <w:sz w:val="18"/>
          <w:szCs w:val="18"/>
          <w:color w:val="auto"/>
        </w:rPr>
      </w:pPr>
    </w:p>
    <w:p>
      <w:pPr>
        <w:ind w:left="580" w:hanging="289"/>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by an IRB or independent ethics committee at each clinical trial site before each trial may be initiated;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09" w:right="339" w:bottom="1440" w:gutter="0" w:footer="0" w:header="0"/>
        </w:sectPr>
      </w:pPr>
    </w:p>
    <w:bookmarkStart w:id="48" w:name="page49"/>
    <w:bookmarkEnd w:id="48"/>
    <w:p>
      <w:pPr>
        <w:ind w:left="580" w:right="20" w:hanging="289"/>
        <w:spacing w:after="0" w:line="272" w:lineRule="auto"/>
        <w:tabs>
          <w:tab w:leader="none" w:pos="569"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ind w:left="580" w:hanging="289"/>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jc w:val="both"/>
        <w:ind w:left="580" w:right="20" w:hanging="289"/>
        <w:spacing w:after="0" w:line="250" w:lineRule="auto"/>
        <w:tabs>
          <w:tab w:leader="none" w:pos="5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ind w:left="580" w:hanging="289"/>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211"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Company cannot be certain that any approvals for its prescription drug product candidates will be granted on a timely basis, if at all.</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320" w:top="709" w:right="319" w:bottom="1440" w:gutter="0" w:footer="0" w:header="0"/>
        </w:sectPr>
      </w:pPr>
    </w:p>
    <w:bookmarkStart w:id="49" w:name="page50"/>
    <w:bookmarkEnd w:id="49"/>
    <w:p>
      <w:pPr>
        <w:jc w:val="both"/>
        <w:spacing w:after="0" w:line="269" w:lineRule="auto"/>
        <w:rPr>
          <w:sz w:val="20"/>
          <w:szCs w:val="20"/>
          <w:color w:val="auto"/>
        </w:rPr>
      </w:pPr>
      <w:r>
        <w:rPr>
          <w:rFonts w:ascii="Arial" w:cs="Arial" w:eastAsia="Arial" w:hAnsi="Arial"/>
          <w:sz w:val="17"/>
          <w:szCs w:val="17"/>
          <w:color w:val="auto"/>
        </w:rPr>
        <w:t>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7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 xml:space="preserve">In the United States, pharmaceutical manufacturers are subject to complex laws and regulations pertaining to healthcare “fraud and abuse,” including, but not limited to, the Anti-Kickback Statute, the federal </w:t>
      </w:r>
      <w:r>
        <w:rPr>
          <w:rFonts w:ascii="Arial" w:cs="Arial" w:eastAsia="Arial" w:hAnsi="Arial"/>
          <w:sz w:val="18"/>
          <w:szCs w:val="18"/>
          <w:i w:val="1"/>
          <w:iCs w:val="1"/>
          <w:color w:val="auto"/>
        </w:rPr>
        <w:t>False Claims Act</w:t>
      </w:r>
      <w:r>
        <w:rPr>
          <w:rFonts w:ascii="Arial" w:cs="Arial" w:eastAsia="Arial" w:hAnsi="Arial"/>
          <w:sz w:val="17"/>
          <w:szCs w:val="17"/>
          <w:color w:val="auto"/>
        </w:rPr>
        <w:t xml:space="preserve"> (the “</w:t>
      </w:r>
      <w:r>
        <w:rPr>
          <w:rFonts w:ascii="Arial" w:cs="Arial" w:eastAsia="Arial" w:hAnsi="Arial"/>
          <w:sz w:val="18"/>
          <w:szCs w:val="18"/>
          <w:b w:val="1"/>
          <w:bCs w:val="1"/>
          <w:color w:val="auto"/>
        </w:rPr>
        <w:t>FCA</w:t>
      </w:r>
      <w:r>
        <w:rPr>
          <w:rFonts w:ascii="Arial" w:cs="Arial" w:eastAsia="Arial" w:hAnsi="Arial"/>
          <w:sz w:val="17"/>
          <w:szCs w:val="17"/>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w:t>
      </w:r>
    </w:p>
    <w:p>
      <w:pPr>
        <w:spacing w:after="0" w:line="3"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w:t>
      </w:r>
    </w:p>
    <w:p>
      <w:pPr>
        <w:jc w:val="both"/>
        <w:ind w:right="20"/>
        <w:spacing w:after="0" w:line="261" w:lineRule="auto"/>
        <w:rPr>
          <w:sz w:val="20"/>
          <w:szCs w:val="20"/>
          <w:color w:val="auto"/>
        </w:rPr>
      </w:pPr>
      <w:r>
        <w:rPr>
          <w:rFonts w:ascii="Arial" w:cs="Arial" w:eastAsia="Arial" w:hAnsi="Arial"/>
          <w:sz w:val="18"/>
          <w:szCs w:val="18"/>
          <w:color w:val="auto"/>
        </w:rPr>
        <w:t>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Substances</w:t>
      </w:r>
    </w:p>
    <w:p>
      <w:pPr>
        <w:spacing w:after="0" w:line="23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320" w:top="709" w:right="31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substances to comply with the regulatory requirements in order to prevent the diversion of controlled substances to illicit channels of commerce.</w:t>
      </w:r>
    </w:p>
    <w:p>
      <w:pPr>
        <w:spacing w:after="0" w:line="220"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78"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8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Company’s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Netherlands</w:t>
      </w:r>
    </w:p>
    <w:p>
      <w:pPr>
        <w:spacing w:after="0" w:line="22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Arial" w:cs="Arial" w:eastAsia="Arial" w:hAnsi="Arial"/>
          <w:sz w:val="18"/>
          <w:szCs w:val="18"/>
          <w:b w:val="1"/>
          <w:bCs w:val="1"/>
          <w:color w:val="auto"/>
        </w:rPr>
        <w:t>IMP</w:t>
      </w:r>
      <w:r>
        <w:rPr>
          <w:rFonts w:ascii="Arial" w:cs="Arial" w:eastAsia="Arial" w:hAnsi="Arial"/>
          <w:sz w:val="18"/>
          <w:szCs w:val="18"/>
          <w:color w:val="auto"/>
        </w:rPr>
        <w:t>”), and data from non-clinical and clinical studies. Guidance concerning IMPDs is based on Regulation (EU) No 536/2014 on Clinical Trials on Medicinal Products for Human Use (the “</w:t>
      </w:r>
      <w:r>
        <w:rPr>
          <w:rFonts w:ascii="Arial" w:cs="Arial" w:eastAsia="Arial" w:hAnsi="Arial"/>
          <w:sz w:val="18"/>
          <w:szCs w:val="18"/>
          <w:b w:val="1"/>
          <w:bCs w:val="1"/>
          <w:color w:val="auto"/>
        </w:rPr>
        <w:t>CTR</w:t>
      </w:r>
      <w:r>
        <w:rPr>
          <w:rFonts w:ascii="Arial" w:cs="Arial" w:eastAsia="Arial" w:hAnsi="Arial"/>
          <w:sz w:val="18"/>
          <w:szCs w:val="18"/>
          <w:color w:val="auto"/>
        </w:rPr>
        <w:t>”) and on the approximation of laws, regulations and administrative provisions of the Member States relating to the implementation of good clinical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320" w:top="709" w:right="319" w:bottom="1440" w:gutter="0" w:footer="0" w:header="0"/>
        </w:sectPr>
      </w:pPr>
    </w:p>
    <w:bookmarkStart w:id="51" w:name="page52"/>
    <w:bookmarkEnd w:id="51"/>
    <w:p>
      <w:pPr>
        <w:jc w:val="both"/>
        <w:ind w:right="20"/>
        <w:spacing w:after="0" w:line="259" w:lineRule="auto"/>
        <w:rPr>
          <w:sz w:val="20"/>
          <w:szCs w:val="20"/>
          <w:color w:val="auto"/>
        </w:rPr>
      </w:pPr>
      <w:r>
        <w:rPr>
          <w:rFonts w:ascii="Arial" w:cs="Arial" w:eastAsia="Arial" w:hAnsi="Arial"/>
          <w:sz w:val="18"/>
          <w:szCs w:val="18"/>
          <w:color w:val="auto"/>
        </w:rPr>
        <w:t>practice in the conduct of clinical trials on medicinal products for human use (also commonly referred to as the “Clinical Trials Directive”). The CTR is applicable as of January 31, 2022, harmonizing the laws, regulations and administrative provisions of the Member States relating to the implementation of Good Clinical Practice in the conduct of clinical trials on medicinal products for human use. European Member States have transformed the requirements outlined in the Clinical Trials Directive into the respective national laws.</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20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86"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Pharmaceutical products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Dutch Medicines Act (</w:t>
      </w:r>
      <w:r>
        <w:rPr>
          <w:rFonts w:ascii="Arial" w:cs="Arial" w:eastAsia="Arial" w:hAnsi="Arial"/>
          <w:sz w:val="17"/>
          <w:szCs w:val="17"/>
          <w:i w:val="1"/>
          <w:iCs w:val="1"/>
          <w:color w:val="auto"/>
        </w:rPr>
        <w:t>Geneesmiddelenwet</w:t>
      </w:r>
      <w:r>
        <w:rPr>
          <w:rFonts w:ascii="Arial" w:cs="Arial" w:eastAsia="Arial" w:hAnsi="Arial"/>
          <w:sz w:val="16"/>
          <w:szCs w:val="16"/>
          <w:color w:val="auto"/>
        </w:rPr>
        <w:t>), “medicinal products” are defined as: a substance or a combination of substances that is</w:t>
      </w:r>
    </w:p>
    <w:p>
      <w:pPr>
        <w:spacing w:after="0" w:line="5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87"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Arial" w:cs="Arial" w:eastAsia="Arial" w:hAnsi="Arial"/>
          <w:sz w:val="18"/>
          <w:szCs w:val="18"/>
          <w:b w:val="1"/>
          <w:bCs w:val="1"/>
          <w:color w:val="auto"/>
        </w:rPr>
        <w:t>EMA</w:t>
      </w:r>
      <w:r>
        <w:rPr>
          <w:rFonts w:ascii="Arial" w:cs="Arial" w:eastAsia="Arial" w:hAnsi="Arial"/>
          <w:sz w:val="18"/>
          <w:szCs w:val="18"/>
          <w:color w:val="auto"/>
        </w:rPr>
        <w:t>”). Where the Centralized procedure is not available but a medicinal product is intended for several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320" w:top="709" w:right="319" w:bottom="1440" w:gutter="0" w:footer="0" w:header="0"/>
        </w:sectPr>
      </w:pPr>
    </w:p>
    <w:bookmarkStart w:id="52" w:name="page53"/>
    <w:bookmarkEnd w:id="52"/>
    <w:p>
      <w:pPr>
        <w:jc w:val="both"/>
        <w:ind w:right="20"/>
        <w:spacing w:after="0" w:line="238" w:lineRule="auto"/>
        <w:rPr>
          <w:sz w:val="20"/>
          <w:szCs w:val="20"/>
          <w:color w:val="auto"/>
        </w:rPr>
      </w:pPr>
      <w:r>
        <w:rPr>
          <w:rFonts w:ascii="Arial" w:cs="Arial" w:eastAsia="Arial" w:hAnsi="Arial"/>
          <w:sz w:val="18"/>
          <w:szCs w:val="18"/>
          <w:color w:val="auto"/>
        </w:rPr>
        <w:t>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88"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Authorization Regulatory Process</w:t>
      </w:r>
    </w:p>
    <w:p>
      <w:pPr>
        <w:spacing w:after="0" w:line="23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320" w:top="709" w:right="31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6"/>
          <w:szCs w:val="16"/>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Arial" w:cs="Arial" w:eastAsia="Arial" w:hAnsi="Arial"/>
          <w:sz w:val="16"/>
          <w:szCs w:val="16"/>
          <w:b w:val="1"/>
          <w:bCs w:val="1"/>
          <w:color w:val="auto"/>
        </w:rPr>
        <w:t>RMS</w:t>
      </w:r>
      <w:r>
        <w:rPr>
          <w:rFonts w:ascii="Arial" w:cs="Arial" w:eastAsia="Arial" w:hAnsi="Arial"/>
          <w:sz w:val="16"/>
          <w:szCs w:val="16"/>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Arial" w:cs="Arial" w:eastAsia="Arial" w:hAnsi="Arial"/>
          <w:sz w:val="16"/>
          <w:szCs w:val="16"/>
          <w:b w:val="1"/>
          <w:bCs w:val="1"/>
          <w:color w:val="auto"/>
        </w:rPr>
        <w:t>CMDh</w:t>
      </w:r>
      <w:r>
        <w:rPr>
          <w:rFonts w:ascii="Arial" w:cs="Arial" w:eastAsia="Arial" w:hAnsi="Arial"/>
          <w:sz w:val="16"/>
          <w:szCs w:val="16"/>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Ireland</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In Ireland, psilocin is a controlled substance under the </w:t>
      </w:r>
      <w:r>
        <w:rPr>
          <w:rFonts w:ascii="Arial" w:cs="Arial" w:eastAsia="Arial" w:hAnsi="Arial"/>
          <w:sz w:val="18"/>
          <w:szCs w:val="18"/>
          <w:i w:val="1"/>
          <w:iCs w:val="1"/>
          <w:color w:val="auto"/>
        </w:rPr>
        <w:t>Misuse of Drugs Act, 1977, 1984 and 2015</w:t>
      </w:r>
      <w:r>
        <w:rPr>
          <w:rFonts w:ascii="Arial" w:cs="Arial" w:eastAsia="Arial" w:hAnsi="Arial"/>
          <w:sz w:val="18"/>
          <w:szCs w:val="18"/>
          <w:color w:val="auto"/>
        </w:rPr>
        <w:t xml:space="preserve"> (the “</w:t>
      </w:r>
      <w:r>
        <w:rPr>
          <w:rFonts w:ascii="Arial" w:cs="Arial" w:eastAsia="Arial" w:hAnsi="Arial"/>
          <w:sz w:val="18"/>
          <w:szCs w:val="18"/>
          <w:b w:val="1"/>
          <w:bCs w:val="1"/>
          <w:color w:val="auto"/>
        </w:rPr>
        <w:t>Ireland MDA</w:t>
      </w:r>
      <w:r>
        <w:rPr>
          <w:rFonts w:ascii="Arial" w:cs="Arial" w:eastAsia="Arial" w:hAnsi="Arial"/>
          <w:sz w:val="18"/>
          <w:szCs w:val="18"/>
          <w:color w:val="auto"/>
        </w:rPr>
        <w:t xml:space="preserve">”), the </w:t>
      </w:r>
      <w:r>
        <w:rPr>
          <w:rFonts w:ascii="Arial" w:cs="Arial" w:eastAsia="Arial" w:hAnsi="Arial"/>
          <w:sz w:val="18"/>
          <w:szCs w:val="18"/>
          <w:i w:val="1"/>
          <w:iCs w:val="1"/>
          <w:color w:val="auto"/>
        </w:rPr>
        <w:t>Misuse of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2017 </w:t>
      </w:r>
      <w:r>
        <w:rPr>
          <w:rFonts w:ascii="Arial" w:cs="Arial" w:eastAsia="Arial" w:hAnsi="Arial"/>
          <w:sz w:val="18"/>
          <w:szCs w:val="18"/>
          <w:color w:val="auto"/>
        </w:rPr>
        <w:t>(the “</w:t>
      </w:r>
      <w:r>
        <w:rPr>
          <w:rFonts w:ascii="Arial" w:cs="Arial" w:eastAsia="Arial" w:hAnsi="Arial"/>
          <w:sz w:val="18"/>
          <w:szCs w:val="18"/>
          <w:b w:val="1"/>
          <w:bCs w:val="1"/>
          <w:color w:val="auto"/>
        </w:rPr>
        <w:t>Ireland MDR</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Criminal Justice (Psychoactive Substances) Act 2010</w:t>
      </w:r>
      <w:r>
        <w:rPr>
          <w:rFonts w:ascii="Arial" w:cs="Arial" w:eastAsia="Arial" w:hAnsi="Arial"/>
          <w:sz w:val="18"/>
          <w:szCs w:val="18"/>
          <w:color w:val="auto"/>
        </w:rPr>
        <w:t>. These are the primary legislative instruments which govern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Applicable Laws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09" w:right="33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 Cooperation Treaty</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PCT facilitates filing for patent recognition in multiple jurisdictions simultaneously using a single uniform patent application. 156 countries, including Canada and the United States have ratified the PCT.</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0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Selected Quarterly Information</w:t>
      </w:r>
    </w:p>
    <w:p>
      <w:pPr>
        <w:spacing w:after="0" w:line="233"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The following table sets forth selected consolidated financial information for the periods indicated that are derived from, and should be read in conjunction with, the Interim Financial Statements and related notes thereto.</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w w:val="95"/>
              </w:rPr>
              <w:t>(Canadian dollars in thousands,</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December 31,</w:t>
            </w:r>
          </w:p>
        </w:tc>
        <w:tc>
          <w:tcPr>
            <w:tcW w:w="11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7"/>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rPr>
              <w:t>except per share and share</w:t>
            </w:r>
          </w:p>
        </w:tc>
        <w:tc>
          <w:tcPr>
            <w:tcW w:w="1160" w:type="dxa"/>
            <w:vAlign w:val="bottom"/>
            <w:vMerge w:val="continue"/>
            <w:shd w:val="clear" w:color="auto" w:fill="DBDBDB"/>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960" w:type="dxa"/>
            <w:vAlign w:val="bottom"/>
          </w:tcPr>
          <w:p>
            <w:pPr>
              <w:ind w:left="60"/>
              <w:spacing w:after="0"/>
              <w:rPr>
                <w:sz w:val="20"/>
                <w:szCs w:val="20"/>
                <w:color w:val="auto"/>
              </w:rPr>
            </w:pPr>
            <w:r>
              <w:rPr>
                <w:rFonts w:ascii="Arial" w:cs="Arial" w:eastAsia="Arial" w:hAnsi="Arial"/>
                <w:sz w:val="14"/>
                <w:szCs w:val="14"/>
                <w:i w:val="1"/>
                <w:iCs w:val="1"/>
                <w:color w:val="auto"/>
              </w:rPr>
              <w:t>figures)</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2022</w:t>
            </w:r>
          </w:p>
        </w:tc>
        <w:tc>
          <w:tcPr>
            <w:tcW w:w="1220" w:type="dxa"/>
            <w:vAlign w:val="bottom"/>
          </w:tcPr>
          <w:p>
            <w:pPr>
              <w:jc w:val="right"/>
              <w:ind w:right="71"/>
              <w:spacing w:after="0"/>
              <w:rPr>
                <w:sz w:val="20"/>
                <w:szCs w:val="20"/>
                <w:color w:val="auto"/>
              </w:rPr>
            </w:pPr>
            <w:r>
              <w:rPr>
                <w:rFonts w:ascii="Arial" w:cs="Arial" w:eastAsia="Arial" w:hAnsi="Arial"/>
                <w:sz w:val="14"/>
                <w:szCs w:val="14"/>
                <w:b w:val="1"/>
                <w:bCs w:val="1"/>
                <w:color w:val="auto"/>
              </w:rPr>
              <w:t>June 30, 2022</w:t>
            </w:r>
          </w:p>
        </w:tc>
        <w:tc>
          <w:tcPr>
            <w:tcW w:w="120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March 31, 2022</w:t>
            </w:r>
          </w:p>
        </w:tc>
        <w:tc>
          <w:tcPr>
            <w:tcW w:w="1120" w:type="dxa"/>
            <w:vAlign w:val="bottom"/>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1180" w:type="dxa"/>
            <w:vAlign w:val="bottom"/>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jc w:val="right"/>
              <w:ind w:right="51"/>
              <w:spacing w:after="0"/>
              <w:rPr>
                <w:sz w:val="20"/>
                <w:szCs w:val="20"/>
                <w:color w:val="auto"/>
              </w:rPr>
            </w:pPr>
            <w:r>
              <w:rPr>
                <w:rFonts w:ascii="Arial" w:cs="Arial" w:eastAsia="Arial" w:hAnsi="Arial"/>
                <w:sz w:val="14"/>
                <w:szCs w:val="14"/>
                <w:b w:val="1"/>
                <w:bCs w:val="1"/>
                <w:color w:val="auto"/>
              </w:rPr>
              <w:t>June 30, 2021</w:t>
            </w:r>
          </w:p>
        </w:tc>
        <w:tc>
          <w:tcPr>
            <w:tcW w:w="1220" w:type="dxa"/>
            <w:vAlign w:val="bottom"/>
          </w:tcPr>
          <w:p>
            <w:pPr>
              <w:jc w:val="right"/>
              <w:ind w:right="131"/>
              <w:spacing w:after="0"/>
              <w:rPr>
                <w:sz w:val="20"/>
                <w:szCs w:val="20"/>
                <w:color w:val="auto"/>
              </w:rPr>
            </w:pPr>
            <w:r>
              <w:rPr>
                <w:rFonts w:ascii="Arial" w:cs="Arial" w:eastAsia="Arial" w:hAnsi="Arial"/>
                <w:sz w:val="14"/>
                <w:szCs w:val="14"/>
                <w:b w:val="1"/>
                <w:bCs w:val="1"/>
                <w:color w:val="auto"/>
              </w:rPr>
              <w:t>March 31, 2021</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1"/>
        </w:trPr>
        <w:tc>
          <w:tcPr>
            <w:tcW w:w="196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Revenues ($)</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Operating Expenses ($)</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12,327</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13,395</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16,338</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16,455</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17,106</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13,939</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12,363</w:t>
            </w:r>
          </w:p>
        </w:tc>
        <w:tc>
          <w:tcPr>
            <w:tcW w:w="1020" w:type="dxa"/>
            <w:vAlign w:val="bottom"/>
          </w:tcPr>
          <w:p>
            <w:pPr>
              <w:jc w:val="right"/>
              <w:spacing w:after="0"/>
              <w:rPr>
                <w:sz w:val="20"/>
                <w:szCs w:val="20"/>
                <w:color w:val="auto"/>
              </w:rPr>
            </w:pPr>
            <w:r>
              <w:rPr>
                <w:rFonts w:ascii="Arial" w:cs="Arial" w:eastAsia="Arial" w:hAnsi="Arial"/>
                <w:sz w:val="14"/>
                <w:szCs w:val="14"/>
                <w:color w:val="auto"/>
              </w:rPr>
              <w:t>11,379</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Net loss ($)</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(9,973)</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(13,055)</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(18,097)</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(17,210)</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(17,607)</w:t>
            </w: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(14,717)</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(13,777)</w:t>
            </w:r>
          </w:p>
        </w:tc>
        <w:tc>
          <w:tcPr>
            <w:tcW w:w="1020" w:type="dxa"/>
            <w:vAlign w:val="bottom"/>
          </w:tcPr>
          <w:p>
            <w:pPr>
              <w:jc w:val="right"/>
              <w:spacing w:after="0"/>
              <w:rPr>
                <w:sz w:val="20"/>
                <w:szCs w:val="20"/>
                <w:color w:val="auto"/>
              </w:rPr>
            </w:pPr>
            <w:r>
              <w:rPr>
                <w:rFonts w:ascii="Arial" w:cs="Arial" w:eastAsia="Arial" w:hAnsi="Arial"/>
                <w:sz w:val="14"/>
                <w:szCs w:val="14"/>
                <w:color w:val="auto"/>
              </w:rPr>
              <w:t>(11,419)</w:t>
            </w:r>
          </w:p>
        </w:tc>
        <w:tc>
          <w:tcPr>
            <w:tcW w:w="0" w:type="dxa"/>
            <w:vAlign w:val="bottom"/>
          </w:tcPr>
          <w:p>
            <w:pPr>
              <w:spacing w:after="0"/>
              <w:rPr>
                <w:sz w:val="1"/>
                <w:szCs w:val="1"/>
                <w:color w:val="auto"/>
              </w:rPr>
            </w:pPr>
          </w:p>
        </w:tc>
      </w:tr>
      <w:tr>
        <w:trPr>
          <w:trHeight w:val="456"/>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160" w:type="dxa"/>
            <w:vAlign w:val="bottom"/>
            <w:shd w:val="clear" w:color="auto" w:fill="DBDBDB"/>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Basic</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180,837,176</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175,874,475</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173,873,017</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171,833,544</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165,783,294</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157,711,518</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150,494,164</w:t>
            </w:r>
          </w:p>
        </w:tc>
        <w:tc>
          <w:tcPr>
            <w:tcW w:w="1020" w:type="dxa"/>
            <w:vAlign w:val="bottom"/>
          </w:tcPr>
          <w:p>
            <w:pPr>
              <w:jc w:val="right"/>
              <w:spacing w:after="0"/>
              <w:rPr>
                <w:sz w:val="20"/>
                <w:szCs w:val="20"/>
                <w:color w:val="auto"/>
              </w:rPr>
            </w:pPr>
            <w:r>
              <w:rPr>
                <w:rFonts w:ascii="Arial" w:cs="Arial" w:eastAsia="Arial" w:hAnsi="Arial"/>
                <w:sz w:val="14"/>
                <w:szCs w:val="14"/>
                <w:color w:val="auto"/>
              </w:rPr>
              <w:t>110,223,000</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Loss per share ($'s)</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(0.06)</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(0.07)</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(0.10)</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(0.10)</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(0.11)</w:t>
            </w: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(0.09)</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(0.09)</w:t>
            </w:r>
          </w:p>
        </w:tc>
        <w:tc>
          <w:tcPr>
            <w:tcW w:w="102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456"/>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160" w:type="dxa"/>
            <w:vAlign w:val="bottom"/>
            <w:shd w:val="clear" w:color="auto" w:fill="DBDBDB"/>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Diluted</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180,837,176</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175,874,475</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173,873,017</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171,833,544</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165,783,294</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157,711,518</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150,494,164</w:t>
            </w:r>
          </w:p>
        </w:tc>
        <w:tc>
          <w:tcPr>
            <w:tcW w:w="1020" w:type="dxa"/>
            <w:vAlign w:val="bottom"/>
          </w:tcPr>
          <w:p>
            <w:pPr>
              <w:jc w:val="right"/>
              <w:spacing w:after="0"/>
              <w:rPr>
                <w:sz w:val="20"/>
                <w:szCs w:val="20"/>
                <w:color w:val="auto"/>
              </w:rPr>
            </w:pPr>
            <w:r>
              <w:rPr>
                <w:rFonts w:ascii="Arial" w:cs="Arial" w:eastAsia="Arial" w:hAnsi="Arial"/>
                <w:sz w:val="14"/>
                <w:szCs w:val="14"/>
                <w:color w:val="auto"/>
              </w:rPr>
              <w:t>110,223,000</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Loss per share ($'s)</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(0.06)</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(0.07)</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(0.10)</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(0.10)</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(0.11)</w:t>
            </w: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(0.09)</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(0.09)</w:t>
            </w:r>
          </w:p>
        </w:tc>
        <w:tc>
          <w:tcPr>
            <w:tcW w:w="102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464"/>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Cash and cash equivalents</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29,937</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42,460</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53,641</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63,580</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75,179</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55,075</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64,026</w:t>
            </w:r>
          </w:p>
        </w:tc>
        <w:tc>
          <w:tcPr>
            <w:tcW w:w="1020" w:type="dxa"/>
            <w:vAlign w:val="bottom"/>
          </w:tcPr>
          <w:p>
            <w:pPr>
              <w:jc w:val="right"/>
              <w:spacing w:after="0"/>
              <w:rPr>
                <w:sz w:val="20"/>
                <w:szCs w:val="20"/>
                <w:color w:val="auto"/>
              </w:rPr>
            </w:pPr>
            <w:r>
              <w:rPr>
                <w:rFonts w:ascii="Arial" w:cs="Arial" w:eastAsia="Arial" w:hAnsi="Arial"/>
                <w:sz w:val="14"/>
                <w:szCs w:val="14"/>
                <w:color w:val="auto"/>
              </w:rPr>
              <w:t>40,028</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Total Assets ($)</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69,113</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74,590</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84,063</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95,161</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105,465</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82,837</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92,112</w:t>
            </w:r>
          </w:p>
        </w:tc>
        <w:tc>
          <w:tcPr>
            <w:tcW w:w="1020" w:type="dxa"/>
            <w:vAlign w:val="bottom"/>
          </w:tcPr>
          <w:p>
            <w:pPr>
              <w:jc w:val="right"/>
              <w:spacing w:after="0"/>
              <w:rPr>
                <w:sz w:val="20"/>
                <w:szCs w:val="20"/>
                <w:color w:val="auto"/>
              </w:rPr>
            </w:pPr>
            <w:r>
              <w:rPr>
                <w:rFonts w:ascii="Arial" w:cs="Arial" w:eastAsia="Arial" w:hAnsi="Arial"/>
                <w:sz w:val="14"/>
                <w:szCs w:val="14"/>
                <w:color w:val="auto"/>
              </w:rPr>
              <w:t>61,254</w:t>
            </w:r>
          </w:p>
        </w:tc>
        <w:tc>
          <w:tcPr>
            <w:tcW w:w="0" w:type="dxa"/>
            <w:vAlign w:val="bottom"/>
          </w:tcPr>
          <w:p>
            <w:pPr>
              <w:spacing w:after="0"/>
              <w:rPr>
                <w:sz w:val="1"/>
                <w:szCs w:val="1"/>
                <w:color w:val="auto"/>
              </w:rPr>
            </w:pPr>
          </w:p>
        </w:tc>
      </w:tr>
      <w:tr>
        <w:trPr>
          <w:trHeight w:val="212"/>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w w:val="99"/>
              </w:rPr>
              <w:t>Total Non-Current Liabilities</w:t>
            </w:r>
          </w:p>
        </w:tc>
        <w:tc>
          <w:tcPr>
            <w:tcW w:w="1160" w:type="dxa"/>
            <w:vAlign w:val="bottom"/>
            <w:shd w:val="clear" w:color="auto" w:fill="DBDBDB"/>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363</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770</w:t>
            </w:r>
          </w:p>
        </w:tc>
        <w:tc>
          <w:tcPr>
            <w:tcW w:w="1220" w:type="dxa"/>
            <w:vAlign w:val="bottom"/>
          </w:tcPr>
          <w:p>
            <w:pPr>
              <w:jc w:val="right"/>
              <w:ind w:right="131"/>
              <w:spacing w:after="0"/>
              <w:rPr>
                <w:sz w:val="20"/>
                <w:szCs w:val="20"/>
                <w:color w:val="auto"/>
              </w:rPr>
            </w:pPr>
            <w:r>
              <w:rPr>
                <w:rFonts w:ascii="Arial" w:cs="Arial" w:eastAsia="Arial" w:hAnsi="Arial"/>
                <w:sz w:val="14"/>
                <w:szCs w:val="14"/>
                <w:color w:val="auto"/>
              </w:rPr>
              <w:t>1,094</w:t>
            </w:r>
          </w:p>
        </w:tc>
        <w:tc>
          <w:tcPr>
            <w:tcW w:w="1020" w:type="dxa"/>
            <w:vAlign w:val="bottom"/>
          </w:tcPr>
          <w:p>
            <w:pPr>
              <w:jc w:val="right"/>
              <w:spacing w:after="0"/>
              <w:rPr>
                <w:sz w:val="20"/>
                <w:szCs w:val="20"/>
                <w:color w:val="auto"/>
              </w:rPr>
            </w:pPr>
            <w:r>
              <w:rPr>
                <w:rFonts w:ascii="Arial" w:cs="Arial" w:eastAsia="Arial" w:hAnsi="Arial"/>
                <w:sz w:val="14"/>
                <w:szCs w:val="14"/>
                <w:color w:val="auto"/>
              </w:rPr>
              <w:t>3,442</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dividends on the Common Shares and does not anticipate declaring any dividends in the near future.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Total assets decreased by $14,950 from March 31, 2022 to September 30, 2022 mainly as a result in a decrease in cash as the Company continues to progress its operations. The decrease is partially offset by an increase in other current assets, prepaid expenses, accounts receivable and the impact of foreign exchange on translation. As at September 30, 2022, the Company had prepaid expenses related to future clinical work of $2,388 (US$ 1,743).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Non-Current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have any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0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3540" w:type="dxa"/>
            <w:vAlign w:val="bottom"/>
            <w:gridSpan w:val="2"/>
          </w:tcPr>
          <w:p>
            <w:pPr>
              <w:jc w:val="right"/>
              <w:ind w:right="407"/>
              <w:spacing w:after="0"/>
              <w:rPr>
                <w:sz w:val="20"/>
                <w:szCs w:val="20"/>
                <w:color w:val="auto"/>
              </w:rPr>
            </w:pPr>
            <w:r>
              <w:rPr>
                <w:rFonts w:ascii="Arial" w:cs="Arial" w:eastAsia="Arial" w:hAnsi="Arial"/>
                <w:sz w:val="16"/>
                <w:szCs w:val="16"/>
                <w:b w:val="1"/>
                <w:bCs w:val="1"/>
                <w:color w:val="auto"/>
              </w:rPr>
              <w:t>Three months ended September 30,</w:t>
            </w:r>
          </w:p>
        </w:tc>
        <w:tc>
          <w:tcPr>
            <w:tcW w:w="3200" w:type="dxa"/>
            <w:vAlign w:val="bottom"/>
            <w:gridSpan w:val="2"/>
          </w:tcPr>
          <w:p>
            <w:pPr>
              <w:jc w:val="right"/>
              <w:ind w:right="327"/>
              <w:spacing w:after="0"/>
              <w:rPr>
                <w:sz w:val="20"/>
                <w:szCs w:val="20"/>
                <w:color w:val="auto"/>
              </w:rPr>
            </w:pPr>
            <w:r>
              <w:rPr>
                <w:rFonts w:ascii="Arial" w:cs="Arial" w:eastAsia="Arial" w:hAnsi="Arial"/>
                <w:sz w:val="16"/>
                <w:szCs w:val="16"/>
                <w:b w:val="1"/>
                <w:bCs w:val="1"/>
                <w:color w:val="auto"/>
              </w:rPr>
              <w:t>Six months ended September 30,</w:t>
            </w:r>
          </w:p>
        </w:tc>
        <w:tc>
          <w:tcPr>
            <w:tcW w:w="0" w:type="dxa"/>
            <w:vAlign w:val="bottom"/>
          </w:tcPr>
          <w:p>
            <w:pPr>
              <w:spacing w:after="0"/>
              <w:rPr>
                <w:sz w:val="1"/>
                <w:szCs w:val="1"/>
                <w:color w:val="auto"/>
              </w:rPr>
            </w:pPr>
          </w:p>
        </w:tc>
      </w:tr>
      <w:tr>
        <w:trPr>
          <w:trHeight w:val="38"/>
        </w:trPr>
        <w:tc>
          <w:tcPr>
            <w:tcW w:w="45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2022</w:t>
            </w:r>
          </w:p>
        </w:tc>
        <w:tc>
          <w:tcPr>
            <w:tcW w:w="1480" w:type="dxa"/>
            <w:vAlign w:val="bottom"/>
          </w:tcPr>
          <w:p>
            <w:pPr>
              <w:jc w:val="right"/>
              <w:ind w:right="167"/>
              <w:spacing w:after="0"/>
              <w:rPr>
                <w:sz w:val="20"/>
                <w:szCs w:val="20"/>
                <w:color w:val="auto"/>
              </w:rPr>
            </w:pPr>
            <w:r>
              <w:rPr>
                <w:rFonts w:ascii="Arial" w:cs="Arial" w:eastAsia="Arial" w:hAnsi="Arial"/>
                <w:sz w:val="15"/>
                <w:szCs w:val="15"/>
                <w:b w:val="1"/>
                <w:bCs w:val="1"/>
                <w:color w:val="auto"/>
              </w:rPr>
              <w:t>2021</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2022</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9"/>
        </w:trPr>
        <w:tc>
          <w:tcPr>
            <w:tcW w:w="45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2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4500" w:type="dxa"/>
            <w:vAlign w:val="bottom"/>
          </w:tcPr>
          <w:p>
            <w:pPr>
              <w:ind w:left="200"/>
              <w:spacing w:after="0"/>
              <w:rPr>
                <w:sz w:val="20"/>
                <w:szCs w:val="20"/>
                <w:color w:val="auto"/>
              </w:rPr>
            </w:pPr>
            <w:r>
              <w:rPr>
                <w:rFonts w:ascii="Arial" w:cs="Arial" w:eastAsia="Arial" w:hAnsi="Arial"/>
                <w:sz w:val="15"/>
                <w:szCs w:val="15"/>
                <w:color w:val="auto"/>
              </w:rPr>
              <w:t>Research</w:t>
            </w: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5,141</w:t>
            </w: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3,818</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11,189</w:t>
            </w:r>
          </w:p>
        </w:tc>
        <w:tc>
          <w:tcPr>
            <w:tcW w:w="1320" w:type="dxa"/>
            <w:vAlign w:val="bottom"/>
          </w:tcPr>
          <w:p>
            <w:pPr>
              <w:jc w:val="right"/>
              <w:spacing w:after="0"/>
              <w:rPr>
                <w:sz w:val="20"/>
                <w:szCs w:val="20"/>
                <w:color w:val="auto"/>
              </w:rPr>
            </w:pPr>
            <w:r>
              <w:rPr>
                <w:rFonts w:ascii="Arial" w:cs="Arial" w:eastAsia="Arial" w:hAnsi="Arial"/>
                <w:sz w:val="15"/>
                <w:szCs w:val="15"/>
                <w:color w:val="auto"/>
              </w:rPr>
              <w:t>6,794</w:t>
            </w:r>
          </w:p>
        </w:tc>
        <w:tc>
          <w:tcPr>
            <w:tcW w:w="0" w:type="dxa"/>
            <w:vAlign w:val="bottom"/>
          </w:tcPr>
          <w:p>
            <w:pPr>
              <w:spacing w:after="0"/>
              <w:rPr>
                <w:sz w:val="1"/>
                <w:szCs w:val="1"/>
                <w:color w:val="auto"/>
              </w:rPr>
            </w:pPr>
          </w:p>
        </w:tc>
      </w:tr>
      <w:tr>
        <w:trPr>
          <w:trHeight w:val="232"/>
        </w:trPr>
        <w:tc>
          <w:tcPr>
            <w:tcW w:w="4500" w:type="dxa"/>
            <w:vAlign w:val="bottom"/>
          </w:tcPr>
          <w:p>
            <w:pPr>
              <w:ind w:left="200"/>
              <w:spacing w:after="0"/>
              <w:rPr>
                <w:sz w:val="20"/>
                <w:szCs w:val="20"/>
                <w:color w:val="auto"/>
              </w:rPr>
            </w:pPr>
            <w:r>
              <w:rPr>
                <w:rFonts w:ascii="Arial" w:cs="Arial" w:eastAsia="Arial" w:hAnsi="Arial"/>
                <w:sz w:val="15"/>
                <w:szCs w:val="15"/>
                <w:color w:val="auto"/>
              </w:rPr>
              <w:t>General and administrative costs</w:t>
            </w: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6,114</w:t>
            </w: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7,831</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11,306</w:t>
            </w:r>
          </w:p>
        </w:tc>
        <w:tc>
          <w:tcPr>
            <w:tcW w:w="1320" w:type="dxa"/>
            <w:vAlign w:val="bottom"/>
          </w:tcPr>
          <w:p>
            <w:pPr>
              <w:jc w:val="right"/>
              <w:spacing w:after="0"/>
              <w:rPr>
                <w:sz w:val="20"/>
                <w:szCs w:val="20"/>
                <w:color w:val="auto"/>
              </w:rPr>
            </w:pPr>
            <w:r>
              <w:rPr>
                <w:rFonts w:ascii="Arial" w:cs="Arial" w:eastAsia="Arial" w:hAnsi="Arial"/>
                <w:sz w:val="15"/>
                <w:szCs w:val="15"/>
                <w:color w:val="auto"/>
              </w:rPr>
              <w:t>14,021</w:t>
            </w:r>
          </w:p>
        </w:tc>
        <w:tc>
          <w:tcPr>
            <w:tcW w:w="0" w:type="dxa"/>
            <w:vAlign w:val="bottom"/>
          </w:tcPr>
          <w:p>
            <w:pPr>
              <w:spacing w:after="0"/>
              <w:rPr>
                <w:sz w:val="1"/>
                <w:szCs w:val="1"/>
                <w:color w:val="auto"/>
              </w:rPr>
            </w:pPr>
          </w:p>
        </w:tc>
      </w:tr>
      <w:tr>
        <w:trPr>
          <w:trHeight w:val="232"/>
        </w:trPr>
        <w:tc>
          <w:tcPr>
            <w:tcW w:w="450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1,072</w:t>
            </w: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5,457</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3,227</w:t>
            </w:r>
          </w:p>
        </w:tc>
        <w:tc>
          <w:tcPr>
            <w:tcW w:w="1320" w:type="dxa"/>
            <w:vAlign w:val="bottom"/>
          </w:tcPr>
          <w:p>
            <w:pPr>
              <w:jc w:val="right"/>
              <w:spacing w:after="0"/>
              <w:rPr>
                <w:sz w:val="20"/>
                <w:szCs w:val="20"/>
                <w:color w:val="auto"/>
              </w:rPr>
            </w:pPr>
            <w:r>
              <w:rPr>
                <w:rFonts w:ascii="Arial" w:cs="Arial" w:eastAsia="Arial" w:hAnsi="Arial"/>
                <w:sz w:val="15"/>
                <w:szCs w:val="15"/>
                <w:color w:val="auto"/>
              </w:rPr>
              <w:t>10,230</w:t>
            </w:r>
          </w:p>
        </w:tc>
        <w:tc>
          <w:tcPr>
            <w:tcW w:w="0" w:type="dxa"/>
            <w:vAlign w:val="bottom"/>
          </w:tcPr>
          <w:p>
            <w:pPr>
              <w:spacing w:after="0"/>
              <w:rPr>
                <w:sz w:val="1"/>
                <w:szCs w:val="1"/>
                <w:color w:val="auto"/>
              </w:rPr>
            </w:pPr>
          </w:p>
        </w:tc>
      </w:tr>
      <w:tr>
        <w:trPr>
          <w:trHeight w:val="115"/>
        </w:trPr>
        <w:tc>
          <w:tcPr>
            <w:tcW w:w="450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TOTAL EXPENSES</w:t>
            </w: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12,327</w:t>
            </w: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17,106</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25,722</w:t>
            </w:r>
          </w:p>
        </w:tc>
        <w:tc>
          <w:tcPr>
            <w:tcW w:w="1320" w:type="dxa"/>
            <w:vAlign w:val="bottom"/>
          </w:tcPr>
          <w:p>
            <w:pPr>
              <w:jc w:val="right"/>
              <w:spacing w:after="0"/>
              <w:rPr>
                <w:sz w:val="20"/>
                <w:szCs w:val="20"/>
                <w:color w:val="auto"/>
              </w:rPr>
            </w:pPr>
            <w:r>
              <w:rPr>
                <w:rFonts w:ascii="Arial" w:cs="Arial" w:eastAsia="Arial" w:hAnsi="Arial"/>
                <w:sz w:val="15"/>
                <w:szCs w:val="15"/>
                <w:color w:val="auto"/>
              </w:rPr>
              <w:t>31,045</w:t>
            </w:r>
          </w:p>
        </w:tc>
        <w:tc>
          <w:tcPr>
            <w:tcW w:w="0" w:type="dxa"/>
            <w:vAlign w:val="bottom"/>
          </w:tcPr>
          <w:p>
            <w:pPr>
              <w:spacing w:after="0"/>
              <w:rPr>
                <w:sz w:val="1"/>
                <w:szCs w:val="1"/>
                <w:color w:val="auto"/>
              </w:rPr>
            </w:pPr>
          </w:p>
        </w:tc>
      </w:tr>
      <w:tr>
        <w:trPr>
          <w:trHeight w:val="29"/>
        </w:trPr>
        <w:tc>
          <w:tcPr>
            <w:tcW w:w="45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2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500" w:type="dxa"/>
            <w:vAlign w:val="bottom"/>
          </w:tcPr>
          <w:p>
            <w:pPr>
              <w:ind w:left="200"/>
              <w:spacing w:after="0"/>
              <w:rPr>
                <w:sz w:val="20"/>
                <w:szCs w:val="20"/>
                <w:color w:val="auto"/>
              </w:rPr>
            </w:pPr>
            <w:r>
              <w:rPr>
                <w:rFonts w:ascii="Arial" w:cs="Arial" w:eastAsia="Arial" w:hAnsi="Arial"/>
                <w:sz w:val="15"/>
                <w:szCs w:val="15"/>
                <w:color w:val="auto"/>
              </w:rPr>
              <w:t>Foreign currency translation gain</w:t>
            </w: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2,189</w:t>
            </w: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155</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2,714</w:t>
            </w:r>
          </w:p>
        </w:tc>
        <w:tc>
          <w:tcPr>
            <w:tcW w:w="1320" w:type="dxa"/>
            <w:vAlign w:val="bottom"/>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20"/>
        </w:trPr>
        <w:tc>
          <w:tcPr>
            <w:tcW w:w="450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174</w:t>
            </w: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51</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298</w:t>
            </w:r>
          </w:p>
        </w:tc>
        <w:tc>
          <w:tcPr>
            <w:tcW w:w="1320" w:type="dxa"/>
            <w:vAlign w:val="bottom"/>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232"/>
        </w:trPr>
        <w:tc>
          <w:tcPr>
            <w:tcW w:w="4500" w:type="dxa"/>
            <w:vAlign w:val="bottom"/>
          </w:tcPr>
          <w:p>
            <w:pPr>
              <w:ind w:left="200"/>
              <w:spacing w:after="0"/>
              <w:rPr>
                <w:sz w:val="20"/>
                <w:szCs w:val="20"/>
                <w:color w:val="auto"/>
              </w:rPr>
            </w:pPr>
            <w:r>
              <w:rPr>
                <w:rFonts w:ascii="Arial" w:cs="Arial" w:eastAsia="Arial" w:hAnsi="Arial"/>
                <w:sz w:val="15"/>
                <w:szCs w:val="15"/>
                <w:color w:val="auto"/>
              </w:rPr>
              <w:t>Change in fair value of investments measured at fair value</w:t>
            </w:r>
          </w:p>
        </w:tc>
        <w:tc>
          <w:tcPr>
            <w:tcW w:w="2060" w:type="dxa"/>
            <w:vAlign w:val="bottom"/>
            <w:vMerge w:val="restart"/>
          </w:tcPr>
          <w:p>
            <w:pPr>
              <w:jc w:val="right"/>
              <w:ind w:right="366"/>
              <w:spacing w:after="0"/>
              <w:rPr>
                <w:sz w:val="20"/>
                <w:szCs w:val="20"/>
                <w:color w:val="auto"/>
              </w:rPr>
            </w:pPr>
            <w:r>
              <w:rPr>
                <w:rFonts w:ascii="Arial" w:cs="Arial" w:eastAsia="Arial" w:hAnsi="Arial"/>
                <w:sz w:val="15"/>
                <w:szCs w:val="15"/>
                <w:b w:val="1"/>
                <w:bCs w:val="1"/>
                <w:color w:val="auto"/>
              </w:rPr>
              <w:t>12</w:t>
            </w:r>
          </w:p>
        </w:tc>
        <w:tc>
          <w:tcPr>
            <w:tcW w:w="1480" w:type="dxa"/>
            <w:vAlign w:val="bottom"/>
          </w:tcPr>
          <w:p>
            <w:pPr>
              <w:spacing w:after="0"/>
              <w:rPr>
                <w:sz w:val="20"/>
                <w:szCs w:val="20"/>
                <w:color w:val="auto"/>
              </w:rPr>
            </w:pPr>
          </w:p>
        </w:tc>
        <w:tc>
          <w:tcPr>
            <w:tcW w:w="1880" w:type="dxa"/>
            <w:vAlign w:val="bottom"/>
            <w:vMerge w:val="restart"/>
          </w:tcPr>
          <w:p>
            <w:pPr>
              <w:jc w:val="right"/>
              <w:ind w:right="346"/>
              <w:spacing w:after="0"/>
              <w:rPr>
                <w:sz w:val="20"/>
                <w:szCs w:val="20"/>
                <w:color w:val="auto"/>
              </w:rPr>
            </w:pPr>
            <w:r>
              <w:rPr>
                <w:rFonts w:ascii="Arial" w:cs="Arial" w:eastAsia="Arial" w:hAnsi="Arial"/>
                <w:sz w:val="15"/>
                <w:szCs w:val="15"/>
                <w:b w:val="1"/>
                <w:bCs w:val="1"/>
                <w:color w:val="auto"/>
              </w:rPr>
              <w:t>24</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160"/>
              <w:spacing w:after="0"/>
              <w:rPr>
                <w:sz w:val="20"/>
                <w:szCs w:val="20"/>
                <w:color w:val="auto"/>
              </w:rPr>
            </w:pPr>
            <w:r>
              <w:rPr>
                <w:rFonts w:ascii="Arial" w:cs="Arial" w:eastAsia="Arial" w:hAnsi="Arial"/>
                <w:sz w:val="15"/>
                <w:szCs w:val="15"/>
                <w:color w:val="auto"/>
              </w:rPr>
              <w:t>through profit or loss</w:t>
            </w:r>
          </w:p>
        </w:tc>
        <w:tc>
          <w:tcPr>
            <w:tcW w:w="2060" w:type="dxa"/>
            <w:vAlign w:val="bottom"/>
            <w:vMerge w:val="continue"/>
          </w:tcPr>
          <w:p>
            <w:pPr>
              <w:spacing w:after="0"/>
              <w:rPr>
                <w:sz w:val="15"/>
                <w:szCs w:val="15"/>
                <w:color w:val="auto"/>
              </w:rPr>
            </w:pP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88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500" w:type="dxa"/>
            <w:vAlign w:val="bottom"/>
          </w:tcPr>
          <w:p>
            <w:pPr>
              <w:ind w:left="260"/>
              <w:spacing w:after="0"/>
              <w:rPr>
                <w:sz w:val="20"/>
                <w:szCs w:val="20"/>
                <w:color w:val="auto"/>
              </w:rPr>
            </w:pPr>
            <w:r>
              <w:rPr>
                <w:rFonts w:ascii="Arial" w:cs="Arial" w:eastAsia="Arial" w:hAnsi="Arial"/>
                <w:sz w:val="15"/>
                <w:szCs w:val="15"/>
                <w:color w:val="auto"/>
              </w:rPr>
              <w:t>Contingent consideration accretion</w:t>
            </w: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w:t>
            </w: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(70)</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(13)</w:t>
            </w:r>
          </w:p>
        </w:tc>
        <w:tc>
          <w:tcPr>
            <w:tcW w:w="1320" w:type="dxa"/>
            <w:vAlign w:val="bottom"/>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32"/>
        </w:trPr>
        <w:tc>
          <w:tcPr>
            <w:tcW w:w="4500" w:type="dxa"/>
            <w:vAlign w:val="bottom"/>
          </w:tcPr>
          <w:p>
            <w:pPr>
              <w:ind w:left="200"/>
              <w:spacing w:after="0"/>
              <w:rPr>
                <w:sz w:val="20"/>
                <w:szCs w:val="20"/>
                <w:color w:val="auto"/>
              </w:rPr>
            </w:pPr>
            <w:r>
              <w:rPr>
                <w:rFonts w:ascii="Arial" w:cs="Arial" w:eastAsia="Arial" w:hAnsi="Arial"/>
                <w:sz w:val="15"/>
                <w:szCs w:val="15"/>
                <w:color w:val="auto"/>
              </w:rPr>
              <w:t>Change in fair value of contingent consideration</w:t>
            </w: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(21)</w:t>
            </w: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(637)</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(329)</w:t>
            </w:r>
          </w:p>
        </w:tc>
        <w:tc>
          <w:tcPr>
            <w:tcW w:w="1320" w:type="dxa"/>
            <w:vAlign w:val="bottom"/>
          </w:tcPr>
          <w:p>
            <w:pPr>
              <w:jc w:val="right"/>
              <w:spacing w:after="0"/>
              <w:rPr>
                <w:sz w:val="20"/>
                <w:szCs w:val="20"/>
                <w:color w:val="auto"/>
              </w:rPr>
            </w:pPr>
            <w:r>
              <w:rPr>
                <w:rFonts w:ascii="Arial" w:cs="Arial" w:eastAsia="Arial" w:hAnsi="Arial"/>
                <w:sz w:val="15"/>
                <w:szCs w:val="15"/>
                <w:color w:val="auto"/>
              </w:rPr>
              <w:t>(1,249)</w:t>
            </w:r>
          </w:p>
        </w:tc>
        <w:tc>
          <w:tcPr>
            <w:tcW w:w="0" w:type="dxa"/>
            <w:vAlign w:val="bottom"/>
          </w:tcPr>
          <w:p>
            <w:pPr>
              <w:spacing w:after="0"/>
              <w:rPr>
                <w:sz w:val="1"/>
                <w:szCs w:val="1"/>
                <w:color w:val="auto"/>
              </w:rPr>
            </w:pPr>
          </w:p>
        </w:tc>
      </w:tr>
      <w:tr>
        <w:trPr>
          <w:trHeight w:val="115"/>
        </w:trPr>
        <w:tc>
          <w:tcPr>
            <w:tcW w:w="450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TOTAL OTHER INCOME (EXPENSES)</w:t>
            </w: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2,354</w:t>
            </w: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(501)</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2,694</w:t>
            </w:r>
          </w:p>
        </w:tc>
        <w:tc>
          <w:tcPr>
            <w:tcW w:w="1320" w:type="dxa"/>
            <w:vAlign w:val="bottom"/>
          </w:tcPr>
          <w:p>
            <w:pPr>
              <w:jc w:val="right"/>
              <w:spacing w:after="0"/>
              <w:rPr>
                <w:sz w:val="20"/>
                <w:szCs w:val="20"/>
                <w:color w:val="auto"/>
              </w:rPr>
            </w:pPr>
            <w:r>
              <w:rPr>
                <w:rFonts w:ascii="Arial" w:cs="Arial" w:eastAsia="Arial" w:hAnsi="Arial"/>
                <w:sz w:val="15"/>
                <w:szCs w:val="15"/>
                <w:color w:val="auto"/>
              </w:rPr>
              <w:t>(1,279)</w:t>
            </w:r>
          </w:p>
        </w:tc>
        <w:tc>
          <w:tcPr>
            <w:tcW w:w="0" w:type="dxa"/>
            <w:vAlign w:val="bottom"/>
          </w:tcPr>
          <w:p>
            <w:pPr>
              <w:spacing w:after="0"/>
              <w:rPr>
                <w:sz w:val="1"/>
                <w:szCs w:val="1"/>
                <w:color w:val="auto"/>
              </w:rPr>
            </w:pPr>
          </w:p>
        </w:tc>
      </w:tr>
      <w:tr>
        <w:trPr>
          <w:trHeight w:val="29"/>
        </w:trPr>
        <w:tc>
          <w:tcPr>
            <w:tcW w:w="45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5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50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2060" w:type="dxa"/>
            <w:vAlign w:val="bottom"/>
            <w:tcBorders>
              <w:bottom w:val="single" w:sz="8" w:color="D9D9D9"/>
            </w:tcBorders>
            <w:shd w:val="clear" w:color="auto" w:fill="D9D9D9"/>
          </w:tcPr>
          <w:p>
            <w:pPr>
              <w:jc w:val="right"/>
              <w:ind w:right="366"/>
              <w:spacing w:after="0"/>
              <w:rPr>
                <w:sz w:val="20"/>
                <w:szCs w:val="20"/>
                <w:color w:val="auto"/>
              </w:rPr>
            </w:pPr>
            <w:r>
              <w:rPr>
                <w:rFonts w:ascii="Arial" w:cs="Arial" w:eastAsia="Arial" w:hAnsi="Arial"/>
                <w:sz w:val="15"/>
                <w:szCs w:val="15"/>
                <w:b w:val="1"/>
                <w:bCs w:val="1"/>
                <w:color w:val="auto"/>
              </w:rPr>
              <w:t>(9,973)</w:t>
            </w:r>
          </w:p>
        </w:tc>
        <w:tc>
          <w:tcPr>
            <w:tcW w:w="1480" w:type="dxa"/>
            <w:vAlign w:val="bottom"/>
            <w:tcBorders>
              <w:bottom w:val="single" w:sz="8" w:color="D9D9D9"/>
            </w:tcBorders>
            <w:shd w:val="clear" w:color="auto" w:fill="D9D9D9"/>
          </w:tcPr>
          <w:p>
            <w:pPr>
              <w:jc w:val="right"/>
              <w:ind w:right="167"/>
              <w:spacing w:after="0"/>
              <w:rPr>
                <w:sz w:val="20"/>
                <w:szCs w:val="20"/>
                <w:color w:val="auto"/>
              </w:rPr>
            </w:pPr>
            <w:r>
              <w:rPr>
                <w:rFonts w:ascii="Arial" w:cs="Arial" w:eastAsia="Arial" w:hAnsi="Arial"/>
                <w:sz w:val="15"/>
                <w:szCs w:val="15"/>
                <w:color w:val="auto"/>
              </w:rPr>
              <w:t>(17,607)</w:t>
            </w:r>
          </w:p>
        </w:tc>
        <w:tc>
          <w:tcPr>
            <w:tcW w:w="1880" w:type="dxa"/>
            <w:vAlign w:val="bottom"/>
            <w:tcBorders>
              <w:bottom w:val="single" w:sz="8" w:color="D9D9D9"/>
            </w:tcBorders>
            <w:shd w:val="clear" w:color="auto" w:fill="D9D9D9"/>
          </w:tcPr>
          <w:p>
            <w:pPr>
              <w:jc w:val="right"/>
              <w:ind w:right="346"/>
              <w:spacing w:after="0"/>
              <w:rPr>
                <w:sz w:val="20"/>
                <w:szCs w:val="20"/>
                <w:color w:val="auto"/>
              </w:rPr>
            </w:pPr>
            <w:r>
              <w:rPr>
                <w:rFonts w:ascii="Arial" w:cs="Arial" w:eastAsia="Arial" w:hAnsi="Arial"/>
                <w:sz w:val="15"/>
                <w:szCs w:val="15"/>
                <w:b w:val="1"/>
                <w:bCs w:val="1"/>
                <w:color w:val="auto"/>
              </w:rPr>
              <w:t>(23,028)</w:t>
            </w:r>
          </w:p>
        </w:tc>
        <w:tc>
          <w:tcPr>
            <w:tcW w:w="132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5"/>
                <w:szCs w:val="15"/>
                <w:color w:val="auto"/>
              </w:rPr>
              <w:t>(32,324)</w:t>
            </w:r>
          </w:p>
        </w:tc>
        <w:tc>
          <w:tcPr>
            <w:tcW w:w="0" w:type="dxa"/>
            <w:vAlign w:val="bottom"/>
          </w:tcPr>
          <w:p>
            <w:pPr>
              <w:spacing w:after="0"/>
              <w:rPr>
                <w:sz w:val="1"/>
                <w:szCs w:val="1"/>
                <w:color w:val="auto"/>
              </w:rPr>
            </w:pPr>
          </w:p>
        </w:tc>
      </w:tr>
      <w:tr>
        <w:trPr>
          <w:trHeight w:val="404"/>
        </w:trPr>
        <w:tc>
          <w:tcPr>
            <w:tcW w:w="450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Basic loss per share for the period attributable to common</w:t>
            </w:r>
          </w:p>
        </w:tc>
        <w:tc>
          <w:tcPr>
            <w:tcW w:w="20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shareholders</w:t>
            </w: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(0.06)</w:t>
            </w: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(0.11)</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(0.13)</w:t>
            </w:r>
          </w:p>
        </w:tc>
        <w:tc>
          <w:tcPr>
            <w:tcW w:w="1320" w:type="dxa"/>
            <w:vAlign w:val="bottom"/>
          </w:tcPr>
          <w:p>
            <w:pPr>
              <w:jc w:val="right"/>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29"/>
        </w:trPr>
        <w:tc>
          <w:tcPr>
            <w:tcW w:w="45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Weighted average number of common shares outstanding -</w:t>
            </w:r>
          </w:p>
        </w:tc>
        <w:tc>
          <w:tcPr>
            <w:tcW w:w="2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500" w:type="dxa"/>
            <w:vAlign w:val="bottom"/>
          </w:tcPr>
          <w:p>
            <w:pPr>
              <w:ind w:left="60"/>
              <w:spacing w:after="0"/>
              <w:rPr>
                <w:sz w:val="20"/>
                <w:szCs w:val="20"/>
                <w:color w:val="auto"/>
              </w:rPr>
            </w:pPr>
            <w:r>
              <w:rPr>
                <w:rFonts w:ascii="Arial" w:cs="Arial" w:eastAsia="Arial" w:hAnsi="Arial"/>
                <w:sz w:val="15"/>
                <w:szCs w:val="15"/>
                <w:b w:val="1"/>
                <w:bCs w:val="1"/>
                <w:color w:val="auto"/>
              </w:rPr>
              <w:t>basic</w:t>
            </w:r>
          </w:p>
        </w:tc>
        <w:tc>
          <w:tcPr>
            <w:tcW w:w="2060" w:type="dxa"/>
            <w:vAlign w:val="bottom"/>
          </w:tcPr>
          <w:p>
            <w:pPr>
              <w:jc w:val="right"/>
              <w:ind w:right="366"/>
              <w:spacing w:after="0"/>
              <w:rPr>
                <w:sz w:val="20"/>
                <w:szCs w:val="20"/>
                <w:color w:val="auto"/>
              </w:rPr>
            </w:pPr>
            <w:r>
              <w:rPr>
                <w:rFonts w:ascii="Arial" w:cs="Arial" w:eastAsia="Arial" w:hAnsi="Arial"/>
                <w:sz w:val="15"/>
                <w:szCs w:val="15"/>
                <w:b w:val="1"/>
                <w:bCs w:val="1"/>
                <w:color w:val="auto"/>
              </w:rPr>
              <w:t>180,837,176</w:t>
            </w:r>
          </w:p>
        </w:tc>
        <w:tc>
          <w:tcPr>
            <w:tcW w:w="1480" w:type="dxa"/>
            <w:vAlign w:val="bottom"/>
          </w:tcPr>
          <w:p>
            <w:pPr>
              <w:jc w:val="right"/>
              <w:ind w:right="167"/>
              <w:spacing w:after="0"/>
              <w:rPr>
                <w:sz w:val="20"/>
                <w:szCs w:val="20"/>
                <w:color w:val="auto"/>
              </w:rPr>
            </w:pPr>
            <w:r>
              <w:rPr>
                <w:rFonts w:ascii="Arial" w:cs="Arial" w:eastAsia="Arial" w:hAnsi="Arial"/>
                <w:sz w:val="15"/>
                <w:szCs w:val="15"/>
                <w:color w:val="auto"/>
              </w:rPr>
              <w:t>165,783,294</w:t>
            </w:r>
          </w:p>
        </w:tc>
        <w:tc>
          <w:tcPr>
            <w:tcW w:w="1880" w:type="dxa"/>
            <w:vAlign w:val="bottom"/>
          </w:tcPr>
          <w:p>
            <w:pPr>
              <w:jc w:val="right"/>
              <w:ind w:right="346"/>
              <w:spacing w:after="0"/>
              <w:rPr>
                <w:sz w:val="20"/>
                <w:szCs w:val="20"/>
                <w:color w:val="auto"/>
              </w:rPr>
            </w:pPr>
            <w:r>
              <w:rPr>
                <w:rFonts w:ascii="Arial" w:cs="Arial" w:eastAsia="Arial" w:hAnsi="Arial"/>
                <w:sz w:val="15"/>
                <w:szCs w:val="15"/>
                <w:b w:val="1"/>
                <w:bCs w:val="1"/>
                <w:color w:val="auto"/>
              </w:rPr>
              <w:t>178,372,616</w:t>
            </w:r>
          </w:p>
        </w:tc>
        <w:tc>
          <w:tcPr>
            <w:tcW w:w="1320" w:type="dxa"/>
            <w:vAlign w:val="bottom"/>
          </w:tcPr>
          <w:p>
            <w:pPr>
              <w:jc w:val="right"/>
              <w:spacing w:after="0"/>
              <w:rPr>
                <w:sz w:val="20"/>
                <w:szCs w:val="20"/>
                <w:color w:val="auto"/>
              </w:rPr>
            </w:pPr>
            <w:r>
              <w:rPr>
                <w:rFonts w:ascii="Arial" w:cs="Arial" w:eastAsia="Arial" w:hAnsi="Arial"/>
                <w:sz w:val="15"/>
                <w:szCs w:val="15"/>
                <w:color w:val="auto"/>
              </w:rPr>
              <w:t>161,750,053</w:t>
            </w:r>
          </w:p>
        </w:tc>
        <w:tc>
          <w:tcPr>
            <w:tcW w:w="0" w:type="dxa"/>
            <w:vAlign w:val="bottom"/>
          </w:tcPr>
          <w:p>
            <w:pPr>
              <w:spacing w:after="0"/>
              <w:rPr>
                <w:sz w:val="1"/>
                <w:szCs w:val="1"/>
                <w:color w:val="auto"/>
              </w:rPr>
            </w:pPr>
          </w:p>
        </w:tc>
      </w:tr>
      <w:tr>
        <w:trPr>
          <w:trHeight w:val="29"/>
        </w:trPr>
        <w:tc>
          <w:tcPr>
            <w:tcW w:w="45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and six months ended September 30, 2022, Cybin incurred a net loss of $9,973 and $23,028, respectively, compared to a net loss of $17,607 and $32,324 during the same periods in prior year. During the six months period, the Company submitted an IND and received a “may proceed letter” and IND clearance from the FDA for its Phase 1/2a first-in-human clinical trial evaluating CYB003 as well as dosed its first patients in the trial. In addition, the Company announced the Asset Acquisition from Entheon to accelerate the clinical development path for CYB004 as well as further strengthened its intellectual property portfolio by entering into multiple licensing agreements that provide Cybin with additional access to IP from over 15 more patents or patent applications (see "Relationships with Third Parties").</w:t>
      </w:r>
    </w:p>
    <w:p>
      <w:pPr>
        <w:spacing w:after="0" w:line="20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During the three and six month periods, the Company was focused on progressing its various research programs and raising awareness of the Company and its industry.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Company established an at-the-market equity program (the “ATM Program”) that allows the Company to issue and sell up to US$35,000 of Common Shares in the capital of the Company from treasury to the public, from time to time. Distributions of Common Shares under the ATM Program, will be made pursuant to the terms and conditions of an “at-the-market equity” distribution agreement (the “Distribution Agreement”) dated August 8, 2022, entered into by and among the Company, Cantor Fitzgerald Canada Corporation and Cantor Fitzgerald &amp; Co. The ATM Program will be effective until the earlier of the issuance and sale of all of the Common Shares issuable pursuant to the ATM Program and August 5, 2023 unless earlier terminated in accordance with the terms of the Distribution Agreement. During the period ended September 30, 2022, the Company sold 5,331,630 Common Shares, of which 213,452 were not yet settled, at an average price of $0.9666 (US$0.7317) per Common share, for aggregate gross proceeds of $5,154 (US$3,901), of which $392 (US$285) was receivable at September 30,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70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three-month period ended September 30, 2022, operating expenses totaled $12,327. The operating expenses include a non-cash component of $1,072 (2021 - $5,457) related to share-based compensation. The remaining operating expenses were incurred to support raising capital, research &amp; development and the overall development of the Company.</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six-month period ended September 30, 2022, operating expenses totaled $25,722. The operating expenses include a non-cash component of $3,227 (2021 - $10,230) related to share-based compensation. The remaining operating expenses were incurred to support raising capital, research &amp; development and the overall development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three-month period ended September 30, 2022, the Company’s research expenses totaled $5,141 compared to $3,818 during the same period in prior year. Research expenses for the three-month period ended are comprised of advancement of the development programs of $2,400 (2021 - $1,892), payroll related expenses of $2,089 (2021 - $1,570), lab and administration expenses of $379 (2021 – $60), and professional and consulting fees of $273 (2021 - $296).</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six-month period ended September 30, 2022, the Company’s research expenses totaled $11,189 compared to $6,794 during the same period in prior year. Research expenses for the six-month period ended are comprised of advancement of the development programs of $5,992 (2021 - $3,058), payroll related expenses of $4,116 (2021 - 2,543), lab and administration expenses of $570 (2021 – $195), and professional and consulting fees of $511 (2021 - $998).</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date of this MD&amp;A, Cybin’s research and development team has completed over 200 preclinical studies supporting research and development advancement of proprietary psychedelic-based molecules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administration costs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three-month period ended September 30, 2022, general and administrative expenses were $6,114 compared to $7,831 during the same period in prior year. General and administrative expense for the three-month period are comprised of capital market expenses of $1,918 (2021 - $1,451), payroll related expenses of $1,559 (2021 - $2,349), office and administration expenses of $1,290 (2021 - $1,071), professional and consulting fees of $663 (2021 – $725), business development expenses of $288 (2021 - $917), listing fees of $137 (2021 – $236), investor relations expenses of $169 (2021 - $677), and marketing media fees of $90 (2021 - $405).</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six-month period ended September 30, 2022, general and administrative expenses were $11,306 compared to $14,021 during the same period in prior year. General and administrative expense for the six-month period are comprised of payroll related expenses of $3,245 (2021 - $3,573), capital market expenses of $2,264 (2021 - $3,192), office and administration expenses of $2,150 (2021 - $1,909), professional and consulting fees of $1,651 (2021 – $1,793), marketing media fees of $803 (2021 - $755), business development expenses of $538 (2021 - $1,432), investor relations expenses of $423 (2021 - $1,030), and listing fees of $232 (2021 – $337).</w:t>
      </w:r>
    </w:p>
    <w:p>
      <w:pPr>
        <w:spacing w:after="0" w:line="20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For both the three and six-month period ended September 30, 2022, the overall decrease in general and administrative expenses relates to a reduction in the marketing related spend to raise awareness of the Company and its industry. The Company continues to incur expenditures related to market awareness, some of which it considers one-time events, but to a lesser extent. The Company expects these expenses to decrease during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74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Share-based compensation</w:t>
      </w:r>
    </w:p>
    <w:p>
      <w:pPr>
        <w:spacing w:after="0" w:line="237"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During the three-month period ended September 30, 2022, Cybin issued warrants and options incurring share-based payment expense of $1,072 compared to $5,457 during the same period in prior year. The decrease is largely related to the timing of warrant and option grants.</w:t>
      </w:r>
    </w:p>
    <w:p>
      <w:pPr>
        <w:spacing w:after="0" w:line="138"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During the six-month period ended September 30, 2022, Cybin issued warrants and options incurring share-based payment expense of $3,227 compared to $10,230 during the same period in prior year. The decrease is largely related to the timing of warrant and option grants.</w:t>
      </w:r>
    </w:p>
    <w:p>
      <w:pPr>
        <w:spacing w:after="0" w:line="175"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The share-based compensation expense was recorded based on the fair value using a Black Scholes Model. On exercise of these warrants and options the equity reserve balances will move to share capital.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gain</w:t>
      </w:r>
    </w:p>
    <w:p>
      <w:pPr>
        <w:spacing w:after="0" w:line="225" w:lineRule="exact"/>
        <w:rPr>
          <w:sz w:val="20"/>
          <w:szCs w:val="20"/>
          <w:color w:val="auto"/>
        </w:rPr>
      </w:pPr>
    </w:p>
    <w:p>
      <w:pPr>
        <w:jc w:val="both"/>
        <w:ind w:right="20"/>
        <w:spacing w:after="0" w:line="346" w:lineRule="auto"/>
        <w:rPr>
          <w:sz w:val="20"/>
          <w:szCs w:val="20"/>
          <w:color w:val="auto"/>
        </w:rPr>
      </w:pPr>
      <w:r>
        <w:rPr>
          <w:rFonts w:ascii="Arial" w:cs="Arial" w:eastAsia="Arial" w:hAnsi="Arial"/>
          <w:sz w:val="16"/>
          <w:szCs w:val="16"/>
          <w:color w:val="auto"/>
        </w:rPr>
        <w:t>For the three-month period ended September 30, 2022, the Company incurred a foreign currency translation gain from operations and revaluation of balance sheet assets held in U.S. dollars of $2,189. The U.S. dollar increased $0.0821 from $1.2886 on June 30, 2022 to $1.3707 on September 30, 2022.</w:t>
      </w:r>
    </w:p>
    <w:p>
      <w:pPr>
        <w:spacing w:after="0" w:line="105"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For the six-month period ended September 30, 2022, the Company incurred a foreign currency translation gain from operations and revaluation of balance sheet assets held in U.S. dollars of $2,714. The U.S. dollar increased $0.1211 from $1.2496 on March 31, 2022 to $1.3707 on September 30,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37"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For the three-month period ended September 30, 2022, the Company recorded interest income of $174 compared to $51 during the same period in prior year. The increase is largely related to an increase in interest rates being earned on cash balances.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For the six-month period ended September 30, 2022, the Company recorded interest income of $298 compared to $95 during the same period in prior year.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largely related to an increase in interest rates being earned on cash balances.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accretion</w:t>
      </w:r>
    </w:p>
    <w:p>
      <w:pPr>
        <w:spacing w:after="0" w:line="21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three and six month periods ended September 30, 2022 and 2021, the contingent consideration accretion related to the commitments to the former shareholders of Adelia based on milestone achievements (see “Acquisitions”). As of September 30, 2022, all of the milestones related to the Adelia Transaction had been achieved.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contingent consideration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 periods ended September 30, 2022 and 2021, the Company recorded a change in fair value related to the achievement of certain milestones in connection with the Adelia Transaction (see “Acquisitions”). The amount recorded represents the difference between the fair value of the contingent consideration determined as at June 30, 2022 and March 31, 2022 and the fair value on September 30, 2022. As of September 30, 2022, all of the milestones related to the Adelia Transaction had been achieved.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200"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On March 11, 2020, the World Health Organization declared the outbreak of COVID-19 a pandemic. Since the outbreak of COVID-19, the Company has focused its efforts on safeguarding the health and well-being of 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320" w:top="925" w:right="31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employees, consultants and community members. To help slow the spread of COVID-19, the Company’s employees have been working remotely, where possible, and abiding by local and national guidance put in place in Canada, the United States, and the UK related to social distancing and restrictions on travel outside of the home. The Company has and will continue to abide by the protocols within Canada, the United States, and the UK regarding the performance of work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the Company</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and six-month periods ended September 30, 2022, the Company has not experienced any material negative effect on its financial position as a result of COVID-19. Certain operating expenses of the Company, such as those relating to travel and office expenses, have been less than they would have been without the restrictions relating to COVID-19.</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duration and the eventual impact of the COVID-19 pandemic remains unknown. In particular, it is not possible to reliably estimate the length and severity of these developments and the impact on the financial results and condition of the Company.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Company are suspended or scaled back, or if the Company’s supply chains are disrupted, such events may have a material adverse effect on the Company. The Company may also experience delays in operation of its clinical trials due to slower administrative processes and response times, delayed patient recruitments, and delayed governmental approvals of import and export requests caused by the COVID-19 pandemic and the related restrictions. The breadth of the impact of the COVID-19 pandemic on investors, businesses, the global economy and financial and commodity markets may also have a material adverse effect on the Company.</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raised capital pursuant to the Company’s final prospectus dated February 1, 2021 (the “</w:t>
      </w:r>
      <w:r>
        <w:rPr>
          <w:rFonts w:ascii="Arial" w:cs="Arial" w:eastAsia="Arial" w:hAnsi="Arial"/>
          <w:sz w:val="17"/>
          <w:szCs w:val="17"/>
          <w:b w:val="1"/>
          <w:bCs w:val="1"/>
          <w:color w:val="auto"/>
        </w:rPr>
        <w:t>February 2021 Prospectus</w:t>
      </w:r>
      <w:r>
        <w:rPr>
          <w:rFonts w:ascii="Arial" w:cs="Arial" w:eastAsia="Arial" w:hAnsi="Arial"/>
          <w:sz w:val="17"/>
          <w:szCs w:val="17"/>
          <w:color w:val="auto"/>
        </w:rPr>
        <w:t>”) and the Company’s prospectus supplement, to the short form base shelf prospectus, July 5, 2021 (the “</w:t>
      </w:r>
      <w:r>
        <w:rPr>
          <w:rFonts w:ascii="Arial" w:cs="Arial" w:eastAsia="Arial" w:hAnsi="Arial"/>
          <w:sz w:val="17"/>
          <w:szCs w:val="17"/>
          <w:b w:val="1"/>
          <w:bCs w:val="1"/>
          <w:color w:val="auto"/>
        </w:rPr>
        <w:t>Base Prospectus</w:t>
      </w:r>
      <w:r>
        <w:rPr>
          <w:rFonts w:ascii="Arial" w:cs="Arial" w:eastAsia="Arial" w:hAnsi="Arial"/>
          <w:sz w:val="17"/>
          <w:szCs w:val="17"/>
          <w:color w:val="auto"/>
        </w:rPr>
        <w:t>”), dated July 28, 2021 (the “</w:t>
      </w:r>
      <w:r>
        <w:rPr>
          <w:rFonts w:ascii="Arial" w:cs="Arial" w:eastAsia="Arial" w:hAnsi="Arial"/>
          <w:sz w:val="17"/>
          <w:szCs w:val="17"/>
          <w:b w:val="1"/>
          <w:bCs w:val="1"/>
          <w:color w:val="auto"/>
        </w:rPr>
        <w:t>July Prospectus</w:t>
      </w:r>
      <w:r>
        <w:rPr>
          <w:rFonts w:ascii="Arial" w:cs="Arial" w:eastAsia="Arial" w:hAnsi="Arial"/>
          <w:sz w:val="17"/>
          <w:szCs w:val="17"/>
          <w:color w:val="auto"/>
        </w:rPr>
        <w:t xml:space="preserve"> </w:t>
      </w:r>
      <w:r>
        <w:rPr>
          <w:rFonts w:ascii="Arial" w:cs="Arial" w:eastAsia="Arial" w:hAnsi="Arial"/>
          <w:sz w:val="17"/>
          <w:szCs w:val="17"/>
          <w:b w:val="1"/>
          <w:bCs w:val="1"/>
          <w:color w:val="auto"/>
        </w:rPr>
        <w:t>Supplement</w:t>
      </w:r>
      <w:r>
        <w:rPr>
          <w:rFonts w:ascii="Arial" w:cs="Arial" w:eastAsia="Arial" w:hAnsi="Arial"/>
          <w:sz w:val="17"/>
          <w:szCs w:val="17"/>
          <w:color w:val="auto"/>
        </w:rPr>
        <w:t>”). In addition, the Company is currently raising capital through its ATM Program which is qualified by way of a prospectus supplement dated</w:t>
      </w:r>
      <w:r>
        <w:rPr>
          <w:rFonts w:ascii="Arial" w:cs="Arial" w:eastAsia="Arial" w:hAnsi="Arial"/>
          <w:sz w:val="17"/>
          <w:szCs w:val="17"/>
          <w:b w:val="1"/>
          <w:bCs w:val="1"/>
          <w:color w:val="auto"/>
        </w:rPr>
        <w:t xml:space="preserve"> </w:t>
      </w:r>
      <w:r>
        <w:rPr>
          <w:rFonts w:ascii="Arial" w:cs="Arial" w:eastAsia="Arial" w:hAnsi="Arial"/>
          <w:sz w:val="17"/>
          <w:szCs w:val="17"/>
          <w:color w:val="auto"/>
        </w:rPr>
        <w:t>August 8, 2022, to the Base Prospectus,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Capital Resources and Cash Flows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120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5"/>
                <w:szCs w:val="15"/>
                <w:b w:val="1"/>
                <w:bCs w:val="1"/>
                <w:color w:val="auto"/>
              </w:rPr>
              <w:t>Six Months ended</w:t>
            </w:r>
          </w:p>
        </w:tc>
        <w:tc>
          <w:tcPr>
            <w:tcW w:w="8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r>
      <w:tr>
        <w:trPr>
          <w:trHeight w:val="220"/>
        </w:trPr>
        <w:tc>
          <w:tcPr>
            <w:tcW w:w="3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w w:val="87"/>
              </w:rPr>
              <w:t>September 30,</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b w:val="1"/>
                <w:bCs w:val="1"/>
                <w:color w:val="auto"/>
              </w:rPr>
              <w:t>Change</w:t>
            </w:r>
          </w:p>
        </w:tc>
        <w:tc>
          <w:tcPr>
            <w:tcW w:w="46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1200" w:type="dxa"/>
            <w:vAlign w:val="bottom"/>
            <w:tcBorders>
              <w:bottom w:val="single" w:sz="8" w:color="DBDBDB"/>
            </w:tcBorders>
            <w:gridSpan w:val="2"/>
            <w:shd w:val="clear" w:color="auto" w:fill="DBDBDB"/>
          </w:tcPr>
          <w:p>
            <w:pPr>
              <w:ind w:left="660"/>
              <w:spacing w:after="0"/>
              <w:rPr>
                <w:sz w:val="20"/>
                <w:szCs w:val="20"/>
                <w:color w:val="auto"/>
              </w:rPr>
            </w:pPr>
            <w:r>
              <w:rPr>
                <w:rFonts w:ascii="Arial" w:cs="Arial" w:eastAsia="Arial" w:hAnsi="Arial"/>
                <w:sz w:val="15"/>
                <w:szCs w:val="15"/>
                <w:b w:val="1"/>
                <w:bCs w:val="1"/>
                <w:color w:val="auto"/>
                <w:w w:val="94"/>
              </w:rPr>
              <w:t>Change</w:t>
            </w:r>
          </w:p>
        </w:tc>
        <w:tc>
          <w:tcPr>
            <w:tcW w:w="46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r>
      <w:tr>
        <w:trPr>
          <w:trHeight w:val="224"/>
        </w:trPr>
        <w:tc>
          <w:tcPr>
            <w:tcW w:w="3840" w:type="dxa"/>
            <w:vAlign w:val="bottom"/>
          </w:tcPr>
          <w:p>
            <w:pPr>
              <w:ind w:left="20"/>
              <w:spacing w:after="0"/>
              <w:rPr>
                <w:sz w:val="20"/>
                <w:szCs w:val="20"/>
                <w:color w:val="auto"/>
              </w:rPr>
            </w:pPr>
            <w:r>
              <w:rPr>
                <w:rFonts w:ascii="Arial" w:cs="Arial" w:eastAsia="Arial" w:hAnsi="Arial"/>
                <w:sz w:val="15"/>
                <w:szCs w:val="15"/>
                <w:i w:val="1"/>
                <w:iCs w:val="1"/>
                <w:color w:val="auto"/>
              </w:rPr>
              <w:t>(Canadian dollars in thousands)</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5"/>
                <w:szCs w:val="15"/>
                <w:b w:val="1"/>
                <w:bCs w:val="1"/>
                <w:color w:val="auto"/>
              </w:rPr>
              <w:t>2022</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5"/>
                <w:szCs w:val="15"/>
                <w:b w:val="1"/>
                <w:bCs w:val="1"/>
                <w:color w:val="auto"/>
              </w:rPr>
              <w:t>2021</w:t>
            </w:r>
          </w:p>
        </w:tc>
        <w:tc>
          <w:tcPr>
            <w:tcW w:w="1200" w:type="dxa"/>
            <w:vAlign w:val="bottom"/>
            <w:tcBorders>
              <w:top w:val="single" w:sz="8" w:color="929292"/>
              <w:bottom w:val="single" w:sz="8" w:color="DBDBDB"/>
            </w:tcBorders>
            <w:shd w:val="clear" w:color="auto" w:fill="DBDBDB"/>
          </w:tcPr>
          <w:p>
            <w:pPr>
              <w:jc w:val="right"/>
              <w:ind w:right="667"/>
              <w:spacing w:after="0"/>
              <w:rPr>
                <w:sz w:val="20"/>
                <w:szCs w:val="20"/>
                <w:color w:val="auto"/>
              </w:rPr>
            </w:pPr>
            <w:r>
              <w:rPr>
                <w:rFonts w:ascii="Arial" w:cs="Arial" w:eastAsia="Arial" w:hAnsi="Arial"/>
                <w:sz w:val="15"/>
                <w:szCs w:val="15"/>
                <w:b w:val="1"/>
                <w:bCs w:val="1"/>
                <w:color w:val="auto"/>
              </w:rPr>
              <w:t>$</w:t>
            </w:r>
          </w:p>
        </w:tc>
        <w:tc>
          <w:tcPr>
            <w:tcW w:w="460" w:type="dxa"/>
            <w:vAlign w:val="bottom"/>
            <w:tcBorders>
              <w:top w:val="single" w:sz="8" w:color="929292"/>
              <w:bottom w:val="single" w:sz="8" w:color="DBDBDB"/>
            </w:tcBorders>
            <w:shd w:val="clear" w:color="auto" w:fill="DBDBDB"/>
          </w:tcPr>
          <w:p>
            <w:pPr>
              <w:jc w:val="right"/>
              <w:ind w:right="187"/>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929292"/>
              <w:bottom w:val="single" w:sz="8" w:color="DBDBDB"/>
            </w:tcBorders>
            <w:shd w:val="clear" w:color="auto" w:fill="DBDBDB"/>
          </w:tcPr>
          <w:p>
            <w:pPr>
              <w:spacing w:after="0"/>
              <w:rPr>
                <w:sz w:val="19"/>
                <w:szCs w:val="19"/>
                <w:color w:val="auto"/>
              </w:rPr>
            </w:pPr>
          </w:p>
        </w:tc>
        <w:tc>
          <w:tcPr>
            <w:tcW w:w="1000" w:type="dxa"/>
            <w:vAlign w:val="bottom"/>
            <w:tcBorders>
              <w:top w:val="single" w:sz="8" w:color="929292"/>
            </w:tcBorders>
          </w:tcPr>
          <w:p>
            <w:pPr>
              <w:jc w:val="right"/>
              <w:ind w:right="87"/>
              <w:spacing w:after="0"/>
              <w:rPr>
                <w:sz w:val="20"/>
                <w:szCs w:val="20"/>
                <w:color w:val="auto"/>
              </w:rPr>
            </w:pPr>
            <w:r>
              <w:rPr>
                <w:rFonts w:ascii="Arial" w:cs="Arial" w:eastAsia="Arial" w:hAnsi="Arial"/>
                <w:sz w:val="15"/>
                <w:szCs w:val="15"/>
                <w:b w:val="1"/>
                <w:bCs w:val="1"/>
                <w:color w:val="auto"/>
              </w:rPr>
              <w:t>2022</w:t>
            </w:r>
          </w:p>
        </w:tc>
        <w:tc>
          <w:tcPr>
            <w:tcW w:w="700" w:type="dxa"/>
            <w:vAlign w:val="bottom"/>
            <w:tcBorders>
              <w:top w:val="single" w:sz="8" w:color="929292"/>
            </w:tcBorders>
          </w:tcPr>
          <w:p>
            <w:pPr>
              <w:jc w:val="right"/>
              <w:spacing w:after="0"/>
              <w:rPr>
                <w:sz w:val="20"/>
                <w:szCs w:val="20"/>
                <w:color w:val="auto"/>
              </w:rPr>
            </w:pPr>
            <w:r>
              <w:rPr>
                <w:rFonts w:ascii="Arial" w:cs="Arial" w:eastAsia="Arial" w:hAnsi="Arial"/>
                <w:sz w:val="15"/>
                <w:szCs w:val="15"/>
                <w:b w:val="1"/>
                <w:bCs w:val="1"/>
                <w:color w:val="auto"/>
              </w:rPr>
              <w:t>2021</w:t>
            </w:r>
          </w:p>
        </w:tc>
        <w:tc>
          <w:tcPr>
            <w:tcW w:w="840" w:type="dxa"/>
            <w:vAlign w:val="bottom"/>
            <w:tcBorders>
              <w:top w:val="single" w:sz="8" w:color="929292"/>
              <w:bottom w:val="single" w:sz="8" w:color="DBDBDB"/>
            </w:tcBorders>
            <w:shd w:val="clear" w:color="auto" w:fill="DBDBDB"/>
          </w:tcPr>
          <w:p>
            <w:pPr>
              <w:jc w:val="right"/>
              <w:ind w:right="307"/>
              <w:spacing w:after="0"/>
              <w:rPr>
                <w:sz w:val="20"/>
                <w:szCs w:val="20"/>
                <w:color w:val="auto"/>
              </w:rPr>
            </w:pPr>
            <w:r>
              <w:rPr>
                <w:rFonts w:ascii="Arial" w:cs="Arial" w:eastAsia="Arial" w:hAnsi="Arial"/>
                <w:sz w:val="15"/>
                <w:szCs w:val="15"/>
                <w:b w:val="1"/>
                <w:bCs w:val="1"/>
                <w:color w:val="auto"/>
              </w:rPr>
              <w:t>$</w:t>
            </w:r>
          </w:p>
        </w:tc>
        <w:tc>
          <w:tcPr>
            <w:tcW w:w="360" w:type="dxa"/>
            <w:vAlign w:val="bottom"/>
            <w:tcBorders>
              <w:top w:val="single" w:sz="8" w:color="929292"/>
              <w:bottom w:val="single" w:sz="8" w:color="DBDBDB"/>
            </w:tcBorders>
            <w:shd w:val="clear" w:color="auto" w:fill="DBDBDB"/>
          </w:tcPr>
          <w:p>
            <w:pPr>
              <w:spacing w:after="0"/>
              <w:rPr>
                <w:sz w:val="19"/>
                <w:szCs w:val="19"/>
                <w:color w:val="auto"/>
              </w:rPr>
            </w:pPr>
          </w:p>
        </w:tc>
        <w:tc>
          <w:tcPr>
            <w:tcW w:w="460" w:type="dxa"/>
            <w:vAlign w:val="bottom"/>
            <w:tcBorders>
              <w:top w:val="single" w:sz="8" w:color="929292"/>
              <w:bottom w:val="single" w:sz="8" w:color="DBDBDB"/>
            </w:tcBorders>
            <w:shd w:val="clear" w:color="auto" w:fill="DBDBDB"/>
          </w:tcPr>
          <w:p>
            <w:pPr>
              <w:jc w:val="right"/>
              <w:ind w:right="187"/>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929292"/>
              <w:bottom w:val="single" w:sz="8" w:color="DBDBDB"/>
            </w:tcBorders>
            <w:shd w:val="clear" w:color="auto" w:fill="DBDBDB"/>
          </w:tcPr>
          <w:p>
            <w:pPr>
              <w:spacing w:after="0"/>
              <w:rPr>
                <w:sz w:val="19"/>
                <w:szCs w:val="19"/>
                <w:color w:val="auto"/>
              </w:rPr>
            </w:pPr>
          </w:p>
        </w:tc>
      </w:tr>
      <w:tr>
        <w:trPr>
          <w:trHeight w:val="195"/>
        </w:trPr>
        <w:tc>
          <w:tcPr>
            <w:tcW w:w="3840" w:type="dxa"/>
            <w:vAlign w:val="bottom"/>
            <w:tcBorders>
              <w:top w:val="single" w:sz="8" w:color="B6B6B6"/>
            </w:tcBorders>
          </w:tcPr>
          <w:p>
            <w:pPr>
              <w:ind w:left="20"/>
              <w:spacing w:after="0"/>
              <w:rPr>
                <w:sz w:val="20"/>
                <w:szCs w:val="20"/>
                <w:color w:val="auto"/>
              </w:rPr>
            </w:pPr>
            <w:r>
              <w:rPr>
                <w:rFonts w:ascii="Arial" w:cs="Arial" w:eastAsia="Arial" w:hAnsi="Arial"/>
                <w:sz w:val="15"/>
                <w:szCs w:val="15"/>
                <w:color w:val="auto"/>
              </w:rPr>
              <w:t>Net cash used in operating activities</w:t>
            </w:r>
          </w:p>
        </w:tc>
        <w:tc>
          <w:tcPr>
            <w:tcW w:w="960" w:type="dxa"/>
            <w:vAlign w:val="bottom"/>
            <w:tcBorders>
              <w:top w:val="single" w:sz="8" w:color="B6B6B6"/>
            </w:tcBorders>
          </w:tcPr>
          <w:p>
            <w:pPr>
              <w:jc w:val="right"/>
              <w:spacing w:after="0"/>
              <w:rPr>
                <w:sz w:val="20"/>
                <w:szCs w:val="20"/>
                <w:color w:val="auto"/>
              </w:rPr>
            </w:pPr>
            <w:r>
              <w:rPr>
                <w:rFonts w:ascii="Arial" w:cs="Arial" w:eastAsia="Arial" w:hAnsi="Arial"/>
                <w:sz w:val="15"/>
                <w:szCs w:val="15"/>
                <w:b w:val="1"/>
                <w:bCs w:val="1"/>
                <w:color w:val="auto"/>
              </w:rPr>
              <w:t>(14,683)</w:t>
            </w:r>
          </w:p>
        </w:tc>
        <w:tc>
          <w:tcPr>
            <w:tcW w:w="940" w:type="dxa"/>
            <w:vAlign w:val="bottom"/>
            <w:tcBorders>
              <w:top w:val="single" w:sz="8" w:color="B6B6B6"/>
            </w:tcBorders>
          </w:tcPr>
          <w:p>
            <w:pPr>
              <w:jc w:val="right"/>
              <w:spacing w:after="0"/>
              <w:rPr>
                <w:sz w:val="20"/>
                <w:szCs w:val="20"/>
                <w:color w:val="auto"/>
              </w:rPr>
            </w:pPr>
            <w:r>
              <w:rPr>
                <w:rFonts w:ascii="Arial" w:cs="Arial" w:eastAsia="Arial" w:hAnsi="Arial"/>
                <w:sz w:val="15"/>
                <w:szCs w:val="15"/>
                <w:color w:val="auto"/>
              </w:rPr>
              <w:t>(13,792)</w:t>
            </w:r>
          </w:p>
        </w:tc>
        <w:tc>
          <w:tcPr>
            <w:tcW w:w="1200" w:type="dxa"/>
            <w:vAlign w:val="bottom"/>
            <w:tcBorders>
              <w:top w:val="single" w:sz="8" w:color="B6B6B6"/>
            </w:tcBorders>
            <w:shd w:val="clear" w:color="auto" w:fill="DBDBDB"/>
          </w:tcPr>
          <w:p>
            <w:pPr>
              <w:jc w:val="right"/>
              <w:ind w:right="307"/>
              <w:spacing w:after="0"/>
              <w:rPr>
                <w:sz w:val="20"/>
                <w:szCs w:val="20"/>
                <w:color w:val="auto"/>
              </w:rPr>
            </w:pPr>
            <w:r>
              <w:rPr>
                <w:rFonts w:ascii="Arial" w:cs="Arial" w:eastAsia="Arial" w:hAnsi="Arial"/>
                <w:sz w:val="15"/>
                <w:szCs w:val="15"/>
                <w:color w:val="auto"/>
              </w:rPr>
              <w:t>(891)</w:t>
            </w:r>
          </w:p>
        </w:tc>
        <w:tc>
          <w:tcPr>
            <w:tcW w:w="600" w:type="dxa"/>
            <w:vAlign w:val="bottom"/>
            <w:tcBorders>
              <w:top w:val="single" w:sz="8" w:color="B6B6B6"/>
            </w:tcBorders>
            <w:gridSpan w:val="2"/>
            <w:shd w:val="clear" w:color="auto" w:fill="DBDBDB"/>
          </w:tcPr>
          <w:p>
            <w:pPr>
              <w:jc w:val="right"/>
              <w:spacing w:after="0"/>
              <w:rPr>
                <w:sz w:val="20"/>
                <w:szCs w:val="20"/>
                <w:color w:val="auto"/>
              </w:rPr>
            </w:pPr>
            <w:r>
              <w:rPr>
                <w:rFonts w:ascii="Arial" w:cs="Arial" w:eastAsia="Arial" w:hAnsi="Arial"/>
                <w:sz w:val="15"/>
                <w:szCs w:val="15"/>
                <w:color w:val="auto"/>
              </w:rPr>
              <w:t>6 %</w:t>
            </w:r>
          </w:p>
        </w:tc>
        <w:tc>
          <w:tcPr>
            <w:tcW w:w="1000" w:type="dxa"/>
            <w:vAlign w:val="bottom"/>
            <w:tcBorders>
              <w:top w:val="single" w:sz="8" w:color="B6B6B6"/>
            </w:tcBorders>
          </w:tcPr>
          <w:p>
            <w:pPr>
              <w:jc w:val="right"/>
              <w:ind w:right="107"/>
              <w:spacing w:after="0"/>
              <w:rPr>
                <w:sz w:val="20"/>
                <w:szCs w:val="20"/>
                <w:color w:val="auto"/>
              </w:rPr>
            </w:pPr>
            <w:r>
              <w:rPr>
                <w:rFonts w:ascii="Arial" w:cs="Arial" w:eastAsia="Arial" w:hAnsi="Arial"/>
                <w:sz w:val="15"/>
                <w:szCs w:val="15"/>
                <w:b w:val="1"/>
                <w:bCs w:val="1"/>
                <w:color w:val="auto"/>
              </w:rPr>
              <w:t>(25,822)</w:t>
            </w:r>
          </w:p>
        </w:tc>
        <w:tc>
          <w:tcPr>
            <w:tcW w:w="700" w:type="dxa"/>
            <w:vAlign w:val="bottom"/>
            <w:tcBorders>
              <w:top w:val="single" w:sz="8" w:color="B6B6B6"/>
            </w:tcBorders>
          </w:tcPr>
          <w:p>
            <w:pPr>
              <w:jc w:val="right"/>
              <w:spacing w:after="0"/>
              <w:rPr>
                <w:sz w:val="20"/>
                <w:szCs w:val="20"/>
                <w:color w:val="auto"/>
              </w:rPr>
            </w:pPr>
            <w:r>
              <w:rPr>
                <w:rFonts w:ascii="Arial" w:cs="Arial" w:eastAsia="Arial" w:hAnsi="Arial"/>
                <w:sz w:val="15"/>
                <w:szCs w:val="15"/>
                <w:color w:val="auto"/>
              </w:rPr>
              <w:t>(22,672)</w:t>
            </w:r>
          </w:p>
        </w:tc>
        <w:tc>
          <w:tcPr>
            <w:tcW w:w="84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5"/>
                <w:szCs w:val="15"/>
                <w:color w:val="auto"/>
              </w:rPr>
              <w:t>(3,150)</w:t>
            </w:r>
          </w:p>
        </w:tc>
        <w:tc>
          <w:tcPr>
            <w:tcW w:w="360" w:type="dxa"/>
            <w:vAlign w:val="bottom"/>
            <w:tcBorders>
              <w:top w:val="single" w:sz="8" w:color="B6B6B6"/>
            </w:tcBorders>
            <w:shd w:val="clear" w:color="auto" w:fill="DBDBDB"/>
          </w:tcPr>
          <w:p>
            <w:pPr>
              <w:spacing w:after="0"/>
              <w:rPr>
                <w:sz w:val="16"/>
                <w:szCs w:val="16"/>
                <w:color w:val="auto"/>
              </w:rPr>
            </w:pPr>
          </w:p>
        </w:tc>
        <w:tc>
          <w:tcPr>
            <w:tcW w:w="620" w:type="dxa"/>
            <w:vAlign w:val="bottom"/>
            <w:tcBorders>
              <w:top w:val="single" w:sz="8" w:color="B6B6B6"/>
            </w:tcBorders>
            <w:gridSpan w:val="2"/>
            <w:shd w:val="clear" w:color="auto" w:fill="DBDBDB"/>
          </w:tcPr>
          <w:p>
            <w:pPr>
              <w:jc w:val="right"/>
              <w:spacing w:after="0"/>
              <w:rPr>
                <w:sz w:val="20"/>
                <w:szCs w:val="20"/>
                <w:color w:val="auto"/>
              </w:rPr>
            </w:pPr>
            <w:r>
              <w:rPr>
                <w:rFonts w:ascii="Arial" w:cs="Arial" w:eastAsia="Arial" w:hAnsi="Arial"/>
                <w:sz w:val="15"/>
                <w:szCs w:val="15"/>
                <w:color w:val="auto"/>
              </w:rPr>
              <w:t>14 %</w:t>
            </w:r>
          </w:p>
        </w:tc>
      </w:tr>
      <w:tr>
        <w:trPr>
          <w:trHeight w:val="232"/>
        </w:trPr>
        <w:tc>
          <w:tcPr>
            <w:tcW w:w="384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(2,676)</w:t>
            </w:r>
          </w:p>
        </w:tc>
        <w:tc>
          <w:tcPr>
            <w:tcW w:w="940" w:type="dxa"/>
            <w:vAlign w:val="bottom"/>
          </w:tcPr>
          <w:p>
            <w:pPr>
              <w:jc w:val="right"/>
              <w:spacing w:after="0"/>
              <w:rPr>
                <w:sz w:val="20"/>
                <w:szCs w:val="20"/>
                <w:color w:val="auto"/>
              </w:rPr>
            </w:pPr>
            <w:r>
              <w:rPr>
                <w:rFonts w:ascii="Arial" w:cs="Arial" w:eastAsia="Arial" w:hAnsi="Arial"/>
                <w:sz w:val="15"/>
                <w:szCs w:val="15"/>
                <w:color w:val="auto"/>
              </w:rPr>
              <w:t>(88)</w:t>
            </w:r>
          </w:p>
        </w:tc>
        <w:tc>
          <w:tcPr>
            <w:tcW w:w="1200" w:type="dxa"/>
            <w:vAlign w:val="bottom"/>
            <w:shd w:val="clear" w:color="auto" w:fill="DBDBDB"/>
          </w:tcPr>
          <w:p>
            <w:pPr>
              <w:jc w:val="right"/>
              <w:ind w:right="307"/>
              <w:spacing w:after="0"/>
              <w:rPr>
                <w:sz w:val="20"/>
                <w:szCs w:val="20"/>
                <w:color w:val="auto"/>
              </w:rPr>
            </w:pPr>
            <w:r>
              <w:rPr>
                <w:rFonts w:ascii="Arial" w:cs="Arial" w:eastAsia="Arial" w:hAnsi="Arial"/>
                <w:sz w:val="15"/>
                <w:szCs w:val="15"/>
                <w:color w:val="auto"/>
              </w:rPr>
              <w:t>(2,588)</w:t>
            </w:r>
          </w:p>
        </w:tc>
        <w:tc>
          <w:tcPr>
            <w:tcW w:w="6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2941 %</w:t>
            </w:r>
          </w:p>
        </w:tc>
        <w:tc>
          <w:tcPr>
            <w:tcW w:w="1000" w:type="dxa"/>
            <w:vAlign w:val="bottom"/>
          </w:tcPr>
          <w:p>
            <w:pPr>
              <w:jc w:val="right"/>
              <w:ind w:right="107"/>
              <w:spacing w:after="0"/>
              <w:rPr>
                <w:sz w:val="20"/>
                <w:szCs w:val="20"/>
                <w:color w:val="auto"/>
              </w:rPr>
            </w:pPr>
            <w:r>
              <w:rPr>
                <w:rFonts w:ascii="Arial" w:cs="Arial" w:eastAsia="Arial" w:hAnsi="Arial"/>
                <w:sz w:val="15"/>
                <w:szCs w:val="15"/>
                <w:b w:val="1"/>
                <w:bCs w:val="1"/>
                <w:color w:val="auto"/>
              </w:rPr>
              <w:t>(2,884)</w:t>
            </w:r>
          </w:p>
        </w:tc>
        <w:tc>
          <w:tcPr>
            <w:tcW w:w="700" w:type="dxa"/>
            <w:vAlign w:val="bottom"/>
          </w:tcPr>
          <w:p>
            <w:pPr>
              <w:jc w:val="right"/>
              <w:spacing w:after="0"/>
              <w:rPr>
                <w:sz w:val="20"/>
                <w:szCs w:val="20"/>
                <w:color w:val="auto"/>
              </w:rPr>
            </w:pPr>
            <w:r>
              <w:rPr>
                <w:rFonts w:ascii="Arial" w:cs="Arial" w:eastAsia="Arial" w:hAnsi="Arial"/>
                <w:sz w:val="15"/>
                <w:szCs w:val="15"/>
                <w:color w:val="auto"/>
              </w:rPr>
              <w:t>(483)</w:t>
            </w:r>
          </w:p>
        </w:tc>
        <w:tc>
          <w:tcPr>
            <w:tcW w:w="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(2,401)</w:t>
            </w:r>
          </w:p>
        </w:tc>
        <w:tc>
          <w:tcPr>
            <w:tcW w:w="360" w:type="dxa"/>
            <w:vAlign w:val="bottom"/>
            <w:shd w:val="clear" w:color="auto" w:fill="DBDBDB"/>
          </w:tcPr>
          <w:p>
            <w:pPr>
              <w:spacing w:after="0"/>
              <w:rPr>
                <w:sz w:val="20"/>
                <w:szCs w:val="20"/>
                <w:color w:val="auto"/>
              </w:rPr>
            </w:pPr>
          </w:p>
        </w:tc>
        <w:tc>
          <w:tcPr>
            <w:tcW w:w="6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497 %</w:t>
            </w:r>
          </w:p>
        </w:tc>
      </w:tr>
      <w:tr>
        <w:trPr>
          <w:trHeight w:val="261"/>
        </w:trPr>
        <w:tc>
          <w:tcPr>
            <w:tcW w:w="3840" w:type="dxa"/>
            <w:vAlign w:val="bottom"/>
          </w:tcPr>
          <w:p>
            <w:pPr>
              <w:ind w:left="20"/>
              <w:spacing w:after="0"/>
              <w:rPr>
                <w:sz w:val="20"/>
                <w:szCs w:val="20"/>
                <w:color w:val="auto"/>
              </w:rPr>
            </w:pPr>
            <w:r>
              <w:rPr>
                <w:rFonts w:ascii="Arial" w:cs="Arial" w:eastAsia="Arial" w:hAnsi="Arial"/>
                <w:sz w:val="15"/>
                <w:szCs w:val="15"/>
                <w:color w:val="auto"/>
              </w:rPr>
              <w:t>Net cash from financing activities</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4,646</w:t>
            </w:r>
          </w:p>
        </w:tc>
        <w:tc>
          <w:tcPr>
            <w:tcW w:w="940" w:type="dxa"/>
            <w:vAlign w:val="bottom"/>
          </w:tcPr>
          <w:p>
            <w:pPr>
              <w:jc w:val="right"/>
              <w:spacing w:after="0"/>
              <w:rPr>
                <w:sz w:val="20"/>
                <w:szCs w:val="20"/>
                <w:color w:val="auto"/>
              </w:rPr>
            </w:pPr>
            <w:r>
              <w:rPr>
                <w:rFonts w:ascii="Arial" w:cs="Arial" w:eastAsia="Arial" w:hAnsi="Arial"/>
                <w:sz w:val="15"/>
                <w:szCs w:val="15"/>
                <w:color w:val="auto"/>
              </w:rPr>
              <w:t>33,981</w:t>
            </w:r>
          </w:p>
        </w:tc>
        <w:tc>
          <w:tcPr>
            <w:tcW w:w="1200" w:type="dxa"/>
            <w:vAlign w:val="bottom"/>
            <w:tcBorders>
              <w:bottom w:val="single" w:sz="8" w:color="DBDBDB"/>
            </w:tcBorders>
            <w:shd w:val="clear" w:color="auto" w:fill="DBDBDB"/>
          </w:tcPr>
          <w:p>
            <w:pPr>
              <w:jc w:val="right"/>
              <w:ind w:right="307"/>
              <w:spacing w:after="0"/>
              <w:rPr>
                <w:sz w:val="20"/>
                <w:szCs w:val="20"/>
                <w:color w:val="auto"/>
              </w:rPr>
            </w:pPr>
            <w:r>
              <w:rPr>
                <w:rFonts w:ascii="Arial" w:cs="Arial" w:eastAsia="Arial" w:hAnsi="Arial"/>
                <w:sz w:val="15"/>
                <w:szCs w:val="15"/>
                <w:color w:val="auto"/>
              </w:rPr>
              <w:t>(29,335)</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86</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1000" w:type="dxa"/>
            <w:vAlign w:val="bottom"/>
          </w:tcPr>
          <w:p>
            <w:pPr>
              <w:jc w:val="right"/>
              <w:ind w:right="127"/>
              <w:spacing w:after="0"/>
              <w:rPr>
                <w:sz w:val="20"/>
                <w:szCs w:val="20"/>
                <w:color w:val="auto"/>
              </w:rPr>
            </w:pPr>
            <w:r>
              <w:rPr>
                <w:rFonts w:ascii="Arial" w:cs="Arial" w:eastAsia="Arial" w:hAnsi="Arial"/>
                <w:sz w:val="15"/>
                <w:szCs w:val="15"/>
                <w:b w:val="1"/>
                <w:bCs w:val="1"/>
                <w:color w:val="auto"/>
              </w:rPr>
              <w:t>4,960</w:t>
            </w:r>
          </w:p>
        </w:tc>
        <w:tc>
          <w:tcPr>
            <w:tcW w:w="700" w:type="dxa"/>
            <w:vAlign w:val="bottom"/>
          </w:tcPr>
          <w:p>
            <w:pPr>
              <w:jc w:val="right"/>
              <w:spacing w:after="0"/>
              <w:rPr>
                <w:sz w:val="20"/>
                <w:szCs w:val="20"/>
                <w:color w:val="auto"/>
              </w:rPr>
            </w:pPr>
            <w:r>
              <w:rPr>
                <w:rFonts w:ascii="Arial" w:cs="Arial" w:eastAsia="Arial" w:hAnsi="Arial"/>
                <w:sz w:val="15"/>
                <w:szCs w:val="15"/>
                <w:color w:val="auto"/>
              </w:rPr>
              <w:t>34,310</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(29,350)</w:t>
            </w:r>
          </w:p>
        </w:tc>
        <w:tc>
          <w:tcPr>
            <w:tcW w:w="360" w:type="dxa"/>
            <w:vAlign w:val="bottom"/>
            <w:tcBorders>
              <w:bottom w:val="single" w:sz="8" w:color="DBDBDB"/>
            </w:tcBorders>
            <w:shd w:val="clear" w:color="auto" w:fill="DBDBDB"/>
          </w:tcPr>
          <w:p>
            <w:pPr>
              <w:spacing w:after="0"/>
              <w:rPr>
                <w:sz w:val="22"/>
                <w:szCs w:val="22"/>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(86)</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89"/>
              </w:rPr>
              <w:t>%</w:t>
            </w:r>
          </w:p>
        </w:tc>
      </w:tr>
      <w:tr>
        <w:trPr>
          <w:trHeight w:val="195"/>
        </w:trPr>
        <w:tc>
          <w:tcPr>
            <w:tcW w:w="3840" w:type="dxa"/>
            <w:vAlign w:val="bottom"/>
            <w:tcBorders>
              <w:top w:val="single" w:sz="8" w:color="929292"/>
            </w:tcBorders>
          </w:tcPr>
          <w:p>
            <w:pPr>
              <w:ind w:left="20"/>
              <w:spacing w:after="0"/>
              <w:rPr>
                <w:sz w:val="20"/>
                <w:szCs w:val="20"/>
                <w:color w:val="auto"/>
              </w:rPr>
            </w:pPr>
            <w:r>
              <w:rPr>
                <w:rFonts w:ascii="Arial" w:cs="Arial" w:eastAsia="Arial" w:hAnsi="Arial"/>
                <w:sz w:val="15"/>
                <w:szCs w:val="15"/>
                <w:color w:val="auto"/>
              </w:rPr>
              <w:t>Decrease in cash</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5"/>
                <w:szCs w:val="15"/>
                <w:b w:val="1"/>
                <w:bCs w:val="1"/>
                <w:color w:val="auto"/>
              </w:rPr>
              <w:t>(12,713)</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20,101</w:t>
            </w:r>
          </w:p>
        </w:tc>
        <w:tc>
          <w:tcPr>
            <w:tcW w:w="1200" w:type="dxa"/>
            <w:vAlign w:val="bottom"/>
            <w:tcBorders>
              <w:top w:val="single" w:sz="8" w:color="929292"/>
            </w:tcBorders>
            <w:shd w:val="clear" w:color="auto" w:fill="DBDBDB"/>
          </w:tcPr>
          <w:p>
            <w:pPr>
              <w:jc w:val="right"/>
              <w:ind w:right="307"/>
              <w:spacing w:after="0"/>
              <w:rPr>
                <w:sz w:val="20"/>
                <w:szCs w:val="20"/>
                <w:color w:val="auto"/>
              </w:rPr>
            </w:pPr>
            <w:r>
              <w:rPr>
                <w:rFonts w:ascii="Arial" w:cs="Arial" w:eastAsia="Arial" w:hAnsi="Arial"/>
                <w:sz w:val="15"/>
                <w:szCs w:val="15"/>
                <w:color w:val="auto"/>
              </w:rPr>
              <w:t>(32,814)</w:t>
            </w:r>
          </w:p>
        </w:tc>
        <w:tc>
          <w:tcPr>
            <w:tcW w:w="46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rPr>
              <w:t>163</w:t>
            </w:r>
          </w:p>
        </w:tc>
        <w:tc>
          <w:tcPr>
            <w:tcW w:w="14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1000" w:type="dxa"/>
            <w:vAlign w:val="bottom"/>
            <w:tcBorders>
              <w:top w:val="single" w:sz="8" w:color="929292"/>
            </w:tcBorders>
          </w:tcPr>
          <w:p>
            <w:pPr>
              <w:jc w:val="right"/>
              <w:ind w:right="107"/>
              <w:spacing w:after="0"/>
              <w:rPr>
                <w:sz w:val="20"/>
                <w:szCs w:val="20"/>
                <w:color w:val="auto"/>
              </w:rPr>
            </w:pPr>
            <w:r>
              <w:rPr>
                <w:rFonts w:ascii="Arial" w:cs="Arial" w:eastAsia="Arial" w:hAnsi="Arial"/>
                <w:sz w:val="15"/>
                <w:szCs w:val="15"/>
                <w:b w:val="1"/>
                <w:bCs w:val="1"/>
                <w:color w:val="auto"/>
              </w:rPr>
              <w:t>(23,746)</w:t>
            </w:r>
          </w:p>
        </w:tc>
        <w:tc>
          <w:tcPr>
            <w:tcW w:w="70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11,155</w:t>
            </w:r>
          </w:p>
        </w:tc>
        <w:tc>
          <w:tcPr>
            <w:tcW w:w="840" w:type="dxa"/>
            <w:vAlign w:val="bottom"/>
            <w:tcBorders>
              <w:top w:val="single" w:sz="8" w:color="929292"/>
            </w:tcBorders>
            <w:shd w:val="clear" w:color="auto" w:fill="DBDBDB"/>
          </w:tcPr>
          <w:p>
            <w:pPr>
              <w:jc w:val="right"/>
              <w:spacing w:after="0"/>
              <w:rPr>
                <w:sz w:val="20"/>
                <w:szCs w:val="20"/>
                <w:color w:val="auto"/>
              </w:rPr>
            </w:pPr>
            <w:r>
              <w:rPr>
                <w:rFonts w:ascii="Arial" w:cs="Arial" w:eastAsia="Arial" w:hAnsi="Arial"/>
                <w:sz w:val="15"/>
                <w:szCs w:val="15"/>
                <w:color w:val="auto"/>
              </w:rPr>
              <w:t>(34,901)</w:t>
            </w:r>
          </w:p>
        </w:tc>
        <w:tc>
          <w:tcPr>
            <w:tcW w:w="360" w:type="dxa"/>
            <w:vAlign w:val="bottom"/>
            <w:tcBorders>
              <w:top w:val="single" w:sz="8" w:color="929292"/>
            </w:tcBorders>
          </w:tcPr>
          <w:p>
            <w:pPr>
              <w:spacing w:after="0"/>
              <w:rPr>
                <w:sz w:val="16"/>
                <w:szCs w:val="16"/>
                <w:color w:val="auto"/>
              </w:rPr>
            </w:pPr>
          </w:p>
        </w:tc>
        <w:tc>
          <w:tcPr>
            <w:tcW w:w="620" w:type="dxa"/>
            <w:vAlign w:val="bottom"/>
            <w:tcBorders>
              <w:top w:val="single" w:sz="8" w:color="929292"/>
            </w:tcBorders>
            <w:gridSpan w:val="2"/>
          </w:tcPr>
          <w:p>
            <w:pPr>
              <w:jc w:val="right"/>
              <w:spacing w:after="0"/>
              <w:rPr>
                <w:sz w:val="20"/>
                <w:szCs w:val="20"/>
                <w:color w:val="auto"/>
              </w:rPr>
            </w:pPr>
            <w:r>
              <w:rPr>
                <w:rFonts w:ascii="Arial" w:cs="Arial" w:eastAsia="Arial" w:hAnsi="Arial"/>
                <w:sz w:val="15"/>
                <w:szCs w:val="15"/>
                <w:color w:val="auto"/>
              </w:rPr>
              <w:t>(313)%</w:t>
            </w:r>
          </w:p>
        </w:tc>
      </w:tr>
      <w:tr>
        <w:trPr>
          <w:trHeight w:val="232"/>
        </w:trPr>
        <w:tc>
          <w:tcPr>
            <w:tcW w:w="3840" w:type="dxa"/>
            <w:vAlign w:val="bottom"/>
          </w:tcPr>
          <w:p>
            <w:pPr>
              <w:ind w:left="20"/>
              <w:spacing w:after="0"/>
              <w:rPr>
                <w:sz w:val="20"/>
                <w:szCs w:val="20"/>
                <w:color w:val="auto"/>
              </w:rPr>
            </w:pPr>
            <w:r>
              <w:rPr>
                <w:rFonts w:ascii="Arial" w:cs="Arial" w:eastAsia="Arial" w:hAnsi="Arial"/>
                <w:sz w:val="15"/>
                <w:szCs w:val="15"/>
                <w:color w:val="auto"/>
              </w:rPr>
              <w:t>Net foreign exchange difference</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190</w:t>
            </w:r>
          </w:p>
        </w:tc>
        <w:tc>
          <w:tcPr>
            <w:tcW w:w="940" w:type="dxa"/>
            <w:vAlign w:val="bottom"/>
          </w:tcPr>
          <w:p>
            <w:pPr>
              <w:jc w:val="right"/>
              <w:spacing w:after="0"/>
              <w:rPr>
                <w:sz w:val="20"/>
                <w:szCs w:val="20"/>
                <w:color w:val="auto"/>
              </w:rPr>
            </w:pPr>
            <w:r>
              <w:rPr>
                <w:rFonts w:ascii="Arial" w:cs="Arial" w:eastAsia="Arial" w:hAnsi="Arial"/>
                <w:sz w:val="15"/>
                <w:szCs w:val="15"/>
                <w:color w:val="auto"/>
              </w:rPr>
              <w:t>3</w:t>
            </w:r>
          </w:p>
        </w:tc>
        <w:tc>
          <w:tcPr>
            <w:tcW w:w="1200" w:type="dxa"/>
            <w:vAlign w:val="bottom"/>
            <w:shd w:val="clear" w:color="auto" w:fill="DBDBDB"/>
          </w:tcPr>
          <w:p>
            <w:pPr>
              <w:jc w:val="right"/>
              <w:ind w:right="347"/>
              <w:spacing w:after="0"/>
              <w:rPr>
                <w:sz w:val="20"/>
                <w:szCs w:val="20"/>
                <w:color w:val="auto"/>
              </w:rPr>
            </w:pPr>
            <w:r>
              <w:rPr>
                <w:rFonts w:ascii="Arial" w:cs="Arial" w:eastAsia="Arial" w:hAnsi="Arial"/>
                <w:sz w:val="15"/>
                <w:szCs w:val="15"/>
                <w:color w:val="auto"/>
              </w:rPr>
              <w:t>187</w:t>
            </w:r>
          </w:p>
        </w:tc>
        <w:tc>
          <w:tcPr>
            <w:tcW w:w="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6233</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1000" w:type="dxa"/>
            <w:vAlign w:val="bottom"/>
          </w:tcPr>
          <w:p>
            <w:pPr>
              <w:jc w:val="right"/>
              <w:ind w:right="127"/>
              <w:spacing w:after="0"/>
              <w:rPr>
                <w:sz w:val="20"/>
                <w:szCs w:val="20"/>
                <w:color w:val="auto"/>
              </w:rPr>
            </w:pPr>
            <w:r>
              <w:rPr>
                <w:rFonts w:ascii="Arial" w:cs="Arial" w:eastAsia="Arial" w:hAnsi="Arial"/>
                <w:sz w:val="15"/>
                <w:szCs w:val="15"/>
                <w:b w:val="1"/>
                <w:bCs w:val="1"/>
                <w:color w:val="auto"/>
              </w:rPr>
              <w:t>42</w:t>
            </w:r>
          </w:p>
        </w:tc>
        <w:tc>
          <w:tcPr>
            <w:tcW w:w="700" w:type="dxa"/>
            <w:vAlign w:val="bottom"/>
          </w:tcPr>
          <w:p>
            <w:pPr>
              <w:jc w:val="right"/>
              <w:spacing w:after="0"/>
              <w:rPr>
                <w:sz w:val="20"/>
                <w:szCs w:val="20"/>
                <w:color w:val="auto"/>
              </w:rPr>
            </w:pPr>
            <w:r>
              <w:rPr>
                <w:rFonts w:ascii="Arial" w:cs="Arial" w:eastAsia="Arial" w:hAnsi="Arial"/>
                <w:sz w:val="15"/>
                <w:szCs w:val="15"/>
                <w:color w:val="auto"/>
              </w:rPr>
              <w:t>(2)</w:t>
            </w:r>
          </w:p>
        </w:tc>
        <w:tc>
          <w:tcPr>
            <w:tcW w:w="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w:t>
            </w:r>
          </w:p>
        </w:tc>
        <w:tc>
          <w:tcPr>
            <w:tcW w:w="3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(2200)%</w:t>
            </w:r>
          </w:p>
        </w:tc>
      </w:tr>
      <w:tr>
        <w:trPr>
          <w:trHeight w:val="261"/>
        </w:trPr>
        <w:tc>
          <w:tcPr>
            <w:tcW w:w="3840" w:type="dxa"/>
            <w:vAlign w:val="bottom"/>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42,460</w:t>
            </w:r>
          </w:p>
        </w:tc>
        <w:tc>
          <w:tcPr>
            <w:tcW w:w="940" w:type="dxa"/>
            <w:vAlign w:val="bottom"/>
          </w:tcPr>
          <w:p>
            <w:pPr>
              <w:jc w:val="right"/>
              <w:spacing w:after="0"/>
              <w:rPr>
                <w:sz w:val="20"/>
                <w:szCs w:val="20"/>
                <w:color w:val="auto"/>
              </w:rPr>
            </w:pPr>
            <w:r>
              <w:rPr>
                <w:rFonts w:ascii="Arial" w:cs="Arial" w:eastAsia="Arial" w:hAnsi="Arial"/>
                <w:sz w:val="15"/>
                <w:szCs w:val="15"/>
                <w:color w:val="auto"/>
              </w:rPr>
              <w:t>55,075</w:t>
            </w:r>
          </w:p>
        </w:tc>
        <w:tc>
          <w:tcPr>
            <w:tcW w:w="1200" w:type="dxa"/>
            <w:vAlign w:val="bottom"/>
            <w:tcBorders>
              <w:bottom w:val="single" w:sz="8" w:color="DBDBDB"/>
            </w:tcBorders>
            <w:shd w:val="clear" w:color="auto" w:fill="DBDBDB"/>
          </w:tcPr>
          <w:p>
            <w:pPr>
              <w:jc w:val="right"/>
              <w:ind w:right="307"/>
              <w:spacing w:after="0"/>
              <w:rPr>
                <w:sz w:val="20"/>
                <w:szCs w:val="20"/>
                <w:color w:val="auto"/>
              </w:rPr>
            </w:pPr>
            <w:r>
              <w:rPr>
                <w:rFonts w:ascii="Arial" w:cs="Arial" w:eastAsia="Arial" w:hAnsi="Arial"/>
                <w:sz w:val="15"/>
                <w:szCs w:val="15"/>
                <w:color w:val="auto"/>
              </w:rPr>
              <w:t>(12,615)</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23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1000" w:type="dxa"/>
            <w:vAlign w:val="bottom"/>
          </w:tcPr>
          <w:p>
            <w:pPr>
              <w:jc w:val="right"/>
              <w:ind w:right="127"/>
              <w:spacing w:after="0"/>
              <w:rPr>
                <w:sz w:val="20"/>
                <w:szCs w:val="20"/>
                <w:color w:val="auto"/>
              </w:rPr>
            </w:pPr>
            <w:r>
              <w:rPr>
                <w:rFonts w:ascii="Arial" w:cs="Arial" w:eastAsia="Arial" w:hAnsi="Arial"/>
                <w:sz w:val="15"/>
                <w:szCs w:val="15"/>
                <w:b w:val="1"/>
                <w:bCs w:val="1"/>
                <w:color w:val="auto"/>
              </w:rPr>
              <w:t>53,641</w:t>
            </w:r>
          </w:p>
        </w:tc>
        <w:tc>
          <w:tcPr>
            <w:tcW w:w="700" w:type="dxa"/>
            <w:vAlign w:val="bottom"/>
          </w:tcPr>
          <w:p>
            <w:pPr>
              <w:jc w:val="right"/>
              <w:spacing w:after="0"/>
              <w:rPr>
                <w:sz w:val="20"/>
                <w:szCs w:val="20"/>
                <w:color w:val="auto"/>
              </w:rPr>
            </w:pPr>
            <w:r>
              <w:rPr>
                <w:rFonts w:ascii="Arial" w:cs="Arial" w:eastAsia="Arial" w:hAnsi="Arial"/>
                <w:sz w:val="15"/>
                <w:szCs w:val="15"/>
                <w:color w:val="auto"/>
              </w:rPr>
              <w:t>64,026</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(10,385)</w:t>
            </w:r>
          </w:p>
        </w:tc>
        <w:tc>
          <w:tcPr>
            <w:tcW w:w="3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(16)%</w:t>
            </w:r>
          </w:p>
        </w:tc>
      </w:tr>
      <w:tr>
        <w:trPr>
          <w:trHeight w:val="204"/>
        </w:trPr>
        <w:tc>
          <w:tcPr>
            <w:tcW w:w="3840" w:type="dxa"/>
            <w:vAlign w:val="bottom"/>
            <w:tcBorders>
              <w:top w:val="single" w:sz="8" w:color="929292"/>
            </w:tcBorders>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5"/>
                <w:szCs w:val="15"/>
                <w:b w:val="1"/>
                <w:bCs w:val="1"/>
                <w:color w:val="auto"/>
              </w:rPr>
              <w:t>29,937</w:t>
            </w: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75,179</w:t>
            </w:r>
          </w:p>
        </w:tc>
        <w:tc>
          <w:tcPr>
            <w:tcW w:w="1200" w:type="dxa"/>
            <w:vAlign w:val="bottom"/>
            <w:tcBorders>
              <w:top w:val="single" w:sz="8" w:color="929292"/>
              <w:bottom w:val="single" w:sz="8" w:color="DBDBDB"/>
            </w:tcBorders>
            <w:shd w:val="clear" w:color="auto" w:fill="DBDBDB"/>
          </w:tcPr>
          <w:p>
            <w:pPr>
              <w:jc w:val="right"/>
              <w:ind w:right="307"/>
              <w:spacing w:after="0"/>
              <w:rPr>
                <w:sz w:val="20"/>
                <w:szCs w:val="20"/>
                <w:color w:val="auto"/>
              </w:rPr>
            </w:pPr>
            <w:r>
              <w:rPr>
                <w:rFonts w:ascii="Arial" w:cs="Arial" w:eastAsia="Arial" w:hAnsi="Arial"/>
                <w:sz w:val="15"/>
                <w:szCs w:val="15"/>
                <w:color w:val="auto"/>
              </w:rPr>
              <w:t>(45,242)</w:t>
            </w:r>
          </w:p>
        </w:tc>
        <w:tc>
          <w:tcPr>
            <w:tcW w:w="46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60</w:t>
            </w:r>
          </w:p>
        </w:tc>
        <w:tc>
          <w:tcPr>
            <w:tcW w:w="14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1000" w:type="dxa"/>
            <w:vAlign w:val="bottom"/>
            <w:tcBorders>
              <w:top w:val="single" w:sz="8" w:color="929292"/>
            </w:tcBorders>
          </w:tcPr>
          <w:p>
            <w:pPr>
              <w:jc w:val="right"/>
              <w:ind w:right="127"/>
              <w:spacing w:after="0"/>
              <w:rPr>
                <w:sz w:val="20"/>
                <w:szCs w:val="20"/>
                <w:color w:val="auto"/>
              </w:rPr>
            </w:pPr>
            <w:r>
              <w:rPr>
                <w:rFonts w:ascii="Arial" w:cs="Arial" w:eastAsia="Arial" w:hAnsi="Arial"/>
                <w:sz w:val="15"/>
                <w:szCs w:val="15"/>
                <w:b w:val="1"/>
                <w:bCs w:val="1"/>
                <w:color w:val="auto"/>
              </w:rPr>
              <w:t>29,937</w:t>
            </w:r>
          </w:p>
        </w:tc>
        <w:tc>
          <w:tcPr>
            <w:tcW w:w="70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75,179</w:t>
            </w:r>
          </w:p>
        </w:tc>
        <w:tc>
          <w:tcPr>
            <w:tcW w:w="84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(45,242)</w:t>
            </w:r>
          </w:p>
        </w:tc>
        <w:tc>
          <w:tcPr>
            <w:tcW w:w="360" w:type="dxa"/>
            <w:vAlign w:val="bottom"/>
            <w:tcBorders>
              <w:top w:val="single" w:sz="8" w:color="929292"/>
            </w:tcBorders>
          </w:tcPr>
          <w:p>
            <w:pPr>
              <w:spacing w:after="0"/>
              <w:rPr>
                <w:sz w:val="17"/>
                <w:szCs w:val="17"/>
                <w:color w:val="auto"/>
              </w:rPr>
            </w:pPr>
          </w:p>
        </w:tc>
        <w:tc>
          <w:tcPr>
            <w:tcW w:w="620" w:type="dxa"/>
            <w:vAlign w:val="bottom"/>
            <w:tcBorders>
              <w:top w:val="single" w:sz="8" w:color="929292"/>
            </w:tcBorders>
            <w:gridSpan w:val="2"/>
          </w:tcPr>
          <w:p>
            <w:pPr>
              <w:jc w:val="right"/>
              <w:spacing w:after="0"/>
              <w:rPr>
                <w:sz w:val="20"/>
                <w:szCs w:val="20"/>
                <w:color w:val="auto"/>
              </w:rPr>
            </w:pPr>
            <w:r>
              <w:rPr>
                <w:rFonts w:ascii="Arial" w:cs="Arial" w:eastAsia="Arial" w:hAnsi="Arial"/>
                <w:sz w:val="15"/>
                <w:szCs w:val="15"/>
                <w:color w:val="auto"/>
              </w:rPr>
              <w:t>(60)%</w:t>
            </w:r>
          </w:p>
        </w:tc>
      </w:tr>
      <w:tr>
        <w:trPr>
          <w:trHeight w:val="20"/>
        </w:trPr>
        <w:tc>
          <w:tcPr>
            <w:tcW w:w="38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6398895</wp:posOffset>
            </wp:positionH>
            <wp:positionV relativeFrom="paragraph">
              <wp:posOffset>-759460</wp:posOffset>
            </wp:positionV>
            <wp:extent cx="620395" cy="752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0395" cy="75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709"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3100" w:type="dxa"/>
            <w:vAlign w:val="bottom"/>
            <w:gridSpan w:val="5"/>
          </w:tcPr>
          <w:p>
            <w:pPr>
              <w:ind w:left="640"/>
              <w:spacing w:after="0"/>
              <w:rPr>
                <w:sz w:val="20"/>
                <w:szCs w:val="20"/>
                <w:color w:val="auto"/>
              </w:rPr>
            </w:pPr>
            <w:r>
              <w:rPr>
                <w:rFonts w:ascii="Arial" w:cs="Arial" w:eastAsia="Arial" w:hAnsi="Arial"/>
                <w:sz w:val="16"/>
                <w:szCs w:val="16"/>
                <w:b w:val="1"/>
                <w:bCs w:val="1"/>
                <w:color w:val="auto"/>
                <w:w w:val="91"/>
              </w:rPr>
              <w:t>Three Months ended September 30</w:t>
            </w:r>
          </w:p>
        </w:tc>
        <w:tc>
          <w:tcPr>
            <w:tcW w:w="1340" w:type="dxa"/>
            <w:vAlign w:val="bottom"/>
          </w:tcPr>
          <w:p>
            <w:pPr>
              <w:spacing w:after="0"/>
              <w:rPr>
                <w:sz w:val="18"/>
                <w:szCs w:val="18"/>
                <w:color w:val="auto"/>
              </w:rPr>
            </w:pPr>
          </w:p>
        </w:tc>
        <w:tc>
          <w:tcPr>
            <w:tcW w:w="302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w w:val="90"/>
              </w:rPr>
              <w:t>Six Months ended September 30</w:t>
            </w: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7460" w:type="dxa"/>
            <w:vAlign w:val="bottom"/>
            <w:tcBorders>
              <w:bottom w:val="single" w:sz="8" w:color="auto"/>
            </w:tcBorders>
            <w:gridSpan w:val="11"/>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7460" w:type="dxa"/>
            <w:vAlign w:val="bottom"/>
            <w:gridSpan w:val="11"/>
          </w:tcPr>
          <w:p>
            <w:pPr>
              <w:ind w:left="20"/>
              <w:spacing w:after="0"/>
              <w:rPr>
                <w:sz w:val="20"/>
                <w:szCs w:val="20"/>
                <w:color w:val="auto"/>
              </w:rPr>
            </w:pPr>
            <w:r>
              <w:rPr>
                <w:rFonts w:ascii="Arial" w:cs="Arial" w:eastAsia="Arial" w:hAnsi="Arial"/>
                <w:sz w:val="16"/>
                <w:szCs w:val="16"/>
                <w:color w:val="auto"/>
                <w:w w:val="91"/>
              </w:rPr>
              <w:t>Primarily relates to cash used for operating expenses including research and development expenses, salaries, and</w:t>
            </w:r>
          </w:p>
        </w:tc>
        <w:tc>
          <w:tcPr>
            <w:tcW w:w="0" w:type="dxa"/>
            <w:vAlign w:val="bottom"/>
          </w:tcPr>
          <w:p>
            <w:pPr>
              <w:spacing w:after="0"/>
              <w:rPr>
                <w:sz w:val="1"/>
                <w:szCs w:val="1"/>
                <w:color w:val="auto"/>
              </w:rPr>
            </w:pPr>
          </w:p>
        </w:tc>
      </w:tr>
      <w:tr>
        <w:trPr>
          <w:trHeight w:val="196"/>
        </w:trPr>
        <w:tc>
          <w:tcPr>
            <w:tcW w:w="3800" w:type="dxa"/>
            <w:vAlign w:val="bottom"/>
            <w:shd w:val="clear" w:color="auto" w:fill="DBDBDB"/>
          </w:tcPr>
          <w:p>
            <w:pPr>
              <w:spacing w:after="0"/>
              <w:rPr>
                <w:sz w:val="17"/>
                <w:szCs w:val="17"/>
                <w:color w:val="auto"/>
              </w:rPr>
            </w:pPr>
          </w:p>
        </w:tc>
        <w:tc>
          <w:tcPr>
            <w:tcW w:w="7460" w:type="dxa"/>
            <w:vAlign w:val="bottom"/>
            <w:gridSpan w:val="11"/>
          </w:tcPr>
          <w:p>
            <w:pPr>
              <w:ind w:left="20"/>
              <w:spacing w:after="0"/>
              <w:rPr>
                <w:sz w:val="20"/>
                <w:szCs w:val="20"/>
                <w:color w:val="auto"/>
              </w:rPr>
            </w:pPr>
            <w:r>
              <w:rPr>
                <w:rFonts w:ascii="Arial" w:cs="Arial" w:eastAsia="Arial" w:hAnsi="Arial"/>
                <w:sz w:val="16"/>
                <w:szCs w:val="16"/>
                <w:color w:val="auto"/>
                <w:w w:val="94"/>
              </w:rPr>
              <w:t>other general and administration expenses. Cash flows from operating activities exclude expenses not affecting</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spacing w:after="0"/>
              <w:rPr>
                <w:sz w:val="18"/>
                <w:szCs w:val="18"/>
                <w:color w:val="auto"/>
              </w:rPr>
            </w:pPr>
          </w:p>
        </w:tc>
        <w:tc>
          <w:tcPr>
            <w:tcW w:w="7460" w:type="dxa"/>
            <w:vAlign w:val="bottom"/>
            <w:gridSpan w:val="11"/>
          </w:tcPr>
          <w:p>
            <w:pPr>
              <w:ind w:left="20"/>
              <w:spacing w:after="0"/>
              <w:rPr>
                <w:sz w:val="20"/>
                <w:szCs w:val="20"/>
                <w:color w:val="auto"/>
              </w:rPr>
            </w:pPr>
            <w:r>
              <w:rPr>
                <w:rFonts w:ascii="Arial" w:cs="Arial" w:eastAsia="Arial" w:hAnsi="Arial"/>
                <w:sz w:val="16"/>
                <w:szCs w:val="16"/>
                <w:color w:val="auto"/>
                <w:w w:val="91"/>
              </w:rPr>
              <w:t>cash, such as share based compensation expense, depreciation, unrealized foreign exchange gains or losses, and</w:t>
            </w:r>
          </w:p>
        </w:tc>
        <w:tc>
          <w:tcPr>
            <w:tcW w:w="0" w:type="dxa"/>
            <w:vAlign w:val="bottom"/>
          </w:tcPr>
          <w:p>
            <w:pPr>
              <w:spacing w:after="0"/>
              <w:rPr>
                <w:sz w:val="1"/>
                <w:szCs w:val="1"/>
                <w:color w:val="auto"/>
              </w:rPr>
            </w:pPr>
          </w:p>
        </w:tc>
      </w:tr>
      <w:tr>
        <w:trPr>
          <w:trHeight w:val="208"/>
        </w:trPr>
        <w:tc>
          <w:tcPr>
            <w:tcW w:w="3800" w:type="dxa"/>
            <w:vAlign w:val="bottom"/>
            <w:shd w:val="clear" w:color="auto" w:fill="DBDBDB"/>
          </w:tcPr>
          <w:p>
            <w:pPr>
              <w:spacing w:after="0"/>
              <w:rPr>
                <w:sz w:val="18"/>
                <w:szCs w:val="18"/>
                <w:color w:val="auto"/>
              </w:rPr>
            </w:pPr>
          </w:p>
        </w:tc>
        <w:tc>
          <w:tcPr>
            <w:tcW w:w="4440" w:type="dxa"/>
            <w:vAlign w:val="bottom"/>
            <w:gridSpan w:val="6"/>
          </w:tcPr>
          <w:p>
            <w:pPr>
              <w:ind w:left="20"/>
              <w:spacing w:after="0"/>
              <w:rPr>
                <w:sz w:val="20"/>
                <w:szCs w:val="20"/>
                <w:color w:val="auto"/>
              </w:rPr>
            </w:pPr>
            <w:r>
              <w:rPr>
                <w:rFonts w:ascii="Arial" w:cs="Arial" w:eastAsia="Arial" w:hAnsi="Arial"/>
                <w:sz w:val="16"/>
                <w:szCs w:val="16"/>
                <w:color w:val="auto"/>
              </w:rPr>
              <w:t>net changes in non-cash balances relating to operations.</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800" w:type="dxa"/>
            <w:vAlign w:val="bottom"/>
            <w:shd w:val="clear" w:color="auto" w:fill="DBDBDB"/>
          </w:tcPr>
          <w:p>
            <w:pPr>
              <w:spacing w:after="0"/>
              <w:rPr>
                <w:sz w:val="21"/>
                <w:szCs w:val="21"/>
                <w:color w:val="auto"/>
              </w:rPr>
            </w:pPr>
          </w:p>
        </w:tc>
        <w:tc>
          <w:tcPr>
            <w:tcW w:w="7460" w:type="dxa"/>
            <w:vAlign w:val="bottom"/>
            <w:gridSpan w:val="11"/>
          </w:tcPr>
          <w:p>
            <w:pPr>
              <w:ind w:left="20"/>
              <w:spacing w:after="0"/>
              <w:rPr>
                <w:sz w:val="20"/>
                <w:szCs w:val="20"/>
                <w:color w:val="auto"/>
              </w:rPr>
            </w:pPr>
            <w:r>
              <w:rPr>
                <w:rFonts w:ascii="Arial" w:cs="Arial" w:eastAsia="Arial" w:hAnsi="Arial"/>
                <w:sz w:val="16"/>
                <w:szCs w:val="16"/>
                <w:color w:val="auto"/>
                <w:w w:val="95"/>
              </w:rPr>
              <w:t>For the three-month period ended September 30, 2022, For the six-month period ended September 30, 2022,</w:t>
            </w:r>
          </w:p>
        </w:tc>
        <w:tc>
          <w:tcPr>
            <w:tcW w:w="0" w:type="dxa"/>
            <w:vAlign w:val="bottom"/>
          </w:tcPr>
          <w:p>
            <w:pPr>
              <w:spacing w:after="0"/>
              <w:rPr>
                <w:sz w:val="1"/>
                <w:szCs w:val="1"/>
                <w:color w:val="auto"/>
              </w:rPr>
            </w:pPr>
          </w:p>
        </w:tc>
      </w:tr>
      <w:tr>
        <w:trPr>
          <w:trHeight w:val="195"/>
        </w:trPr>
        <w:tc>
          <w:tcPr>
            <w:tcW w:w="3800" w:type="dxa"/>
            <w:vAlign w:val="bottom"/>
            <w:shd w:val="clear" w:color="auto" w:fill="DBDBDB"/>
          </w:tcPr>
          <w:p>
            <w:pPr>
              <w:spacing w:after="0"/>
              <w:rPr>
                <w:sz w:val="17"/>
                <w:szCs w:val="17"/>
                <w:color w:val="auto"/>
              </w:rPr>
            </w:pPr>
          </w:p>
        </w:tc>
        <w:tc>
          <w:tcPr>
            <w:tcW w:w="7460" w:type="dxa"/>
            <w:vAlign w:val="bottom"/>
            <w:gridSpan w:val="11"/>
          </w:tcPr>
          <w:p>
            <w:pPr>
              <w:ind w:left="20"/>
              <w:spacing w:after="0"/>
              <w:rPr>
                <w:sz w:val="20"/>
                <w:szCs w:val="20"/>
                <w:color w:val="auto"/>
              </w:rPr>
            </w:pPr>
            <w:r>
              <w:rPr>
                <w:rFonts w:ascii="Arial" w:cs="Arial" w:eastAsia="Arial" w:hAnsi="Arial"/>
                <w:sz w:val="16"/>
                <w:szCs w:val="16"/>
                <w:color w:val="auto"/>
                <w:w w:val="94"/>
              </w:rPr>
              <w:t>cash used in operating activities was $14,683 driven by cash used in operating activities was $25,822 driven by</w:t>
            </w:r>
          </w:p>
        </w:tc>
        <w:tc>
          <w:tcPr>
            <w:tcW w:w="0" w:type="dxa"/>
            <w:vAlign w:val="bottom"/>
          </w:tcPr>
          <w:p>
            <w:pPr>
              <w:spacing w:after="0"/>
              <w:rPr>
                <w:sz w:val="1"/>
                <w:szCs w:val="1"/>
                <w:color w:val="auto"/>
              </w:rPr>
            </w:pPr>
          </w:p>
        </w:tc>
      </w:tr>
      <w:tr>
        <w:trPr>
          <w:trHeight w:val="195"/>
        </w:trPr>
        <w:tc>
          <w:tcPr>
            <w:tcW w:w="3800" w:type="dxa"/>
            <w:vAlign w:val="bottom"/>
            <w:shd w:val="clear" w:color="auto" w:fill="DBDBDB"/>
          </w:tcPr>
          <w:p>
            <w:pPr>
              <w:spacing w:after="0"/>
              <w:rPr>
                <w:sz w:val="17"/>
                <w:szCs w:val="17"/>
                <w:color w:val="auto"/>
              </w:rPr>
            </w:pPr>
          </w:p>
        </w:tc>
        <w:tc>
          <w:tcPr>
            <w:tcW w:w="7460" w:type="dxa"/>
            <w:vAlign w:val="bottom"/>
            <w:gridSpan w:val="11"/>
          </w:tcPr>
          <w:p>
            <w:pPr>
              <w:ind w:left="20"/>
              <w:spacing w:after="0"/>
              <w:rPr>
                <w:sz w:val="20"/>
                <w:szCs w:val="20"/>
                <w:color w:val="auto"/>
              </w:rPr>
            </w:pPr>
            <w:r>
              <w:rPr>
                <w:rFonts w:ascii="Arial" w:cs="Arial" w:eastAsia="Arial" w:hAnsi="Arial"/>
                <w:sz w:val="16"/>
                <w:szCs w:val="16"/>
                <w:color w:val="auto"/>
                <w:w w:val="97"/>
              </w:rPr>
              <w:t>a net loss for the period of $9,973, unrealized foreign a net loss for the period of $23,028, unrealized foreign</w:t>
            </w:r>
          </w:p>
        </w:tc>
        <w:tc>
          <w:tcPr>
            <w:tcW w:w="0" w:type="dxa"/>
            <w:vAlign w:val="bottom"/>
          </w:tcPr>
          <w:p>
            <w:pPr>
              <w:spacing w:after="0"/>
              <w:rPr>
                <w:sz w:val="1"/>
                <w:szCs w:val="1"/>
                <w:color w:val="auto"/>
              </w:rPr>
            </w:pPr>
          </w:p>
        </w:tc>
      </w:tr>
      <w:tr>
        <w:trPr>
          <w:trHeight w:val="195"/>
        </w:trPr>
        <w:tc>
          <w:tcPr>
            <w:tcW w:w="3800" w:type="dxa"/>
            <w:vAlign w:val="bottom"/>
            <w:shd w:val="clear" w:color="auto" w:fill="DBDBDB"/>
          </w:tcPr>
          <w:p>
            <w:pPr>
              <w:spacing w:after="0"/>
              <w:rPr>
                <w:sz w:val="17"/>
                <w:szCs w:val="17"/>
                <w:color w:val="auto"/>
              </w:rPr>
            </w:pPr>
          </w:p>
        </w:tc>
        <w:tc>
          <w:tcPr>
            <w:tcW w:w="7460" w:type="dxa"/>
            <w:vAlign w:val="bottom"/>
            <w:gridSpan w:val="11"/>
          </w:tcPr>
          <w:p>
            <w:pPr>
              <w:ind w:left="20"/>
              <w:spacing w:after="0"/>
              <w:rPr>
                <w:sz w:val="20"/>
                <w:szCs w:val="20"/>
                <w:color w:val="auto"/>
              </w:rPr>
            </w:pPr>
            <w:r>
              <w:rPr>
                <w:rFonts w:ascii="Arial" w:cs="Arial" w:eastAsia="Arial" w:hAnsi="Arial"/>
                <w:sz w:val="16"/>
                <w:szCs w:val="16"/>
                <w:color w:val="auto"/>
                <w:w w:val="93"/>
              </w:rPr>
              <w:t>exchange gain of $2,167, an increase in working capital exchange gain of $2,692, an increase in working capital</w:t>
            </w:r>
          </w:p>
        </w:tc>
        <w:tc>
          <w:tcPr>
            <w:tcW w:w="0" w:type="dxa"/>
            <w:vAlign w:val="bottom"/>
          </w:tcPr>
          <w:p>
            <w:pPr>
              <w:spacing w:after="0"/>
              <w:rPr>
                <w:sz w:val="1"/>
                <w:szCs w:val="1"/>
                <w:color w:val="auto"/>
              </w:rPr>
            </w:pPr>
          </w:p>
        </w:tc>
      </w:tr>
      <w:tr>
        <w:trPr>
          <w:trHeight w:val="196"/>
        </w:trPr>
        <w:tc>
          <w:tcPr>
            <w:tcW w:w="3800" w:type="dxa"/>
            <w:vAlign w:val="bottom"/>
            <w:shd w:val="clear" w:color="auto" w:fill="DBDBDB"/>
          </w:tcPr>
          <w:p>
            <w:pPr>
              <w:spacing w:after="0"/>
              <w:rPr>
                <w:sz w:val="17"/>
                <w:szCs w:val="17"/>
                <w:color w:val="auto"/>
              </w:rPr>
            </w:pPr>
          </w:p>
        </w:tc>
        <w:tc>
          <w:tcPr>
            <w:tcW w:w="7460" w:type="dxa"/>
            <w:vAlign w:val="bottom"/>
            <w:gridSpan w:val="11"/>
          </w:tcPr>
          <w:p>
            <w:pPr>
              <w:ind w:left="20"/>
              <w:spacing w:after="0" w:line="195" w:lineRule="exact"/>
              <w:rPr>
                <w:sz w:val="20"/>
                <w:szCs w:val="20"/>
                <w:color w:val="auto"/>
              </w:rPr>
            </w:pPr>
            <w:r>
              <w:rPr>
                <w:rFonts w:ascii="Arial" w:cs="Arial" w:eastAsia="Arial" w:hAnsi="Arial"/>
                <w:sz w:val="13"/>
                <w:szCs w:val="13"/>
                <w:color w:val="auto"/>
              </w:rPr>
              <w:t xml:space="preserve">of $3,677, net gain on financial instruments measured at </w:t>
            </w:r>
            <w:r>
              <w:rPr>
                <w:rFonts w:ascii="Arial" w:cs="Arial" w:eastAsia="Arial" w:hAnsi="Arial"/>
                <w:sz w:val="22"/>
                <w:szCs w:val="22"/>
                <w:color w:val="auto"/>
                <w:vertAlign w:val="subscript"/>
              </w:rPr>
              <w:t>of $3,747, net gain on financial instruments measured at</w:t>
            </w:r>
          </w:p>
        </w:tc>
        <w:tc>
          <w:tcPr>
            <w:tcW w:w="0" w:type="dxa"/>
            <w:vAlign w:val="bottom"/>
          </w:tcPr>
          <w:p>
            <w:pPr>
              <w:spacing w:after="0"/>
              <w:rPr>
                <w:sz w:val="1"/>
                <w:szCs w:val="1"/>
                <w:color w:val="auto"/>
              </w:rPr>
            </w:pPr>
          </w:p>
        </w:tc>
      </w:tr>
      <w:tr>
        <w:trPr>
          <w:trHeight w:val="195"/>
        </w:trPr>
        <w:tc>
          <w:tcPr>
            <w:tcW w:w="3800" w:type="dxa"/>
            <w:vAlign w:val="bottom"/>
            <w:shd w:val="clear" w:color="auto" w:fill="DBDBDB"/>
          </w:tcPr>
          <w:p>
            <w:pPr>
              <w:spacing w:after="0"/>
              <w:rPr>
                <w:sz w:val="17"/>
                <w:szCs w:val="17"/>
                <w:color w:val="auto"/>
              </w:rPr>
            </w:pPr>
          </w:p>
        </w:tc>
        <w:tc>
          <w:tcPr>
            <w:tcW w:w="7460" w:type="dxa"/>
            <w:vAlign w:val="bottom"/>
            <w:gridSpan w:val="11"/>
          </w:tcPr>
          <w:p>
            <w:pPr>
              <w:ind w:left="20"/>
              <w:spacing w:after="0" w:line="195" w:lineRule="exact"/>
              <w:rPr>
                <w:sz w:val="20"/>
                <w:szCs w:val="20"/>
                <w:color w:val="auto"/>
              </w:rPr>
            </w:pPr>
            <w:r>
              <w:rPr>
                <w:rFonts w:ascii="Arial" w:cs="Arial" w:eastAsia="Arial" w:hAnsi="Arial"/>
                <w:sz w:val="13"/>
                <w:szCs w:val="13"/>
                <w:color w:val="auto"/>
              </w:rPr>
              <w:t xml:space="preserve">fair value through profit or loss of $12 and non-cash </w:t>
            </w:r>
            <w:r>
              <w:rPr>
                <w:rFonts w:ascii="Arial" w:cs="Arial" w:eastAsia="Arial" w:hAnsi="Arial"/>
                <w:sz w:val="22"/>
                <w:szCs w:val="22"/>
                <w:color w:val="auto"/>
                <w:vertAlign w:val="subscript"/>
              </w:rPr>
              <w:t>fair value through profit or loss of $24 and non-cash</w:t>
            </w:r>
          </w:p>
        </w:tc>
        <w:tc>
          <w:tcPr>
            <w:tcW w:w="0" w:type="dxa"/>
            <w:vAlign w:val="bottom"/>
          </w:tcPr>
          <w:p>
            <w:pPr>
              <w:spacing w:after="0"/>
              <w:rPr>
                <w:sz w:val="1"/>
                <w:szCs w:val="1"/>
                <w:color w:val="auto"/>
              </w:rPr>
            </w:pPr>
          </w:p>
        </w:tc>
      </w:tr>
      <w:tr>
        <w:trPr>
          <w:trHeight w:val="208"/>
        </w:trPr>
        <w:tc>
          <w:tcPr>
            <w:tcW w:w="3800" w:type="dxa"/>
            <w:vAlign w:val="bottom"/>
            <w:shd w:val="clear" w:color="auto" w:fill="DBDBDB"/>
          </w:tcPr>
          <w:p>
            <w:pPr>
              <w:spacing w:after="0"/>
              <w:rPr>
                <w:sz w:val="18"/>
                <w:szCs w:val="18"/>
                <w:color w:val="auto"/>
              </w:rPr>
            </w:pPr>
          </w:p>
        </w:tc>
        <w:tc>
          <w:tcPr>
            <w:tcW w:w="7460" w:type="dxa"/>
            <w:vAlign w:val="bottom"/>
            <w:gridSpan w:val="11"/>
          </w:tcPr>
          <w:p>
            <w:pPr>
              <w:ind w:left="20"/>
              <w:spacing w:after="0" w:line="207" w:lineRule="exact"/>
              <w:rPr>
                <w:sz w:val="20"/>
                <w:szCs w:val="20"/>
                <w:color w:val="auto"/>
              </w:rPr>
            </w:pPr>
            <w:r>
              <w:rPr>
                <w:rFonts w:ascii="Arial" w:cs="Arial" w:eastAsia="Arial" w:hAnsi="Arial"/>
                <w:sz w:val="24"/>
                <w:szCs w:val="24"/>
                <w:color w:val="auto"/>
                <w:vertAlign w:val="superscript"/>
              </w:rPr>
              <w:t>interest income of $6, partially offset by the following</w:t>
            </w:r>
            <w:r>
              <w:rPr>
                <w:rFonts w:ascii="Arial" w:cs="Arial" w:eastAsia="Arial" w:hAnsi="Arial"/>
                <w:sz w:val="14"/>
                <w:szCs w:val="14"/>
                <w:color w:val="auto"/>
              </w:rPr>
              <w:t xml:space="preserve"> interest income of $12, partially offset by the following</w:t>
            </w:r>
          </w:p>
        </w:tc>
        <w:tc>
          <w:tcPr>
            <w:tcW w:w="0" w:type="dxa"/>
            <w:vAlign w:val="bottom"/>
          </w:tcPr>
          <w:p>
            <w:pPr>
              <w:spacing w:after="0"/>
              <w:rPr>
                <w:sz w:val="1"/>
                <w:szCs w:val="1"/>
                <w:color w:val="auto"/>
              </w:rPr>
            </w:pPr>
          </w:p>
        </w:tc>
      </w:tr>
      <w:tr>
        <w:trPr>
          <w:trHeight w:val="208"/>
        </w:trPr>
        <w:tc>
          <w:tcPr>
            <w:tcW w:w="3800" w:type="dxa"/>
            <w:vAlign w:val="bottom"/>
            <w:shd w:val="clear" w:color="auto" w:fill="DBDBDB"/>
          </w:tcPr>
          <w:p>
            <w:pPr>
              <w:spacing w:after="0"/>
              <w:rPr>
                <w:sz w:val="18"/>
                <w:szCs w:val="18"/>
                <w:color w:val="auto"/>
              </w:rPr>
            </w:pPr>
          </w:p>
        </w:tc>
        <w:tc>
          <w:tcPr>
            <w:tcW w:w="7460" w:type="dxa"/>
            <w:vAlign w:val="bottom"/>
            <w:gridSpan w:val="11"/>
          </w:tcPr>
          <w:p>
            <w:pPr>
              <w:ind w:left="20"/>
              <w:spacing w:after="0" w:line="207" w:lineRule="exact"/>
              <w:rPr>
                <w:sz w:val="20"/>
                <w:szCs w:val="20"/>
                <w:color w:val="auto"/>
              </w:rPr>
            </w:pPr>
            <w:r>
              <w:rPr>
                <w:rFonts w:ascii="Arial" w:cs="Arial" w:eastAsia="Arial" w:hAnsi="Arial"/>
                <w:sz w:val="14"/>
                <w:szCs w:val="14"/>
                <w:color w:val="auto"/>
              </w:rPr>
              <w:t xml:space="preserve">non-cash items: share-based compensation of $1,072, </w:t>
            </w:r>
            <w:r>
              <w:rPr>
                <w:rFonts w:ascii="Arial" w:cs="Arial" w:eastAsia="Arial" w:hAnsi="Arial"/>
                <w:sz w:val="24"/>
                <w:szCs w:val="24"/>
                <w:color w:val="auto"/>
                <w:vertAlign w:val="subscript"/>
              </w:rPr>
              <w:t>non-cash items: share-based compensation of $3,227,</w:t>
            </w:r>
          </w:p>
        </w:tc>
        <w:tc>
          <w:tcPr>
            <w:tcW w:w="0" w:type="dxa"/>
            <w:vAlign w:val="bottom"/>
          </w:tcPr>
          <w:p>
            <w:pPr>
              <w:spacing w:after="0"/>
              <w:rPr>
                <w:sz w:val="1"/>
                <w:szCs w:val="1"/>
                <w:color w:val="auto"/>
              </w:rPr>
            </w:pPr>
          </w:p>
        </w:tc>
      </w:tr>
      <w:tr>
        <w:trPr>
          <w:trHeight w:val="195"/>
        </w:trPr>
        <w:tc>
          <w:tcPr>
            <w:tcW w:w="3800" w:type="dxa"/>
            <w:vAlign w:val="bottom"/>
            <w:shd w:val="clear" w:color="auto" w:fill="DBDBDB"/>
          </w:tcPr>
          <w:p>
            <w:pPr>
              <w:spacing w:after="0"/>
              <w:rPr>
                <w:sz w:val="17"/>
                <w:szCs w:val="17"/>
                <w:color w:val="auto"/>
              </w:rPr>
            </w:pPr>
          </w:p>
        </w:tc>
        <w:tc>
          <w:tcPr>
            <w:tcW w:w="7460" w:type="dxa"/>
            <w:vAlign w:val="bottom"/>
            <w:gridSpan w:val="11"/>
          </w:tcPr>
          <w:p>
            <w:pPr>
              <w:ind w:left="20"/>
              <w:spacing w:after="0" w:line="195" w:lineRule="exact"/>
              <w:rPr>
                <w:sz w:val="20"/>
                <w:szCs w:val="20"/>
                <w:color w:val="auto"/>
              </w:rPr>
            </w:pPr>
            <w:r>
              <w:rPr>
                <w:rFonts w:ascii="Arial" w:cs="Arial" w:eastAsia="Arial" w:hAnsi="Arial"/>
                <w:sz w:val="13"/>
                <w:szCs w:val="13"/>
                <w:color w:val="auto"/>
              </w:rPr>
              <w:t xml:space="preserve">depreciation and amortization of $59, and change in fair </w:t>
            </w:r>
            <w:r>
              <w:rPr>
                <w:rFonts w:ascii="Arial" w:cs="Arial" w:eastAsia="Arial" w:hAnsi="Arial"/>
                <w:sz w:val="22"/>
                <w:szCs w:val="22"/>
                <w:color w:val="auto"/>
                <w:vertAlign w:val="subscript"/>
              </w:rPr>
              <w:t>depreciation and amortization of $112, change in fair</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spacing w:after="0"/>
              <w:rPr>
                <w:sz w:val="18"/>
                <w:szCs w:val="18"/>
                <w:color w:val="auto"/>
              </w:rPr>
            </w:pPr>
          </w:p>
        </w:tc>
        <w:tc>
          <w:tcPr>
            <w:tcW w:w="3100" w:type="dxa"/>
            <w:vAlign w:val="bottom"/>
            <w:gridSpan w:val="5"/>
          </w:tcPr>
          <w:p>
            <w:pPr>
              <w:ind w:left="20"/>
              <w:spacing w:after="0"/>
              <w:rPr>
                <w:sz w:val="20"/>
                <w:szCs w:val="20"/>
                <w:color w:val="auto"/>
              </w:rPr>
            </w:pPr>
            <w:r>
              <w:rPr>
                <w:rFonts w:ascii="Arial" w:cs="Arial" w:eastAsia="Arial" w:hAnsi="Arial"/>
                <w:sz w:val="16"/>
                <w:szCs w:val="16"/>
                <w:color w:val="auto"/>
              </w:rPr>
              <w:t>value of contingent consideration of $21.</w:t>
            </w:r>
          </w:p>
        </w:tc>
        <w:tc>
          <w:tcPr>
            <w:tcW w:w="4360" w:type="dxa"/>
            <w:vAlign w:val="bottom"/>
            <w:gridSpan w:val="6"/>
            <w:vMerge w:val="restart"/>
          </w:tcPr>
          <w:p>
            <w:pPr>
              <w:jc w:val="right"/>
              <w:spacing w:after="0"/>
              <w:rPr>
                <w:sz w:val="20"/>
                <w:szCs w:val="20"/>
                <w:color w:val="auto"/>
              </w:rPr>
            </w:pPr>
            <w:r>
              <w:rPr>
                <w:rFonts w:ascii="Arial" w:cs="Arial" w:eastAsia="Arial" w:hAnsi="Arial"/>
                <w:sz w:val="16"/>
                <w:szCs w:val="16"/>
                <w:color w:val="auto"/>
              </w:rPr>
              <w:t>value  of  contingent  consideration  of  $329,  and</w:t>
            </w:r>
          </w:p>
        </w:tc>
        <w:tc>
          <w:tcPr>
            <w:tcW w:w="0" w:type="dxa"/>
            <w:vAlign w:val="bottom"/>
          </w:tcPr>
          <w:p>
            <w:pPr>
              <w:spacing w:after="0"/>
              <w:rPr>
                <w:sz w:val="1"/>
                <w:szCs w:val="1"/>
                <w:color w:val="auto"/>
              </w:rPr>
            </w:pPr>
          </w:p>
        </w:tc>
      </w:tr>
      <w:tr>
        <w:trPr>
          <w:trHeight w:val="49"/>
        </w:trPr>
        <w:tc>
          <w:tcPr>
            <w:tcW w:w="3800" w:type="dxa"/>
            <w:vAlign w:val="bottom"/>
            <w:shd w:val="clear" w:color="auto" w:fill="DBDBDB"/>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3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3800" w:type="dxa"/>
            <w:vAlign w:val="bottom"/>
            <w:tcBorders>
              <w:bottom w:val="single" w:sz="8" w:color="DBDBDB"/>
            </w:tcBorders>
            <w:shd w:val="clear" w:color="auto" w:fill="DBDBDB"/>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360" w:type="dxa"/>
            <w:vAlign w:val="bottom"/>
            <w:gridSpan w:val="6"/>
          </w:tcPr>
          <w:p>
            <w:pPr>
              <w:ind w:left="640"/>
              <w:spacing w:after="0"/>
              <w:rPr>
                <w:sz w:val="20"/>
                <w:szCs w:val="20"/>
                <w:color w:val="auto"/>
              </w:rPr>
            </w:pPr>
            <w:r>
              <w:rPr>
                <w:rFonts w:ascii="Arial" w:cs="Arial" w:eastAsia="Arial" w:hAnsi="Arial"/>
                <w:sz w:val="16"/>
                <w:szCs w:val="16"/>
                <w:color w:val="auto"/>
              </w:rPr>
              <w:t>contingent consideration accretion of $13.</w:t>
            </w:r>
          </w:p>
        </w:tc>
        <w:tc>
          <w:tcPr>
            <w:tcW w:w="0" w:type="dxa"/>
            <w:vAlign w:val="bottom"/>
          </w:tcPr>
          <w:p>
            <w:pPr>
              <w:spacing w:after="0"/>
              <w:rPr>
                <w:sz w:val="1"/>
                <w:szCs w:val="1"/>
                <w:color w:val="auto"/>
              </w:rPr>
            </w:pPr>
          </w:p>
        </w:tc>
      </w:tr>
      <w:tr>
        <w:trPr>
          <w:trHeight w:val="211"/>
        </w:trPr>
        <w:tc>
          <w:tcPr>
            <w:tcW w:w="38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7460" w:type="dxa"/>
            <w:vAlign w:val="bottom"/>
            <w:tcBorders>
              <w:top w:val="single" w:sz="8" w:color="auto"/>
            </w:tcBorders>
            <w:gridSpan w:val="11"/>
          </w:tcPr>
          <w:p>
            <w:pPr>
              <w:ind w:left="20"/>
              <w:spacing w:after="0"/>
              <w:rPr>
                <w:sz w:val="20"/>
                <w:szCs w:val="20"/>
                <w:color w:val="auto"/>
              </w:rPr>
            </w:pPr>
            <w:r>
              <w:rPr>
                <w:rFonts w:ascii="Arial" w:cs="Arial" w:eastAsia="Arial" w:hAnsi="Arial"/>
                <w:sz w:val="16"/>
                <w:szCs w:val="16"/>
                <w:color w:val="auto"/>
                <w:w w:val="95"/>
              </w:rPr>
              <w:t>For the three-month period ended September 30, 2022, For the six-month period ended September 30, 2022,</w:t>
            </w:r>
          </w:p>
        </w:tc>
        <w:tc>
          <w:tcPr>
            <w:tcW w:w="0" w:type="dxa"/>
            <w:vAlign w:val="bottom"/>
          </w:tcPr>
          <w:p>
            <w:pPr>
              <w:spacing w:after="0"/>
              <w:rPr>
                <w:sz w:val="1"/>
                <w:szCs w:val="1"/>
                <w:color w:val="auto"/>
              </w:rPr>
            </w:pPr>
          </w:p>
        </w:tc>
      </w:tr>
      <w:tr>
        <w:trPr>
          <w:trHeight w:val="196"/>
        </w:trPr>
        <w:tc>
          <w:tcPr>
            <w:tcW w:w="3800" w:type="dxa"/>
            <w:vAlign w:val="bottom"/>
            <w:shd w:val="clear" w:color="auto" w:fill="DBDBDB"/>
          </w:tcPr>
          <w:p>
            <w:pPr>
              <w:spacing w:after="0"/>
              <w:rPr>
                <w:sz w:val="17"/>
                <w:szCs w:val="17"/>
                <w:color w:val="auto"/>
              </w:rPr>
            </w:pPr>
          </w:p>
        </w:tc>
        <w:tc>
          <w:tcPr>
            <w:tcW w:w="2280" w:type="dxa"/>
            <w:vAlign w:val="bottom"/>
            <w:gridSpan w:val="4"/>
          </w:tcPr>
          <w:p>
            <w:pPr>
              <w:ind w:left="20"/>
              <w:spacing w:after="0"/>
              <w:rPr>
                <w:sz w:val="20"/>
                <w:szCs w:val="20"/>
                <w:color w:val="auto"/>
              </w:rPr>
            </w:pPr>
            <w:r>
              <w:rPr>
                <w:rFonts w:ascii="Arial" w:cs="Arial" w:eastAsia="Arial" w:hAnsi="Arial"/>
                <w:sz w:val="16"/>
                <w:szCs w:val="16"/>
                <w:color w:val="auto"/>
              </w:rPr>
              <w:t>cash flows were mainly driven</w:t>
            </w:r>
          </w:p>
        </w:tc>
        <w:tc>
          <w:tcPr>
            <w:tcW w:w="5180" w:type="dxa"/>
            <w:vAlign w:val="bottom"/>
            <w:gridSpan w:val="7"/>
          </w:tcPr>
          <w:p>
            <w:pPr>
              <w:jc w:val="right"/>
              <w:spacing w:after="0"/>
              <w:rPr>
                <w:sz w:val="20"/>
                <w:szCs w:val="20"/>
                <w:color w:val="auto"/>
              </w:rPr>
            </w:pPr>
            <w:r>
              <w:rPr>
                <w:rFonts w:ascii="Arial" w:cs="Arial" w:eastAsia="Arial" w:hAnsi="Arial"/>
                <w:sz w:val="16"/>
                <w:szCs w:val="16"/>
                <w:color w:val="auto"/>
              </w:rPr>
              <w:t>by the purchase of cash flows were mainly driven by the purchase of</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intangible</w:t>
            </w:r>
          </w:p>
        </w:tc>
        <w:tc>
          <w:tcPr>
            <w:tcW w:w="500" w:type="dxa"/>
            <w:vAlign w:val="bottom"/>
          </w:tcPr>
          <w:p>
            <w:pPr>
              <w:jc w:val="center"/>
              <w:spacing w:after="0"/>
              <w:rPr>
                <w:sz w:val="20"/>
                <w:szCs w:val="20"/>
                <w:color w:val="auto"/>
              </w:rPr>
            </w:pPr>
            <w:r>
              <w:rPr>
                <w:rFonts w:ascii="Arial" w:cs="Arial" w:eastAsia="Arial" w:hAnsi="Arial"/>
                <w:sz w:val="16"/>
                <w:szCs w:val="16"/>
                <w:color w:val="auto"/>
                <w:w w:val="82"/>
              </w:rPr>
              <w:t>assets,</w:t>
            </w:r>
          </w:p>
        </w:tc>
        <w:tc>
          <w:tcPr>
            <w:tcW w:w="700" w:type="dxa"/>
            <w:vAlign w:val="bottom"/>
          </w:tcPr>
          <w:p>
            <w:pPr>
              <w:ind w:left="80"/>
              <w:spacing w:after="0"/>
              <w:rPr>
                <w:sz w:val="20"/>
                <w:szCs w:val="20"/>
                <w:color w:val="auto"/>
              </w:rPr>
            </w:pPr>
            <w:r>
              <w:rPr>
                <w:rFonts w:ascii="Arial" w:cs="Arial" w:eastAsia="Arial" w:hAnsi="Arial"/>
                <w:sz w:val="16"/>
                <w:szCs w:val="16"/>
                <w:color w:val="auto"/>
                <w:w w:val="94"/>
              </w:rPr>
              <w:t>including</w:t>
            </w:r>
          </w:p>
        </w:tc>
        <w:tc>
          <w:tcPr>
            <w:tcW w:w="340" w:type="dxa"/>
            <w:vAlign w:val="bottom"/>
          </w:tcPr>
          <w:p>
            <w:pPr>
              <w:ind w:left="120"/>
              <w:spacing w:after="0"/>
              <w:rPr>
                <w:sz w:val="20"/>
                <w:szCs w:val="20"/>
                <w:color w:val="auto"/>
              </w:rPr>
            </w:pPr>
            <w:r>
              <w:rPr>
                <w:rFonts w:ascii="Arial" w:cs="Arial" w:eastAsia="Arial" w:hAnsi="Arial"/>
                <w:sz w:val="16"/>
                <w:szCs w:val="16"/>
                <w:color w:val="auto"/>
                <w:w w:val="89"/>
              </w:rPr>
              <w:t>the</w:t>
            </w:r>
          </w:p>
        </w:tc>
        <w:tc>
          <w:tcPr>
            <w:tcW w:w="820" w:type="dxa"/>
            <w:vAlign w:val="bottom"/>
          </w:tcPr>
          <w:p>
            <w:pPr>
              <w:ind w:left="100"/>
              <w:spacing w:after="0"/>
              <w:rPr>
                <w:sz w:val="20"/>
                <w:szCs w:val="20"/>
                <w:color w:val="auto"/>
              </w:rPr>
            </w:pPr>
            <w:r>
              <w:rPr>
                <w:rFonts w:ascii="Arial" w:cs="Arial" w:eastAsia="Arial" w:hAnsi="Arial"/>
                <w:sz w:val="16"/>
                <w:szCs w:val="16"/>
                <w:color w:val="auto"/>
              </w:rPr>
              <w:t>exclusive</w:t>
            </w:r>
          </w:p>
        </w:tc>
        <w:tc>
          <w:tcPr>
            <w:tcW w:w="1340" w:type="dxa"/>
            <w:vAlign w:val="bottom"/>
          </w:tcPr>
          <w:p>
            <w:pPr>
              <w:spacing w:after="0"/>
              <w:rPr>
                <w:sz w:val="20"/>
                <w:szCs w:val="20"/>
                <w:color w:val="auto"/>
              </w:rPr>
            </w:pPr>
            <w:r>
              <w:rPr>
                <w:rFonts w:ascii="Arial" w:cs="Arial" w:eastAsia="Arial" w:hAnsi="Arial"/>
                <w:sz w:val="16"/>
                <w:szCs w:val="16"/>
                <w:color w:val="auto"/>
                <w:w w:val="97"/>
              </w:rPr>
              <w:t>licensing intangible</w:t>
            </w:r>
          </w:p>
        </w:tc>
        <w:tc>
          <w:tcPr>
            <w:tcW w:w="520" w:type="dxa"/>
            <w:vAlign w:val="bottom"/>
          </w:tcPr>
          <w:p>
            <w:pPr>
              <w:jc w:val="center"/>
              <w:spacing w:after="0"/>
              <w:rPr>
                <w:sz w:val="20"/>
                <w:szCs w:val="20"/>
                <w:color w:val="auto"/>
              </w:rPr>
            </w:pPr>
            <w:r>
              <w:rPr>
                <w:rFonts w:ascii="Arial" w:cs="Arial" w:eastAsia="Arial" w:hAnsi="Arial"/>
                <w:sz w:val="16"/>
                <w:szCs w:val="16"/>
                <w:color w:val="auto"/>
                <w:w w:val="82"/>
              </w:rPr>
              <w:t>assets,</w:t>
            </w:r>
          </w:p>
        </w:tc>
        <w:tc>
          <w:tcPr>
            <w:tcW w:w="700" w:type="dxa"/>
            <w:vAlign w:val="bottom"/>
          </w:tcPr>
          <w:p>
            <w:pPr>
              <w:ind w:left="80"/>
              <w:spacing w:after="0"/>
              <w:rPr>
                <w:sz w:val="20"/>
                <w:szCs w:val="20"/>
                <w:color w:val="auto"/>
              </w:rPr>
            </w:pPr>
            <w:r>
              <w:rPr>
                <w:rFonts w:ascii="Arial" w:cs="Arial" w:eastAsia="Arial" w:hAnsi="Arial"/>
                <w:sz w:val="16"/>
                <w:szCs w:val="16"/>
                <w:color w:val="auto"/>
                <w:w w:val="94"/>
              </w:rPr>
              <w:t>including</w:t>
            </w:r>
          </w:p>
        </w:tc>
        <w:tc>
          <w:tcPr>
            <w:tcW w:w="340" w:type="dxa"/>
            <w:vAlign w:val="bottom"/>
          </w:tcPr>
          <w:p>
            <w:pPr>
              <w:ind w:left="120"/>
              <w:spacing w:after="0"/>
              <w:rPr>
                <w:sz w:val="20"/>
                <w:szCs w:val="20"/>
                <w:color w:val="auto"/>
              </w:rPr>
            </w:pPr>
            <w:r>
              <w:rPr>
                <w:rFonts w:ascii="Arial" w:cs="Arial" w:eastAsia="Arial" w:hAnsi="Arial"/>
                <w:sz w:val="16"/>
                <w:szCs w:val="16"/>
                <w:color w:val="auto"/>
                <w:w w:val="89"/>
              </w:rPr>
              <w:t>the</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exclusive  licensing</w:t>
            </w:r>
          </w:p>
        </w:tc>
        <w:tc>
          <w:tcPr>
            <w:tcW w:w="0" w:type="dxa"/>
            <w:vAlign w:val="bottom"/>
          </w:tcPr>
          <w:p>
            <w:pPr>
              <w:spacing w:after="0"/>
              <w:rPr>
                <w:sz w:val="1"/>
                <w:szCs w:val="1"/>
                <w:color w:val="auto"/>
              </w:rPr>
            </w:pPr>
          </w:p>
        </w:tc>
      </w:tr>
      <w:tr>
        <w:trPr>
          <w:trHeight w:val="208"/>
        </w:trPr>
        <w:tc>
          <w:tcPr>
            <w:tcW w:w="3800" w:type="dxa"/>
            <w:vAlign w:val="bottom"/>
            <w:shd w:val="clear" w:color="auto" w:fill="DBDBDB"/>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w w:val="91"/>
              </w:rPr>
              <w:t>agreement</w:t>
            </w:r>
          </w:p>
        </w:tc>
        <w:tc>
          <w:tcPr>
            <w:tcW w:w="500" w:type="dxa"/>
            <w:vAlign w:val="bottom"/>
          </w:tcPr>
          <w:p>
            <w:pPr>
              <w:jc w:val="center"/>
              <w:spacing w:after="0"/>
              <w:rPr>
                <w:sz w:val="20"/>
                <w:szCs w:val="20"/>
                <w:color w:val="auto"/>
              </w:rPr>
            </w:pPr>
            <w:r>
              <w:rPr>
                <w:rFonts w:ascii="Arial" w:cs="Arial" w:eastAsia="Arial" w:hAnsi="Arial"/>
                <w:sz w:val="16"/>
                <w:szCs w:val="16"/>
                <w:color w:val="auto"/>
                <w:w w:val="98"/>
              </w:rPr>
              <w:t>with</w:t>
            </w:r>
          </w:p>
        </w:tc>
        <w:tc>
          <w:tcPr>
            <w:tcW w:w="700" w:type="dxa"/>
            <w:vAlign w:val="bottom"/>
          </w:tcPr>
          <w:p>
            <w:pPr>
              <w:ind w:left="20"/>
              <w:spacing w:after="0"/>
              <w:rPr>
                <w:sz w:val="20"/>
                <w:szCs w:val="20"/>
                <w:color w:val="auto"/>
              </w:rPr>
            </w:pPr>
            <w:r>
              <w:rPr>
                <w:rFonts w:ascii="Arial" w:cs="Arial" w:eastAsia="Arial" w:hAnsi="Arial"/>
                <w:sz w:val="16"/>
                <w:szCs w:val="16"/>
                <w:color w:val="auto"/>
              </w:rPr>
              <w:t>Mindset</w:t>
            </w:r>
          </w:p>
        </w:tc>
        <w:tc>
          <w:tcPr>
            <w:tcW w:w="340" w:type="dxa"/>
            <w:vAlign w:val="bottom"/>
          </w:tcPr>
          <w:p>
            <w:pPr>
              <w:spacing w:after="0"/>
              <w:rPr>
                <w:sz w:val="20"/>
                <w:szCs w:val="20"/>
                <w:color w:val="auto"/>
              </w:rPr>
            </w:pPr>
            <w:r>
              <w:rPr>
                <w:rFonts w:ascii="Arial" w:cs="Arial" w:eastAsia="Arial" w:hAnsi="Arial"/>
                <w:sz w:val="16"/>
                <w:szCs w:val="16"/>
                <w:color w:val="auto"/>
              </w:rPr>
              <w:t>and</w:t>
            </w:r>
          </w:p>
        </w:tc>
        <w:tc>
          <w:tcPr>
            <w:tcW w:w="2160" w:type="dxa"/>
            <w:vAlign w:val="bottom"/>
            <w:gridSpan w:val="2"/>
          </w:tcPr>
          <w:p>
            <w:pPr>
              <w:ind w:left="40"/>
              <w:spacing w:after="0"/>
              <w:rPr>
                <w:sz w:val="20"/>
                <w:szCs w:val="20"/>
                <w:color w:val="auto"/>
              </w:rPr>
            </w:pPr>
            <w:r>
              <w:rPr>
                <w:rFonts w:ascii="Arial" w:cs="Arial" w:eastAsia="Arial" w:hAnsi="Arial"/>
                <w:sz w:val="16"/>
                <w:szCs w:val="16"/>
                <w:color w:val="auto"/>
                <w:w w:val="95"/>
              </w:rPr>
              <w:t>the  Entheon  Asset agreement</w:t>
            </w:r>
          </w:p>
        </w:tc>
        <w:tc>
          <w:tcPr>
            <w:tcW w:w="520" w:type="dxa"/>
            <w:vAlign w:val="bottom"/>
          </w:tcPr>
          <w:p>
            <w:pPr>
              <w:jc w:val="center"/>
              <w:spacing w:after="0"/>
              <w:rPr>
                <w:sz w:val="20"/>
                <w:szCs w:val="20"/>
                <w:color w:val="auto"/>
              </w:rPr>
            </w:pPr>
            <w:r>
              <w:rPr>
                <w:rFonts w:ascii="Arial" w:cs="Arial" w:eastAsia="Arial" w:hAnsi="Arial"/>
                <w:sz w:val="16"/>
                <w:szCs w:val="16"/>
                <w:color w:val="auto"/>
                <w:w w:val="98"/>
              </w:rPr>
              <w:t>with</w:t>
            </w:r>
          </w:p>
        </w:tc>
        <w:tc>
          <w:tcPr>
            <w:tcW w:w="700" w:type="dxa"/>
            <w:vAlign w:val="bottom"/>
          </w:tcPr>
          <w:p>
            <w:pPr>
              <w:ind w:left="20"/>
              <w:spacing w:after="0"/>
              <w:rPr>
                <w:sz w:val="20"/>
                <w:szCs w:val="20"/>
                <w:color w:val="auto"/>
              </w:rPr>
            </w:pPr>
            <w:r>
              <w:rPr>
                <w:rFonts w:ascii="Arial" w:cs="Arial" w:eastAsia="Arial" w:hAnsi="Arial"/>
                <w:sz w:val="16"/>
                <w:szCs w:val="16"/>
                <w:color w:val="auto"/>
              </w:rPr>
              <w:t>Mindset</w:t>
            </w:r>
          </w:p>
        </w:tc>
        <w:tc>
          <w:tcPr>
            <w:tcW w:w="340" w:type="dxa"/>
            <w:vAlign w:val="bottom"/>
          </w:tcPr>
          <w:p>
            <w:pPr>
              <w:spacing w:after="0"/>
              <w:rPr>
                <w:sz w:val="20"/>
                <w:szCs w:val="20"/>
                <w:color w:val="auto"/>
              </w:rPr>
            </w:pPr>
            <w:r>
              <w:rPr>
                <w:rFonts w:ascii="Arial" w:cs="Arial" w:eastAsia="Arial" w:hAnsi="Arial"/>
                <w:sz w:val="16"/>
                <w:szCs w:val="16"/>
                <w:color w:val="auto"/>
              </w:rPr>
              <w:t>and</w:t>
            </w:r>
          </w:p>
        </w:tc>
        <w:tc>
          <w:tcPr>
            <w:tcW w:w="360" w:type="dxa"/>
            <w:vAlign w:val="bottom"/>
          </w:tcPr>
          <w:p>
            <w:pPr>
              <w:ind w:left="40"/>
              <w:spacing w:after="0"/>
              <w:rPr>
                <w:sz w:val="20"/>
                <w:szCs w:val="20"/>
                <w:color w:val="auto"/>
              </w:rPr>
            </w:pPr>
            <w:r>
              <w:rPr>
                <w:rFonts w:ascii="Arial" w:cs="Arial" w:eastAsia="Arial" w:hAnsi="Arial"/>
                <w:sz w:val="16"/>
                <w:szCs w:val="16"/>
                <w:color w:val="auto"/>
              </w:rPr>
              <w:t>the</w:t>
            </w:r>
          </w:p>
        </w:tc>
        <w:tc>
          <w:tcPr>
            <w:tcW w:w="1100" w:type="dxa"/>
            <w:vAlign w:val="bottom"/>
          </w:tcPr>
          <w:p>
            <w:pPr>
              <w:jc w:val="right"/>
              <w:spacing w:after="0"/>
              <w:rPr>
                <w:sz w:val="20"/>
                <w:szCs w:val="20"/>
                <w:color w:val="auto"/>
              </w:rPr>
            </w:pPr>
            <w:r>
              <w:rPr>
                <w:rFonts w:ascii="Arial" w:cs="Arial" w:eastAsia="Arial" w:hAnsi="Arial"/>
                <w:sz w:val="16"/>
                <w:szCs w:val="16"/>
                <w:color w:val="auto"/>
                <w:w w:val="95"/>
              </w:rPr>
              <w:t>Entheon  Asset</w:t>
            </w:r>
          </w:p>
        </w:tc>
        <w:tc>
          <w:tcPr>
            <w:tcW w:w="0" w:type="dxa"/>
            <w:vAlign w:val="bottom"/>
          </w:tcPr>
          <w:p>
            <w:pPr>
              <w:spacing w:after="0"/>
              <w:rPr>
                <w:sz w:val="1"/>
                <w:szCs w:val="1"/>
                <w:color w:val="auto"/>
              </w:rPr>
            </w:pPr>
          </w:p>
        </w:tc>
      </w:tr>
      <w:tr>
        <w:trPr>
          <w:trHeight w:val="196"/>
        </w:trPr>
        <w:tc>
          <w:tcPr>
            <w:tcW w:w="3800" w:type="dxa"/>
            <w:vAlign w:val="bottom"/>
            <w:shd w:val="clear" w:color="auto" w:fill="DBDBDB"/>
          </w:tcPr>
          <w:p>
            <w:pPr>
              <w:spacing w:after="0"/>
              <w:rPr>
                <w:sz w:val="17"/>
                <w:szCs w:val="17"/>
                <w:color w:val="auto"/>
              </w:rPr>
            </w:pPr>
          </w:p>
        </w:tc>
        <w:tc>
          <w:tcPr>
            <w:tcW w:w="1940" w:type="dxa"/>
            <w:vAlign w:val="bottom"/>
            <w:gridSpan w:val="3"/>
          </w:tcPr>
          <w:p>
            <w:pPr>
              <w:ind w:left="20"/>
              <w:spacing w:after="0"/>
              <w:rPr>
                <w:sz w:val="20"/>
                <w:szCs w:val="20"/>
                <w:color w:val="auto"/>
              </w:rPr>
            </w:pPr>
            <w:r>
              <w:rPr>
                <w:rFonts w:ascii="Arial" w:cs="Arial" w:eastAsia="Arial" w:hAnsi="Arial"/>
                <w:sz w:val="16"/>
                <w:szCs w:val="16"/>
                <w:color w:val="auto"/>
              </w:rPr>
              <w:t>Acquisition, of $2,676</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360" w:type="dxa"/>
            <w:vAlign w:val="bottom"/>
            <w:gridSpan w:val="6"/>
          </w:tcPr>
          <w:p>
            <w:pPr>
              <w:jc w:val="right"/>
              <w:spacing w:after="0"/>
              <w:rPr>
                <w:sz w:val="20"/>
                <w:szCs w:val="20"/>
                <w:color w:val="auto"/>
              </w:rPr>
            </w:pPr>
            <w:r>
              <w:rPr>
                <w:rFonts w:ascii="Arial" w:cs="Arial" w:eastAsia="Arial" w:hAnsi="Arial"/>
                <w:sz w:val="16"/>
                <w:szCs w:val="16"/>
                <w:color w:val="auto"/>
              </w:rPr>
              <w:t>Acquisition, of $2,742 and the purchase of equipment of</w:t>
            </w:r>
          </w:p>
        </w:tc>
        <w:tc>
          <w:tcPr>
            <w:tcW w:w="0" w:type="dxa"/>
            <w:vAlign w:val="bottom"/>
          </w:tcPr>
          <w:p>
            <w:pPr>
              <w:spacing w:after="0"/>
              <w:rPr>
                <w:sz w:val="1"/>
                <w:szCs w:val="1"/>
                <w:color w:val="auto"/>
              </w:rPr>
            </w:pPr>
          </w:p>
        </w:tc>
      </w:tr>
      <w:tr>
        <w:trPr>
          <w:trHeight w:val="257"/>
        </w:trPr>
        <w:tc>
          <w:tcPr>
            <w:tcW w:w="3800" w:type="dxa"/>
            <w:vAlign w:val="bottom"/>
            <w:tcBorders>
              <w:bottom w:val="single" w:sz="8" w:color="DBDBDB"/>
            </w:tcBorders>
            <w:shd w:val="clear" w:color="auto" w:fill="DBDBDB"/>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ind w:left="640"/>
              <w:spacing w:after="0"/>
              <w:rPr>
                <w:sz w:val="20"/>
                <w:szCs w:val="20"/>
                <w:color w:val="auto"/>
              </w:rPr>
            </w:pPr>
            <w:r>
              <w:rPr>
                <w:rFonts w:ascii="Arial" w:cs="Arial" w:eastAsia="Arial" w:hAnsi="Arial"/>
                <w:sz w:val="16"/>
                <w:szCs w:val="16"/>
                <w:color w:val="auto"/>
              </w:rPr>
              <w:t>$142.</w:t>
            </w: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8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cash from financing activities</w:t>
            </w:r>
          </w:p>
        </w:tc>
        <w:tc>
          <w:tcPr>
            <w:tcW w:w="7460" w:type="dxa"/>
            <w:vAlign w:val="bottom"/>
            <w:tcBorders>
              <w:top w:val="single" w:sz="8" w:color="auto"/>
            </w:tcBorders>
            <w:gridSpan w:val="11"/>
          </w:tcPr>
          <w:p>
            <w:pPr>
              <w:ind w:left="20"/>
              <w:spacing w:after="0"/>
              <w:rPr>
                <w:sz w:val="20"/>
                <w:szCs w:val="20"/>
                <w:color w:val="auto"/>
              </w:rPr>
            </w:pPr>
            <w:r>
              <w:rPr>
                <w:rFonts w:ascii="Arial" w:cs="Arial" w:eastAsia="Arial" w:hAnsi="Arial"/>
                <w:sz w:val="16"/>
                <w:szCs w:val="16"/>
                <w:color w:val="auto"/>
                <w:w w:val="95"/>
              </w:rPr>
              <w:t>For the three-month period ended September 30, 2022, For the six-month period ended September 30, 2022,</w:t>
            </w:r>
          </w:p>
        </w:tc>
        <w:tc>
          <w:tcPr>
            <w:tcW w:w="0" w:type="dxa"/>
            <w:vAlign w:val="bottom"/>
          </w:tcPr>
          <w:p>
            <w:pPr>
              <w:spacing w:after="0"/>
              <w:rPr>
                <w:sz w:val="1"/>
                <w:szCs w:val="1"/>
                <w:color w:val="auto"/>
              </w:rPr>
            </w:pPr>
          </w:p>
        </w:tc>
      </w:tr>
      <w:tr>
        <w:trPr>
          <w:trHeight w:val="195"/>
        </w:trPr>
        <w:tc>
          <w:tcPr>
            <w:tcW w:w="3800" w:type="dxa"/>
            <w:vAlign w:val="bottom"/>
            <w:shd w:val="clear" w:color="auto" w:fill="DBDBDB"/>
          </w:tcPr>
          <w:p>
            <w:pPr>
              <w:spacing w:after="0"/>
              <w:rPr>
                <w:sz w:val="17"/>
                <w:szCs w:val="17"/>
                <w:color w:val="auto"/>
              </w:rPr>
            </w:pPr>
          </w:p>
        </w:tc>
        <w:tc>
          <w:tcPr>
            <w:tcW w:w="7460" w:type="dxa"/>
            <w:vAlign w:val="bottom"/>
            <w:gridSpan w:val="11"/>
          </w:tcPr>
          <w:p>
            <w:pPr>
              <w:ind w:left="20"/>
              <w:spacing w:after="0"/>
              <w:rPr>
                <w:sz w:val="20"/>
                <w:szCs w:val="20"/>
                <w:color w:val="auto"/>
              </w:rPr>
            </w:pPr>
            <w:r>
              <w:rPr>
                <w:rFonts w:ascii="Arial" w:cs="Arial" w:eastAsia="Arial" w:hAnsi="Arial"/>
                <w:sz w:val="16"/>
                <w:szCs w:val="16"/>
                <w:color w:val="auto"/>
                <w:w w:val="96"/>
              </w:rPr>
              <w:t>cash flows from financing activities were related to net cash flows from financing activities were related to net</w:t>
            </w:r>
          </w:p>
        </w:tc>
        <w:tc>
          <w:tcPr>
            <w:tcW w:w="0" w:type="dxa"/>
            <w:vAlign w:val="bottom"/>
          </w:tcPr>
          <w:p>
            <w:pPr>
              <w:spacing w:after="0"/>
              <w:rPr>
                <w:sz w:val="1"/>
                <w:szCs w:val="1"/>
                <w:color w:val="auto"/>
              </w:rPr>
            </w:pPr>
          </w:p>
        </w:tc>
      </w:tr>
      <w:tr>
        <w:trPr>
          <w:trHeight w:val="195"/>
        </w:trPr>
        <w:tc>
          <w:tcPr>
            <w:tcW w:w="3800" w:type="dxa"/>
            <w:vAlign w:val="bottom"/>
            <w:shd w:val="clear" w:color="auto" w:fill="DBDBDB"/>
          </w:tcPr>
          <w:p>
            <w:pPr>
              <w:spacing w:after="0"/>
              <w:rPr>
                <w:sz w:val="17"/>
                <w:szCs w:val="17"/>
                <w:color w:val="auto"/>
              </w:rPr>
            </w:pPr>
          </w:p>
        </w:tc>
        <w:tc>
          <w:tcPr>
            <w:tcW w:w="7460" w:type="dxa"/>
            <w:vAlign w:val="bottom"/>
            <w:gridSpan w:val="11"/>
          </w:tcPr>
          <w:p>
            <w:pPr>
              <w:ind w:left="20"/>
              <w:spacing w:after="0"/>
              <w:rPr>
                <w:sz w:val="20"/>
                <w:szCs w:val="20"/>
                <w:color w:val="auto"/>
              </w:rPr>
            </w:pPr>
            <w:r>
              <w:rPr>
                <w:rFonts w:ascii="Arial" w:cs="Arial" w:eastAsia="Arial" w:hAnsi="Arial"/>
                <w:sz w:val="16"/>
                <w:szCs w:val="16"/>
                <w:color w:val="auto"/>
                <w:w w:val="91"/>
              </w:rPr>
              <w:t>proceeds from issuance of Common Shares, through the proceeds from issuance of Common Shares, through the</w:t>
            </w:r>
          </w:p>
        </w:tc>
        <w:tc>
          <w:tcPr>
            <w:tcW w:w="0" w:type="dxa"/>
            <w:vAlign w:val="bottom"/>
          </w:tcPr>
          <w:p>
            <w:pPr>
              <w:spacing w:after="0"/>
              <w:rPr>
                <w:sz w:val="1"/>
                <w:szCs w:val="1"/>
                <w:color w:val="auto"/>
              </w:rPr>
            </w:pPr>
          </w:p>
        </w:tc>
      </w:tr>
      <w:tr>
        <w:trPr>
          <w:trHeight w:val="195"/>
        </w:trPr>
        <w:tc>
          <w:tcPr>
            <w:tcW w:w="3800" w:type="dxa"/>
            <w:vAlign w:val="bottom"/>
            <w:shd w:val="clear" w:color="auto" w:fill="DBDBDB"/>
          </w:tcPr>
          <w:p>
            <w:pPr>
              <w:spacing w:after="0"/>
              <w:rPr>
                <w:sz w:val="17"/>
                <w:szCs w:val="17"/>
                <w:color w:val="auto"/>
              </w:rPr>
            </w:pPr>
          </w:p>
        </w:tc>
        <w:tc>
          <w:tcPr>
            <w:tcW w:w="5660" w:type="dxa"/>
            <w:vAlign w:val="bottom"/>
            <w:gridSpan w:val="8"/>
          </w:tcPr>
          <w:p>
            <w:pPr>
              <w:ind w:left="20"/>
              <w:spacing w:after="0"/>
              <w:rPr>
                <w:sz w:val="20"/>
                <w:szCs w:val="20"/>
                <w:color w:val="auto"/>
              </w:rPr>
            </w:pPr>
            <w:r>
              <w:rPr>
                <w:rFonts w:ascii="Arial" w:cs="Arial" w:eastAsia="Arial" w:hAnsi="Arial"/>
                <w:sz w:val="16"/>
                <w:szCs w:val="16"/>
                <w:color w:val="auto"/>
                <w:w w:val="97"/>
              </w:rPr>
              <w:t>ATM program, of $4,598 and $48 related to the exercise ATM program, of $4,598</w:t>
            </w:r>
          </w:p>
        </w:tc>
        <w:tc>
          <w:tcPr>
            <w:tcW w:w="340" w:type="dxa"/>
            <w:vAlign w:val="bottom"/>
          </w:tcPr>
          <w:p>
            <w:pPr>
              <w:ind w:left="20"/>
              <w:spacing w:after="0"/>
              <w:rPr>
                <w:sz w:val="20"/>
                <w:szCs w:val="20"/>
                <w:color w:val="auto"/>
              </w:rPr>
            </w:pPr>
            <w:r>
              <w:rPr>
                <w:rFonts w:ascii="Arial" w:cs="Arial" w:eastAsia="Arial" w:hAnsi="Arial"/>
                <w:sz w:val="16"/>
                <w:szCs w:val="16"/>
                <w:color w:val="auto"/>
              </w:rPr>
              <w:t>and</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$362</w:t>
            </w:r>
          </w:p>
        </w:tc>
        <w:tc>
          <w:tcPr>
            <w:tcW w:w="1100" w:type="dxa"/>
            <w:vAlign w:val="bottom"/>
          </w:tcPr>
          <w:p>
            <w:pPr>
              <w:jc w:val="right"/>
              <w:spacing w:after="0"/>
              <w:rPr>
                <w:sz w:val="20"/>
                <w:szCs w:val="20"/>
                <w:color w:val="auto"/>
              </w:rPr>
            </w:pPr>
            <w:r>
              <w:rPr>
                <w:rFonts w:ascii="Arial" w:cs="Arial" w:eastAsia="Arial" w:hAnsi="Arial"/>
                <w:sz w:val="16"/>
                <w:szCs w:val="16"/>
                <w:color w:val="auto"/>
              </w:rPr>
              <w:t>related to the</w:t>
            </w:r>
          </w:p>
        </w:tc>
        <w:tc>
          <w:tcPr>
            <w:tcW w:w="0" w:type="dxa"/>
            <w:vAlign w:val="bottom"/>
          </w:tcPr>
          <w:p>
            <w:pPr>
              <w:spacing w:after="0"/>
              <w:rPr>
                <w:sz w:val="1"/>
                <w:szCs w:val="1"/>
                <w:color w:val="auto"/>
              </w:rPr>
            </w:pPr>
          </w:p>
        </w:tc>
      </w:tr>
      <w:tr>
        <w:trPr>
          <w:trHeight w:val="212"/>
        </w:trPr>
        <w:tc>
          <w:tcPr>
            <w:tcW w:w="3800" w:type="dxa"/>
            <w:vAlign w:val="bottom"/>
            <w:tcBorders>
              <w:bottom w:val="single" w:sz="8" w:color="DBDBDB"/>
            </w:tcBorders>
            <w:shd w:val="clear" w:color="auto" w:fill="DBDBDB"/>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of warrants.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60" w:type="dxa"/>
            <w:vAlign w:val="bottom"/>
            <w:gridSpan w:val="3"/>
          </w:tcPr>
          <w:p>
            <w:pPr>
              <w:ind w:left="640"/>
              <w:spacing w:after="0"/>
              <w:rPr>
                <w:sz w:val="20"/>
                <w:szCs w:val="20"/>
                <w:color w:val="auto"/>
              </w:rPr>
            </w:pPr>
            <w:r>
              <w:rPr>
                <w:rFonts w:ascii="Arial" w:cs="Arial" w:eastAsia="Arial" w:hAnsi="Arial"/>
                <w:sz w:val="16"/>
                <w:szCs w:val="16"/>
                <w:color w:val="auto"/>
              </w:rPr>
              <w:t>exercise of warrants.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August 8, 2022, the Company established an ATM Program that allows the Company to issue and sell up to US$35,000 of Common Shares in the capital of the Company from treasury to the public, from time to time. Distributions of Common Shares under the ATM Program will be made pursuant to the terms and conditions of the Distribution Agreement. The ATM Program will be effective until the earlier of the issuance and sale of all of the Common Shares issuable pursuant to the ATM Program and August 5, 2023 unless earlier terminated in accordance with the terms of the Distribution Agreement. The Company is not obligated to make any sales of Common Shares under the ATM Program and there can be no assurance as to when such sales will be completed, if ever. The volume and timing of distributions under the ATM Program, if any, will be determined in Cybin’s sole discretion and in accordance with the Distribution Agreement. As any Common Shares distributed under the ATM Program will be issued and sold at the prevailing market price at the time of the applicable sale, prices may vary among purchasers through the duration of the ATM Program. As at September 30, 2022, the Company sold 5,331,630 Common Shares, of which 213,452 were not yet settled, at an average price of $0.9666 (US$0.7317) per Common Share, for aggregate gross proceeds of $5,154 (US$3,901), of which $392 (US$285) was receivable at September 30, 2022.</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320" w:top="758" w:right="319" w:bottom="1440" w:gutter="0" w:footer="0" w:header="0"/>
        </w:sectPr>
      </w:pPr>
    </w:p>
    <w:bookmarkStart w:id="61" w:name="page62"/>
    <w:bookmarkEnd w:id="61"/>
    <w:p>
      <w:pPr>
        <w:jc w:val="both"/>
        <w:spacing w:after="0" w:line="261" w:lineRule="auto"/>
        <w:rPr>
          <w:sz w:val="20"/>
          <w:szCs w:val="20"/>
          <w:color w:val="auto"/>
        </w:rPr>
      </w:pPr>
      <w:r>
        <w:rPr>
          <w:rFonts w:ascii="Arial" w:cs="Arial" w:eastAsia="Arial" w:hAnsi="Arial"/>
          <w:sz w:val="18"/>
          <w:szCs w:val="18"/>
          <w:color w:val="auto"/>
        </w:rPr>
        <w:t>As at September 30, 2022, the Company had working capital of $33,414.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9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Company intends to continue its rapid growth and expand its operations in the next twelve to twenty-four months. This growth, along with the expectation of operating at a loss for at minimum the next 12 months, will diminish the Company’s working capital. As such, further financings may be required to develop the Company’s facility and products,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65"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The Company’s current expenditure obligations include commitments for those projects described in the section entitled “</w:t>
      </w:r>
      <w:r>
        <w:rPr>
          <w:rFonts w:ascii="Arial" w:cs="Arial" w:eastAsia="Arial" w:hAnsi="Arial"/>
          <w:sz w:val="17"/>
          <w:szCs w:val="17"/>
          <w:i w:val="1"/>
          <w:iCs w:val="1"/>
          <w:color w:val="auto"/>
        </w:rPr>
        <w:t>Major Objectives</w:t>
      </w:r>
      <w:r>
        <w:rPr>
          <w:rFonts w:ascii="Arial" w:cs="Arial" w:eastAsia="Arial" w:hAnsi="Arial"/>
          <w:sz w:val="17"/>
          <w:szCs w:val="17"/>
          <w:color w:val="auto"/>
        </w:rPr>
        <w:t>” 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constantly monitors and manages its capital resources to assess the liquidity necessary to fund operations and capacity expansion. As at September 30, 2022, the Company had a cash balance of $29,937 and current liabilities of $4,882. The Company’s current resources are sufficient to settle its current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raise the capital necessary to become a fully operational enterprise.</w:t>
      </w:r>
    </w:p>
    <w:p>
      <w:pPr>
        <w:spacing w:after="0" w:line="208"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“Risk Factors”.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raised capital pursuant to the February 2021 Prospectus, under which the Company issued 15,264,000 units of the Company (each, a "</w:t>
      </w:r>
      <w:r>
        <w:rPr>
          <w:rFonts w:ascii="Arial" w:cs="Arial" w:eastAsia="Arial" w:hAnsi="Arial"/>
          <w:sz w:val="18"/>
          <w:szCs w:val="18"/>
          <w:b w:val="1"/>
          <w:bCs w:val="1"/>
          <w:color w:val="auto"/>
        </w:rPr>
        <w:t>Unit</w:t>
      </w:r>
      <w:r>
        <w:rPr>
          <w:rFonts w:ascii="Arial" w:cs="Arial" w:eastAsia="Arial" w:hAnsi="Arial"/>
          <w:sz w:val="18"/>
          <w:szCs w:val="18"/>
          <w:color w:val="auto"/>
        </w:rPr>
        <w:t>") at a price of $2.25 per Unit for aggregate gross proceeds of $34,304, and pursuant to the July Prospectus Supplement, under which the Company issued 10,147,600 Common Shares at a price of $3.40 per Common Share for aggregate gross proceeds of $34,502. In addition, the Company is currently raising capital through its ATM Program, to continue to support its strategic plan. As at September 30, 2022, the Company sold 5,331,630 Common Shares, at an average price of US$0.7317 per Common Share, for aggregate gross proceeds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320" w:top="709" w:right="319" w:bottom="1440" w:gutter="0" w:footer="0" w:header="0"/>
        </w:sectPr>
      </w:pPr>
    </w:p>
    <w:bookmarkStart w:id="62" w:name="page63"/>
    <w:bookmarkEnd w:id="62"/>
    <w:p>
      <w:pPr>
        <w:jc w:val="both"/>
        <w:spacing w:after="0" w:line="291" w:lineRule="auto"/>
        <w:rPr>
          <w:sz w:val="20"/>
          <w:szCs w:val="20"/>
          <w:color w:val="auto"/>
        </w:rPr>
      </w:pPr>
      <w:r>
        <w:rPr>
          <w:rFonts w:ascii="Arial" w:cs="Arial" w:eastAsia="Arial" w:hAnsi="Arial"/>
          <w:sz w:val="16"/>
          <w:szCs w:val="16"/>
          <w:color w:val="auto"/>
        </w:rPr>
        <w:t>of US$3,901.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08"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As at September 30, 2022, the Company had also entered into agreements for various studies which may require the Company to spend up to an additional US$7,097. The Company expects to pay this amount within the next 18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4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Neo Exchange Inc. There is no assurance that the aforementioned milestones will be met.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out the outstanding share capital of the Company as at September 30, 2022 and as of the date of this MD&amp;A:</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280" w:type="dxa"/>
            <w:vAlign w:val="bottom"/>
            <w:tcBorders>
              <w:top w:val="single" w:sz="8" w:color="auto"/>
              <w:left w:val="single" w:sz="8" w:color="auto"/>
              <w:bottom w:val="single" w:sz="8" w:color="DBDBDB"/>
              <w:right w:val="single" w:sz="8" w:color="auto"/>
            </w:tcBorders>
            <w:shd w:val="clear" w:color="auto" w:fill="DBDBDB"/>
          </w:tcPr>
          <w:p>
            <w:pPr>
              <w:ind w:left="1560"/>
              <w:spacing w:after="0"/>
              <w:rPr>
                <w:sz w:val="20"/>
                <w:szCs w:val="20"/>
                <w:color w:val="auto"/>
              </w:rPr>
            </w:pPr>
            <w:r>
              <w:rPr>
                <w:rFonts w:ascii="Arial" w:cs="Arial" w:eastAsia="Arial" w:hAnsi="Arial"/>
                <w:sz w:val="16"/>
                <w:szCs w:val="16"/>
                <w:b w:val="1"/>
                <w:bCs w:val="1"/>
                <w:color w:val="auto"/>
              </w:rPr>
              <w:t>Class of Security</w:t>
            </w:r>
          </w:p>
        </w:tc>
        <w:tc>
          <w:tcPr>
            <w:tcW w:w="3220" w:type="dxa"/>
            <w:vAlign w:val="bottom"/>
            <w:tcBorders>
              <w:top w:val="single" w:sz="8" w:color="auto"/>
              <w:bottom w:val="single" w:sz="8" w:color="DBDBDB"/>
              <w:right w:val="single" w:sz="8" w:color="auto"/>
            </w:tcBorders>
            <w:shd w:val="clear" w:color="auto" w:fill="DBDBDB"/>
          </w:tcPr>
          <w:p>
            <w:pPr>
              <w:jc w:val="right"/>
              <w:ind w:right="659"/>
              <w:spacing w:after="0"/>
              <w:rPr>
                <w:sz w:val="20"/>
                <w:szCs w:val="20"/>
                <w:color w:val="auto"/>
              </w:rPr>
            </w:pPr>
            <w:r>
              <w:rPr>
                <w:rFonts w:ascii="Arial" w:cs="Arial" w:eastAsia="Arial" w:hAnsi="Arial"/>
                <w:sz w:val="16"/>
                <w:szCs w:val="16"/>
                <w:b w:val="1"/>
                <w:bCs w:val="1"/>
                <w:color w:val="auto"/>
              </w:rPr>
              <w:t>As of September 30, 2022</w:t>
            </w:r>
          </w:p>
        </w:tc>
        <w:tc>
          <w:tcPr>
            <w:tcW w:w="3660" w:type="dxa"/>
            <w:vAlign w:val="bottom"/>
            <w:tcBorders>
              <w:top w:val="single" w:sz="8" w:color="auto"/>
              <w:bottom w:val="single" w:sz="8" w:color="DBDBDB"/>
              <w:right w:val="single" w:sz="8" w:color="auto"/>
            </w:tcBorders>
            <w:shd w:val="clear" w:color="auto" w:fill="DBDBDB"/>
          </w:tcPr>
          <w:p>
            <w:pPr>
              <w:jc w:val="right"/>
              <w:ind w:right="779"/>
              <w:spacing w:after="0"/>
              <w:rPr>
                <w:sz w:val="20"/>
                <w:szCs w:val="20"/>
                <w:color w:val="auto"/>
              </w:rPr>
            </w:pPr>
            <w:r>
              <w:rPr>
                <w:rFonts w:ascii="Arial" w:cs="Arial" w:eastAsia="Arial" w:hAnsi="Arial"/>
                <w:sz w:val="16"/>
                <w:szCs w:val="16"/>
                <w:b w:val="1"/>
                <w:bCs w:val="1"/>
                <w:color w:val="auto"/>
              </w:rPr>
              <w:t>As of the date of this MD&amp;A</w:t>
            </w:r>
          </w:p>
        </w:tc>
      </w:tr>
      <w:tr>
        <w:trPr>
          <w:trHeight w:val="211"/>
        </w:trPr>
        <w:tc>
          <w:tcPr>
            <w:tcW w:w="42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Shares</w:t>
            </w:r>
          </w:p>
        </w:tc>
        <w:tc>
          <w:tcPr>
            <w:tcW w:w="3220" w:type="dxa"/>
            <w:vAlign w:val="bottom"/>
            <w:tcBorders>
              <w:top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171,516,801</w:t>
            </w:r>
          </w:p>
        </w:tc>
        <w:tc>
          <w:tcPr>
            <w:tcW w:w="36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176,559,621</w:t>
            </w:r>
          </w:p>
        </w:tc>
      </w:tr>
      <w:tr>
        <w:trPr>
          <w:trHeight w:val="38"/>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Stock options</w:t>
            </w:r>
          </w:p>
        </w:tc>
        <w:tc>
          <w:tcPr>
            <w:tcW w:w="3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30,014,752</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29,921,002</w:t>
            </w:r>
          </w:p>
        </w:tc>
      </w:tr>
      <w:tr>
        <w:trPr>
          <w:trHeight w:val="38"/>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Underwriters Warrants</w:t>
            </w:r>
          </w:p>
        </w:tc>
        <w:tc>
          <w:tcPr>
            <w:tcW w:w="3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868,740</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868,740</w:t>
            </w:r>
          </w:p>
        </w:tc>
      </w:tr>
      <w:tr>
        <w:trPr>
          <w:trHeight w:val="38"/>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 purchase warrants</w:t>
            </w:r>
          </w:p>
        </w:tc>
        <w:tc>
          <w:tcPr>
            <w:tcW w:w="3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24,384,198</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23,230,485</w:t>
            </w:r>
          </w:p>
        </w:tc>
      </w:tr>
      <w:tr>
        <w:trPr>
          <w:trHeight w:val="38"/>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74"/>
        </w:trPr>
        <w:tc>
          <w:tcPr>
            <w:tcW w:w="4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Class B Shares (as defined below) </w:t>
            </w:r>
            <w:r>
              <w:rPr>
                <w:rFonts w:ascii="Arial" w:cs="Arial" w:eastAsia="Arial" w:hAnsi="Arial"/>
                <w:sz w:val="21"/>
                <w:szCs w:val="21"/>
                <w:color w:val="auto"/>
                <w:vertAlign w:val="superscript"/>
              </w:rPr>
              <w:t>(1)</w:t>
            </w:r>
          </w:p>
        </w:tc>
        <w:tc>
          <w:tcPr>
            <w:tcW w:w="32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1,369,486.3</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1,278,229.1</w:t>
            </w:r>
          </w:p>
        </w:tc>
      </w:tr>
      <w:tr>
        <w:trPr>
          <w:trHeight w:val="158"/>
        </w:trPr>
        <w:tc>
          <w:tcPr>
            <w:tcW w:w="4280" w:type="dxa"/>
            <w:vAlign w:val="bottom"/>
            <w:tcBorders>
              <w:left w:val="single" w:sz="8" w:color="auto"/>
              <w:bottom w:val="single" w:sz="8" w:color="auto"/>
              <w:right w:val="single" w:sz="8" w:color="auto"/>
            </w:tcBorders>
          </w:tcPr>
          <w:p>
            <w:pPr>
              <w:spacing w:after="0"/>
              <w:rPr>
                <w:sz w:val="13"/>
                <w:szCs w:val="13"/>
                <w:color w:val="auto"/>
              </w:rPr>
            </w:pPr>
          </w:p>
        </w:tc>
        <w:tc>
          <w:tcPr>
            <w:tcW w:w="3220" w:type="dxa"/>
            <w:vAlign w:val="bottom"/>
            <w:tcBorders>
              <w:bottom w:val="single" w:sz="8" w:color="auto"/>
              <w:right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spacing w:after="0"/>
              <w:rPr>
                <w:sz w:val="13"/>
                <w:szCs w:val="13"/>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Note:</w:t>
      </w:r>
    </w:p>
    <w:p>
      <w:pPr>
        <w:spacing w:after="0" w:line="60" w:lineRule="exact"/>
        <w:rPr>
          <w:sz w:val="20"/>
          <w:szCs w:val="20"/>
          <w:color w:val="auto"/>
        </w:rPr>
      </w:pPr>
    </w:p>
    <w:p>
      <w:pPr>
        <w:ind w:left="580" w:right="20" w:firstLine="4"/>
        <w:spacing w:after="0" w:line="274" w:lineRule="auto"/>
        <w:tabs>
          <w:tab w:leader="none" w:pos="8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Class B Shares are exchangeable for Common Shares, on the basis of 10 Common Shares for each Class B Share, at the option of the holder thereof, subject to customary adjustments.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w:t>
      </w:r>
    </w:p>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authorized capital of the Company consists of an unlimited number of Common Shares without par value and an unlimited number of preferred shares. As of September 30, 2022, 171,516,801 Common Shares were outstanding, including 579,732 which had yet to be settled, and no preferred shares were issued and outstanding. As of the date of this MD&amp;A, 176,559,621 Common Shares are outstanding and an additional 457,437 have been sold through the Company's ATM Program but are yet to be settled (see "Subsequent Events").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08"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As of September 30, 2022, options to purchase up to 30,014,752 Common Shares were outstanding under Cybin’s equity incentive plan. As of the date of this MD&amp;A, options to purchase up to 29,921,002 Common Shares 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320" w:top="709"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Underwriter’s Warrants</w:t>
      </w:r>
    </w:p>
    <w:p>
      <w:pPr>
        <w:spacing w:after="0" w:line="23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As of September 30, 2022 and as of the date of this MD&amp;A, underwriter’s warrants to purchase up to 868,740 units of the Company at an exercise price of $2.25 per unit are outstanding, with each unit consisting of one Common Share and one half of one Common Share purchase warrants, with each Common Share purchase warrant being exercisable to acquire one Common Share at an exercise price of $3.25 per Common Share for a period of 36 months.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 Purchase Warrants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2022, warrants to purchase up to 24,384,198 Common Shares were outstanding, exercisable at weighted average exercise price of $1.26 per Common Share. As of the date of this MD&amp;A, warrants to purchase up to 23,230,485 Common Shares were outstanding, exercisable at weighted average exercise price of $1.30 per Common Share.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Shares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Adelia Transaction (see “Acquisitions”), Cybin U.S. (a subsidiary of the Company) has issued 868,833 Class B Shares. The Class B Shares are exchangeable at the holder’s option for Common Shares on the basis of 10 Common Shares for 1 Class B Share, subject to customary adjustments. As of September 30, 2022, 1,369,486.3 Class B Shares were outstanding. As of the date of this MD&amp;A, 1,278,229.1 Class B Shares were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4, 2020, Cybin entered into a contribution agreement, as amended on September 24, 2021, (the “</w:t>
      </w:r>
      <w:r>
        <w:rPr>
          <w:rFonts w:ascii="Arial" w:cs="Arial" w:eastAsia="Arial" w:hAnsi="Arial"/>
          <w:sz w:val="18"/>
          <w:szCs w:val="18"/>
          <w:b w:val="1"/>
          <w:bCs w:val="1"/>
          <w:color w:val="auto"/>
        </w:rPr>
        <w:t>Contribution Agreement</w:t>
      </w:r>
      <w:r>
        <w:rPr>
          <w:rFonts w:ascii="Arial" w:cs="Arial" w:eastAsia="Arial" w:hAnsi="Arial"/>
          <w:sz w:val="18"/>
          <w:szCs w:val="18"/>
          <w:color w:val="auto"/>
        </w:rPr>
        <w:t>”) with Cybin Corp., Cybin U.S. (the “</w:t>
      </w:r>
      <w:r>
        <w:rPr>
          <w:rFonts w:ascii="Arial" w:cs="Arial" w:eastAsia="Arial" w:hAnsi="Arial"/>
          <w:sz w:val="18"/>
          <w:szCs w:val="18"/>
          <w:b w:val="1"/>
          <w:bCs w:val="1"/>
          <w:color w:val="auto"/>
        </w:rPr>
        <w:t>Acquiror</w:t>
      </w:r>
      <w:r>
        <w:rPr>
          <w:rFonts w:ascii="Arial" w:cs="Arial" w:eastAsia="Arial" w:hAnsi="Arial"/>
          <w:sz w:val="18"/>
          <w:szCs w:val="18"/>
          <w:color w:val="auto"/>
        </w:rPr>
        <w:t>”), a newly formed fully-controlled subsidiary of Cybin created for the purposes of the Adelia Transaction, and all of the shareholders of Adelia (the “</w:t>
      </w:r>
      <w:r>
        <w:rPr>
          <w:rFonts w:ascii="Arial" w:cs="Arial" w:eastAsia="Arial" w:hAnsi="Arial"/>
          <w:sz w:val="18"/>
          <w:szCs w:val="18"/>
          <w:b w:val="1"/>
          <w:bCs w:val="1"/>
          <w:color w:val="auto"/>
        </w:rPr>
        <w:t>Adelia Shareholders</w:t>
      </w:r>
      <w:r>
        <w:rPr>
          <w:rFonts w:ascii="Arial" w:cs="Arial" w:eastAsia="Arial" w:hAnsi="Arial"/>
          <w:sz w:val="18"/>
          <w:szCs w:val="18"/>
          <w:color w:val="auto"/>
        </w:rPr>
        <w:t>”) whereby the Acquiror has agreed to purchase from the Adelia Shareholders all of the issued and outstanding common shares of Adelia (the “</w:t>
      </w:r>
      <w:r>
        <w:rPr>
          <w:rFonts w:ascii="Arial" w:cs="Arial" w:eastAsia="Arial" w:hAnsi="Arial"/>
          <w:sz w:val="18"/>
          <w:szCs w:val="18"/>
          <w:b w:val="1"/>
          <w:bCs w:val="1"/>
          <w:color w:val="auto"/>
        </w:rPr>
        <w:t>Adelia Shares</w:t>
      </w:r>
      <w:r>
        <w:rPr>
          <w:rFonts w:ascii="Arial" w:cs="Arial" w:eastAsia="Arial" w:hAnsi="Arial"/>
          <w:sz w:val="18"/>
          <w:szCs w:val="18"/>
          <w:color w:val="auto"/>
        </w:rPr>
        <w:t>”) in exchange for non-voting Class B common shares in the capital of the Acquiror (the “</w:t>
      </w:r>
      <w:r>
        <w:rPr>
          <w:rFonts w:ascii="Arial" w:cs="Arial" w:eastAsia="Arial" w:hAnsi="Arial"/>
          <w:sz w:val="18"/>
          <w:szCs w:val="18"/>
          <w:b w:val="1"/>
          <w:b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The Adelia Transaction closed on December 14, 2020 (the “</w:t>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spacing w:after="0" w:line="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are exchangeable prior to the first anniversary of the Closing and not more than: (i) 33 1/3% of the Class B Shares will be exchangeable prior to the second anniversary of Closing; (ii) 66 2/3% of the Class B Shares will be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the occurrence of certain milestones as set out in the Contribution Agreement (each a “</w:t>
      </w:r>
      <w:r>
        <w:rPr>
          <w:rFonts w:ascii="Arial" w:cs="Arial" w:eastAsia="Arial" w:hAnsi="Arial"/>
          <w:sz w:val="16"/>
          <w:szCs w:val="16"/>
          <w:b w:val="1"/>
          <w:bCs w:val="1"/>
          <w:color w:val="auto"/>
        </w:rPr>
        <w:t>Milestone</w:t>
      </w:r>
      <w:r>
        <w:rPr>
          <w:rFonts w:ascii="Arial" w:cs="Arial" w:eastAsia="Arial" w:hAnsi="Arial"/>
          <w:sz w:val="16"/>
          <w:szCs w:val="16"/>
          <w:color w:val="auto"/>
        </w:rPr>
        <w:t>”), the Acquiror will issue to the Adelia Shareholders in accordance with their pro rata percentage, within five business days following the relevant date at which there is agreement as to the achievement of the Milestone (the “</w:t>
      </w:r>
      <w:r>
        <w:rPr>
          <w:rFonts w:ascii="Arial" w:cs="Arial" w:eastAsia="Arial" w:hAnsi="Arial"/>
          <w:sz w:val="16"/>
          <w:szCs w:val="16"/>
          <w:b w:val="1"/>
          <w:bCs w:val="1"/>
          <w:color w:val="auto"/>
        </w:rPr>
        <w:t>Milestone Determination Date</w:t>
      </w:r>
      <w:r>
        <w:rPr>
          <w:rFonts w:ascii="Arial" w:cs="Arial" w:eastAsia="Arial" w:hAnsi="Arial"/>
          <w:sz w:val="16"/>
          <w:szCs w:val="16"/>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929" w:right="339" w:bottom="1440" w:gutter="0" w:footer="0" w:header="0"/>
        </w:sectPr>
      </w:pPr>
    </w:p>
    <w:bookmarkStart w:id="64" w:name="page65"/>
    <w:bookmarkEnd w:id="64"/>
    <w:p>
      <w:pPr>
        <w:jc w:val="both"/>
        <w:spacing w:after="0" w:line="285" w:lineRule="auto"/>
        <w:rPr>
          <w:sz w:val="20"/>
          <w:szCs w:val="20"/>
          <w:color w:val="auto"/>
        </w:rPr>
      </w:pPr>
      <w:r>
        <w:rPr>
          <w:rFonts w:ascii="Arial" w:cs="Arial" w:eastAsia="Arial" w:hAnsi="Arial"/>
          <w:sz w:val="16"/>
          <w:szCs w:val="16"/>
          <w:color w:val="auto"/>
        </w:rPr>
        <w:t>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313,396.2 Class B Shares have been exchanged into Common Shares. Pursuant to the Contribution Agreement, Cybin, the Acquiror and the Adelia Shareholders also entered into a support agreement dated December 14, 2020 (the “</w:t>
      </w:r>
      <w:r>
        <w:rPr>
          <w:rFonts w:ascii="Arial" w:cs="Arial" w:eastAsia="Arial" w:hAnsi="Arial"/>
          <w:sz w:val="16"/>
          <w:szCs w:val="16"/>
          <w:b w:val="1"/>
          <w:bCs w:val="1"/>
          <w:color w:val="auto"/>
        </w:rPr>
        <w:t>Support Agreement</w:t>
      </w:r>
      <w:r>
        <w:rPr>
          <w:rFonts w:ascii="Arial" w:cs="Arial" w:eastAsia="Arial" w:hAnsi="Arial"/>
          <w:sz w:val="16"/>
          <w:szCs w:val="16"/>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18, 2021, an additional 28,903 Class B Shares were issued to the Adelia Shareholders due to the achievement of certain requirements of the fourth and fifth Milestones, amounting to $706. These Class B Shares are exchangeable for a total of 289,030 Common Shares, representing an effective issue price of $2.44 per Common Share.</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November 29, 2021, an additional 31,721.5 Class B Shares were issued to the Adelia Shareholders due to the achievement of certain requirements of the fourth and fifth Milestones, amounting to $629. These Class B Shares are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70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exchangeable for a total of 317,215 Common Shares, representing an effective issue price of $1.98 per Common Share.</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spacing w:after="0" w:line="15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172,395 Common Shares, representing an effective issue price of $1.35 per Common Share.</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905,460 Common Shares, representing an effective issue price of $1.00 per Common Share.</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$2,033 at a price per Class B Share of $7.62. These Class B Shares are exchangeable for a total of 2,669,331 Common Shares, representing an effective issue price of $0.762 per Common Share.</w:t>
      </w:r>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On June 27, 2022, an additional 37,366.2 Class B Shares 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373,662 Common Shares, representing an effective issue price of $0.75 per Common Share.</w:t>
      </w:r>
    </w:p>
    <w:p>
      <w:pPr>
        <w:spacing w:after="0" w:line="15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exchangeable for a total of 321,901 Common Shares, representing an effective issue price of $1.41 per Common Share.</w:t>
      </w:r>
    </w:p>
    <w:p>
      <w:pPr>
        <w:spacing w:after="0" w:line="15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709" w:right="339" w:bottom="1440" w:gutter="0" w:footer="0" w:header="0"/>
        </w:sectPr>
      </w:pPr>
    </w:p>
    <w:bookmarkStart w:id="66" w:name="page67"/>
    <w:bookmarkEnd w:id="66"/>
    <w:p>
      <w:pPr>
        <w:jc w:val="both"/>
        <w:ind w:right="20"/>
        <w:spacing w:after="0" w:line="301" w:lineRule="auto"/>
        <w:rPr>
          <w:sz w:val="20"/>
          <w:szCs w:val="20"/>
          <w:color w:val="auto"/>
        </w:rPr>
      </w:pPr>
      <w:r>
        <w:rPr>
          <w:rFonts w:ascii="Arial" w:cs="Arial" w:eastAsia="Arial" w:hAnsi="Arial"/>
          <w:sz w:val="16"/>
          <w:szCs w:val="16"/>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at September 30, 2022 and the date of this MD&amp;A, other than these contractual obligations and commitments disclosed in note 12 of the Interim Financial Statements, the Company does not have any off-balance sheet arrangements that have or are reasonably likely to have a current or future effect on the results of operations or financial condition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between related parties</w:t>
      </w:r>
    </w:p>
    <w:p>
      <w:pPr>
        <w:spacing w:after="0" w:line="2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three and six-month periods ended September 30, 2022, the key management personnel of the Company were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the Chief Executive Officer, Chief Financial Officer, Chief Operating Officer, Chief Growth Officer, Chief Compliance, Ethics &amp; Administrative Officer, Chief Legal Officer, Chief Innovation Officer, Chief Medical Officer, and Chief Scientific Officers.</w:t>
      </w:r>
    </w:p>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Compensation for key management personnel of the Company for the three month and six-month periods ended September 30, 2022 consisted of consulting fees, short term benefits and other compensation of $2,078 and $4,546, respectively (three and six-month periods ended September 30, 2021 - $4,736 and $8,011).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08"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 xml:space="preserve">The preparation of the Company’s Interim Financial Statements require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of the Company’s annual consolidated financial statements for the year ended March 31, 2022, found on SEDAR at </w:t>
      </w:r>
      <w:r>
        <w:rPr>
          <w:rFonts w:ascii="Arial" w:cs="Arial" w:eastAsia="Arial" w:hAnsi="Arial"/>
          <w:sz w:val="16"/>
          <w:szCs w:val="16"/>
          <w:i w:val="1"/>
          <w:iCs w:val="1"/>
          <w:u w:val="single" w:color="auto"/>
          <w:color w:val="0563C1"/>
        </w:rPr>
        <w:t>www.sedar.com</w:t>
      </w: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The Company’s significant accounting policies are set out in note 2 of the of the Company’s annual consolidated financial statements for the year ended March 31, 2022, found on SEDAR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 This MD&amp;A should be read in conjunction with the Interim Financial Statements. Other accounting standards or amendments to existing accounting standards that have been issued, but have future effective dates, are either not applicable or are not expected to have a significant impact on the Company’s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96"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Management maintains appropriate information systems, procedures and controls to provide reasonable assurance that information that is publicly disclosed is complete, reliable and timely. The Chief Executive Officer (the “</w:t>
      </w:r>
      <w:r>
        <w:rPr>
          <w:rFonts w:ascii="Arial" w:cs="Arial" w:eastAsia="Arial" w:hAnsi="Arial"/>
          <w:sz w:val="16"/>
          <w:szCs w:val="16"/>
          <w:b w:val="1"/>
          <w:bCs w:val="1"/>
          <w:color w:val="auto"/>
        </w:rPr>
        <w:t>CEO</w:t>
      </w:r>
      <w:r>
        <w:rPr>
          <w:rFonts w:ascii="Arial" w:cs="Arial" w:eastAsia="Arial" w:hAnsi="Arial"/>
          <w:sz w:val="16"/>
          <w:szCs w:val="16"/>
          <w:color w:val="auto"/>
        </w:rPr>
        <w:t>”) and Chief Financial Officer (the “</w:t>
      </w:r>
      <w:r>
        <w:rPr>
          <w:rFonts w:ascii="Arial" w:cs="Arial" w:eastAsia="Arial" w:hAnsi="Arial"/>
          <w:sz w:val="16"/>
          <w:szCs w:val="16"/>
          <w:b w:val="1"/>
          <w:bCs w:val="1"/>
          <w:color w:val="auto"/>
        </w:rPr>
        <w:t>CFO</w:t>
      </w:r>
      <w:r>
        <w:rPr>
          <w:rFonts w:ascii="Arial" w:cs="Arial" w:eastAsia="Arial" w:hAnsi="Arial"/>
          <w:sz w:val="16"/>
          <w:szCs w:val="16"/>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320" w:top="929"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3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92" w:lineRule="exact"/>
        <w:rPr>
          <w:sz w:val="20"/>
          <w:szCs w:val="20"/>
          <w:color w:val="auto"/>
        </w:rPr>
      </w:pPr>
    </w:p>
    <w:p>
      <w:pPr>
        <w:ind w:left="580" w:hanging="28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maintenance of records in reasonable detail, that accurately and fairly reflect the transactions and dispositions of assets;</w:t>
      </w:r>
    </w:p>
    <w:p>
      <w:pPr>
        <w:spacing w:after="0" w:line="16" w:lineRule="exact"/>
        <w:rPr>
          <w:rFonts w:ascii="Arial" w:cs="Arial" w:eastAsia="Arial" w:hAnsi="Arial"/>
          <w:sz w:val="18"/>
          <w:szCs w:val="18"/>
          <w:color w:val="auto"/>
        </w:rPr>
      </w:pPr>
    </w:p>
    <w:p>
      <w:pPr>
        <w:ind w:left="580" w:hanging="289"/>
        <w:spacing w:after="0"/>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reasonable assurance that transactions are recorded as necessary to permit preparation of financial statements in accordance with applicable IFRS;</w:t>
      </w:r>
    </w:p>
    <w:p>
      <w:pPr>
        <w:spacing w:after="0" w:line="29" w:lineRule="exact"/>
        <w:rPr>
          <w:rFonts w:ascii="Arial" w:cs="Arial" w:eastAsia="Arial" w:hAnsi="Arial"/>
          <w:sz w:val="16"/>
          <w:szCs w:val="16"/>
          <w:color w:val="auto"/>
        </w:rPr>
      </w:pPr>
    </w:p>
    <w:p>
      <w:pPr>
        <w:ind w:left="580" w:hanging="28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receipts and expenditures are only being made in accordance with authorizations of management or the Board; and</w:t>
      </w:r>
    </w:p>
    <w:p>
      <w:pPr>
        <w:spacing w:after="0" w:line="7" w:lineRule="exact"/>
        <w:rPr>
          <w:rFonts w:ascii="Arial" w:cs="Arial" w:eastAsia="Arial" w:hAnsi="Arial"/>
          <w:sz w:val="18"/>
          <w:szCs w:val="18"/>
          <w:color w:val="auto"/>
        </w:rPr>
      </w:pPr>
    </w:p>
    <w:p>
      <w:pPr>
        <w:ind w:left="580" w:right="20" w:hanging="289"/>
        <w:spacing w:after="0" w:line="262" w:lineRule="auto"/>
        <w:tabs>
          <w:tab w:leader="none" w:pos="5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9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During the period ended September 30, 2022, the Company did not make any significant changes to its internal controls over financial reporting that would have materially affected, or reasonably likely to materially affect, its internal controls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Disclosure Controls and Procedures and Internal Control over Financial Reporting</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and interpretations not yet adopted</w:t>
      </w:r>
    </w:p>
    <w:p>
      <w:pPr>
        <w:spacing w:after="0" w:line="23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number of new standards, amendments to standards and interpretations are not yet effective at September 30, 2022, and have not been applied in preparing the Interim Financial Statements. Management has determined that none of these will have a significant effect on the consolidated financial statements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Risk Management</w:t>
      </w:r>
    </w:p>
    <w:p>
      <w:pPr>
        <w:spacing w:after="0" w:line="22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14, </w:t>
      </w:r>
      <w:r>
        <w:rPr>
          <w:rFonts w:ascii="Arial" w:cs="Arial" w:eastAsia="Arial" w:hAnsi="Arial"/>
          <w:sz w:val="16"/>
          <w:szCs w:val="16"/>
          <w:i w:val="1"/>
          <w:iCs w:val="1"/>
          <w:color w:val="auto"/>
        </w:rPr>
        <w:t>Financial Risk Management</w:t>
      </w:r>
      <w:r>
        <w:rPr>
          <w:rFonts w:ascii="Arial" w:cs="Arial" w:eastAsia="Arial" w:hAnsi="Arial"/>
          <w:sz w:val="16"/>
          <w:szCs w:val="16"/>
          <w:color w:val="auto"/>
        </w:rPr>
        <w:t xml:space="preserve"> in the Interim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noted the following risks specific to the psychedelic industry that it is exposed 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320" w:top="929" w:right="319" w:bottom="1440" w:gutter="0" w:footer="0" w:header="0"/>
        </w:sectPr>
      </w:pPr>
    </w:p>
    <w:bookmarkStart w:id="68" w:name="page69"/>
    <w:bookmarkEnd w:id="68"/>
    <w:p>
      <w:pPr>
        <w:jc w:val="both"/>
        <w:ind w:left="2"/>
        <w:spacing w:after="0" w:line="281" w:lineRule="auto"/>
        <w:rPr>
          <w:sz w:val="20"/>
          <w:szCs w:val="20"/>
          <w:color w:val="auto"/>
        </w:rPr>
      </w:pPr>
      <w:r>
        <w:rPr>
          <w:rFonts w:ascii="Arial" w:cs="Arial" w:eastAsia="Arial" w:hAnsi="Arial"/>
          <w:sz w:val="18"/>
          <w:szCs w:val="18"/>
          <w:color w:val="auto"/>
        </w:rPr>
        <w:t>The board of directors reviews and approves the Company’s operating and capital budgets, as well as any material transactions not in the ordinary course of business.</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Regulatory risk</w:t>
      </w:r>
    </w:p>
    <w:p>
      <w:pPr>
        <w:spacing w:after="0" w:line="237" w:lineRule="exact"/>
        <w:rPr>
          <w:sz w:val="20"/>
          <w:szCs w:val="20"/>
          <w:color w:val="auto"/>
        </w:rPr>
      </w:pPr>
    </w:p>
    <w:p>
      <w:pPr>
        <w:jc w:val="both"/>
        <w:ind w:left="2"/>
        <w:spacing w:after="0" w:line="259" w:lineRule="auto"/>
        <w:rPr>
          <w:sz w:val="20"/>
          <w:szCs w:val="20"/>
          <w:color w:val="auto"/>
        </w:rPr>
      </w:pPr>
      <w:r>
        <w:rPr>
          <w:rFonts w:ascii="Arial" w:cs="Arial" w:eastAsia="Arial" w:hAnsi="Arial"/>
          <w:sz w:val="18"/>
          <w:szCs w:val="18"/>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82" w:lineRule="exact"/>
        <w:rPr>
          <w:sz w:val="20"/>
          <w:szCs w:val="20"/>
          <w:color w:val="auto"/>
        </w:rPr>
      </w:pPr>
    </w:p>
    <w:p>
      <w:pPr>
        <w:jc w:val="both"/>
        <w:ind w:left="2"/>
        <w:spacing w:after="0" w:line="268" w:lineRule="auto"/>
        <w:rPr>
          <w:sz w:val="20"/>
          <w:szCs w:val="20"/>
          <w:color w:val="auto"/>
        </w:rPr>
      </w:pPr>
      <w:r>
        <w:rPr>
          <w:rFonts w:ascii="Arial" w:cs="Arial" w:eastAsia="Arial" w:hAnsi="Arial"/>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Currency risk</w:t>
      </w:r>
    </w:p>
    <w:p>
      <w:pPr>
        <w:spacing w:after="0" w:line="237" w:lineRule="exact"/>
        <w:rPr>
          <w:sz w:val="20"/>
          <w:szCs w:val="20"/>
          <w:color w:val="auto"/>
        </w:rPr>
      </w:pPr>
    </w:p>
    <w:p>
      <w:pPr>
        <w:jc w:val="both"/>
        <w:ind w:left="2"/>
        <w:spacing w:after="0" w:line="296" w:lineRule="auto"/>
        <w:rPr>
          <w:sz w:val="20"/>
          <w:szCs w:val="20"/>
          <w:color w:val="auto"/>
        </w:rPr>
      </w:pPr>
      <w:r>
        <w:rPr>
          <w:rFonts w:ascii="Arial" w:cs="Arial" w:eastAsia="Arial" w:hAnsi="Arial"/>
          <w:sz w:val="17"/>
          <w:szCs w:val="17"/>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6" w:lineRule="exact"/>
        <w:rPr>
          <w:sz w:val="20"/>
          <w:szCs w:val="20"/>
          <w:color w:val="auto"/>
        </w:rPr>
      </w:pPr>
    </w:p>
    <w:p>
      <w:pPr>
        <w:jc w:val="both"/>
        <w:ind w:left="2"/>
        <w:spacing w:after="0" w:line="259" w:lineRule="auto"/>
        <w:rPr>
          <w:sz w:val="20"/>
          <w:szCs w:val="20"/>
          <w:color w:val="auto"/>
        </w:rPr>
      </w:pPr>
      <w:r>
        <w:rPr>
          <w:rFonts w:ascii="Arial" w:cs="Arial" w:eastAsia="Arial" w:hAnsi="Arial"/>
          <w:sz w:val="18"/>
          <w:szCs w:val="18"/>
          <w:color w:val="auto"/>
        </w:rPr>
        <w:t>During the period from October 1, 2022 to November 14, 2022, the Company sold an additional 4,587,685 Common Shares, at an average price of US$0.4784 per Common Share, for aggregate gross proceeds of US$2,195, through its ATM Program. As of November 14, 2022, the ATM allows Cybin to issue and sell up to an additional US$28,904 of Common Shares. Depending on market conditions, this will allow Cybin to access additional cash for growth opportunities and working capital.</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18"/>
          <w:szCs w:val="18"/>
          <w:color w:val="auto"/>
        </w:rPr>
        <w:t>During the period from October 1, 2022 to November 14, 2022</w:t>
      </w:r>
      <w:r>
        <w:rPr>
          <w:rFonts w:ascii="Arial" w:cs="Arial" w:eastAsia="Arial" w:hAnsi="Arial"/>
          <w:sz w:val="19"/>
          <w:szCs w:val="19"/>
          <w:color w:val="auto"/>
        </w:rPr>
        <w:t>,</w:t>
      </w:r>
      <w:r>
        <w:rPr>
          <w:rFonts w:ascii="Arial" w:cs="Arial" w:eastAsia="Arial" w:hAnsi="Arial"/>
          <w:sz w:val="18"/>
          <w:szCs w:val="18"/>
          <w:color w:val="auto"/>
        </w:rPr>
        <w:t xml:space="preserve"> 93,750 vested options and 1,153,713 warrants expired.</w:t>
      </w:r>
    </w:p>
    <w:p>
      <w:pPr>
        <w:spacing w:after="0" w:line="236" w:lineRule="exact"/>
        <w:rPr>
          <w:sz w:val="20"/>
          <w:szCs w:val="20"/>
          <w:color w:val="auto"/>
        </w:rPr>
      </w:pPr>
    </w:p>
    <w:p>
      <w:pPr>
        <w:ind w:left="2"/>
        <w:spacing w:after="0"/>
        <w:rPr>
          <w:sz w:val="20"/>
          <w:szCs w:val="20"/>
          <w:color w:val="auto"/>
        </w:rPr>
      </w:pPr>
      <w:r>
        <w:rPr>
          <w:rFonts w:ascii="Arial" w:cs="Arial" w:eastAsia="Arial" w:hAnsi="Arial"/>
          <w:sz w:val="18"/>
          <w:szCs w:val="18"/>
          <w:color w:val="auto"/>
        </w:rPr>
        <w:t>On October 7, 2022, a Former Adelia Shareholder exchanged 91,257.2 Class B Shares for 912,572 Common Shares.</w:t>
      </w:r>
    </w:p>
    <w:p>
      <w:pPr>
        <w:spacing w:after="0" w:line="233" w:lineRule="exact"/>
        <w:rPr>
          <w:sz w:val="20"/>
          <w:szCs w:val="20"/>
          <w:color w:val="auto"/>
        </w:rPr>
      </w:pPr>
    </w:p>
    <w:p>
      <w:pPr>
        <w:jc w:val="both"/>
        <w:ind w:left="2"/>
        <w:spacing w:after="0" w:line="267" w:lineRule="auto"/>
        <w:rPr>
          <w:sz w:val="20"/>
          <w:szCs w:val="20"/>
          <w:color w:val="auto"/>
        </w:rPr>
      </w:pPr>
      <w:r>
        <w:rPr>
          <w:rFonts w:ascii="Arial" w:cs="Arial" w:eastAsia="Arial" w:hAnsi="Arial"/>
          <w:sz w:val="18"/>
          <w:szCs w:val="18"/>
          <w:color w:val="auto"/>
        </w:rPr>
        <w:t>On November 10, 2022, the Company announced that its CYB004-E Phase 1 trial evaluating DMT completed dosing for four out of five participant cohorts and that the Safety Review Committee has confirmed no safety or toxicity issues. This trial is the Company’s largest Phase 1 DMT trial conducted to-date. Cybin expects this Phase 1 trial to be completed in early 2023.</w:t>
      </w:r>
      <w:r>
        <w:rPr>
          <w:rFonts w:ascii="Arial" w:cs="Arial" w:eastAsia="Arial" w:hAnsi="Arial"/>
          <w:sz w:val="23"/>
          <w:szCs w:val="23"/>
          <w:color w:val="auto"/>
          <w:vertAlign w:val="superscript"/>
        </w:rPr>
        <w:t>29</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Risk Factors</w:t>
      </w:r>
    </w:p>
    <w:p>
      <w:pPr>
        <w:spacing w:after="0" w:line="196" w:lineRule="exact"/>
        <w:rPr>
          <w:sz w:val="20"/>
          <w:szCs w:val="20"/>
          <w:color w:val="auto"/>
        </w:rPr>
      </w:pPr>
    </w:p>
    <w:p>
      <w:pPr>
        <w:jc w:val="both"/>
        <w:ind w:left="2"/>
        <w:spacing w:after="0" w:line="288" w:lineRule="auto"/>
        <w:rPr>
          <w:sz w:val="20"/>
          <w:szCs w:val="20"/>
          <w:color w:val="auto"/>
        </w:rPr>
      </w:pPr>
      <w:r>
        <w:rPr>
          <w:rFonts w:ascii="Arial" w:cs="Arial" w:eastAsia="Arial" w:hAnsi="Arial"/>
          <w:sz w:val="16"/>
          <w:szCs w:val="16"/>
          <w:color w:val="auto"/>
        </w:rPr>
        <w:t>In addition to the risks described herein, reference is made to the section entitled “Risk Factors” 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15519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 w:right="580" w:hanging="2"/>
        <w:spacing w:after="0" w:line="206" w:lineRule="auto"/>
        <w:tabs>
          <w:tab w:leader="none" w:pos="166" w:val="left"/>
        </w:tabs>
        <w:numPr>
          <w:ilvl w:val="0"/>
          <w:numId w:val="52"/>
        </w:numPr>
        <w:rPr>
          <w:rFonts w:ascii="Arial" w:cs="Arial" w:eastAsia="Arial" w:hAnsi="Arial"/>
          <w:sz w:val="22"/>
          <w:szCs w:val="22"/>
          <w:color w:val="auto"/>
          <w:vertAlign w:val="superscript"/>
        </w:rPr>
      </w:pPr>
      <w:r>
        <w:rPr>
          <w:rFonts w:ascii="Arial" w:cs="Arial" w:eastAsia="Arial" w:hAnsi="Arial"/>
          <w:sz w:val="13"/>
          <w:szCs w:val="13"/>
          <w:color w:val="auto"/>
        </w:rPr>
        <w:t>There is no assurance that these timelines will be met. Anticipated timelines regarding drug development are based on reasonable assumptions informed by current knowledge and information available to the Company.</w:t>
      </w:r>
    </w:p>
    <w:p>
      <w:pPr>
        <w:spacing w:after="0" w:line="200" w:lineRule="exact"/>
        <w:rPr>
          <w:sz w:val="20"/>
          <w:szCs w:val="20"/>
          <w:color w:val="auto"/>
        </w:rPr>
      </w:pP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2"/>
          </w:cols>
          <w:pgMar w:left="318" w:top="70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the Company’s Business and Industry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Coronavirus “COVID-19”</w:t>
      </w:r>
    </w:p>
    <w:p>
      <w:pPr>
        <w:spacing w:after="0" w:line="23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and its operating subsidiaries in future periods. However, depending on the length and severity of the pandemic, COVID-19 could impact the Company’s operations, could cause delays relating to approval from Health Canada, the FDA and equivalent organizations in other countries, could postpone research activities, and could impair the Company’s ability to raise funds depending on COVID-19s effect on capital markets.</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rapid development of the COVID-19 pandemic and the measures being taken by governments and private parties to respond to it are extremely fluid. While the Company has continuously sought to assess the potential impact of the pandemic on its operations, any assessment is subject to extreme uncertainty as to probability, severity and duration. The Company has attempted to assess the impact of the pandemic by identifying risks in the following principle areas:</w:t>
      </w:r>
    </w:p>
    <w:p>
      <w:pPr>
        <w:spacing w:after="0" w:line="178" w:lineRule="exact"/>
        <w:rPr>
          <w:sz w:val="20"/>
          <w:szCs w:val="20"/>
          <w:color w:val="auto"/>
        </w:rPr>
      </w:pPr>
    </w:p>
    <w:p>
      <w:pPr>
        <w:jc w:val="both"/>
        <w:ind w:left="580" w:hanging="289"/>
        <w:spacing w:after="0" w:line="270" w:lineRule="auto"/>
        <w:tabs>
          <w:tab w:leader="none" w:pos="569"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Mandatory Closure. </w:t>
      </w:r>
      <w:r>
        <w:rPr>
          <w:rFonts w:ascii="Arial" w:cs="Arial" w:eastAsia="Arial" w:hAnsi="Arial"/>
          <w:sz w:val="17"/>
          <w:szCs w:val="17"/>
          <w:color w:val="auto"/>
        </w:rPr>
        <w:t>In response to the pandemic, many provinces, states and localities have implemented mandatory shut-downs of business to</w:t>
      </w:r>
      <w:r>
        <w:rPr>
          <w:rFonts w:ascii="Arial" w:cs="Arial" w:eastAsia="Arial" w:hAnsi="Arial"/>
          <w:sz w:val="17"/>
          <w:szCs w:val="17"/>
          <w:b w:val="1"/>
          <w:bCs w:val="1"/>
          <w:color w:val="auto"/>
        </w:rPr>
        <w:t xml:space="preserve"> </w:t>
      </w:r>
      <w:r>
        <w:rPr>
          <w:rFonts w:ascii="Arial" w:cs="Arial" w:eastAsia="Arial" w:hAnsi="Arial"/>
          <w:sz w:val="17"/>
          <w:szCs w:val="17"/>
          <w:color w:val="auto"/>
        </w:rPr>
        <w:t>prevent the spread of COVID-19. In the locations where the Company operates or conducts research activity, these activities have been deemed an “essential service”, and thus not subject to the mandatory closures applicable to nonessential businesses. The Company’s ability to generate revenue and meet its milestones could be materially impacted by any shut down of operations or services.</w:t>
      </w:r>
    </w:p>
    <w:p>
      <w:pPr>
        <w:spacing w:after="0" w:line="1" w:lineRule="exact"/>
        <w:rPr>
          <w:rFonts w:ascii="Arial" w:cs="Arial" w:eastAsia="Arial" w:hAnsi="Arial"/>
          <w:sz w:val="17"/>
          <w:szCs w:val="17"/>
          <w:color w:val="auto"/>
        </w:rPr>
      </w:pPr>
    </w:p>
    <w:p>
      <w:pPr>
        <w:jc w:val="both"/>
        <w:ind w:left="580" w:right="20" w:hanging="289"/>
        <w:spacing w:after="0" w:line="281" w:lineRule="auto"/>
        <w:tabs>
          <w:tab w:leader="none" w:pos="569"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Research and Development Disruptions</w:t>
      </w:r>
      <w:r>
        <w:rPr>
          <w:rFonts w:ascii="Arial" w:cs="Arial" w:eastAsia="Arial" w:hAnsi="Arial"/>
          <w:sz w:val="16"/>
          <w:szCs w:val="16"/>
          <w:color w:val="auto"/>
        </w:rPr>
        <w:t>. The Company relies on a third parties for its research and development activities. If these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are unable to continue operating due to mandatory closures or other effects of the pandemic, it may negatively impact the Company’s ability to meet its milestones and may significantly delay development. At this time, the Company has not experienced any significant disruptions.</w:t>
      </w:r>
    </w:p>
    <w:p>
      <w:pPr>
        <w:spacing w:after="0" w:line="1" w:lineRule="exact"/>
        <w:rPr>
          <w:rFonts w:ascii="Arial" w:cs="Arial" w:eastAsia="Arial" w:hAnsi="Arial"/>
          <w:sz w:val="16"/>
          <w:szCs w:val="16"/>
          <w:color w:val="auto"/>
        </w:rPr>
      </w:pPr>
    </w:p>
    <w:p>
      <w:pPr>
        <w:jc w:val="both"/>
        <w:ind w:left="580" w:right="20" w:hanging="289"/>
        <w:spacing w:after="0" w:line="289" w:lineRule="auto"/>
        <w:tabs>
          <w:tab w:leader="none" w:pos="569"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Staffing Disruption</w:t>
      </w:r>
      <w:r>
        <w:rPr>
          <w:rFonts w:ascii="Arial" w:cs="Arial" w:eastAsia="Arial" w:hAnsi="Arial"/>
          <w:sz w:val="16"/>
          <w:szCs w:val="16"/>
          <w:color w:val="auto"/>
        </w:rPr>
        <w:t>. The Company is, for the time being, implementing among its staff where feasible “social distancing” measures recommended</w:t>
      </w:r>
      <w:r>
        <w:rPr>
          <w:rFonts w:ascii="Arial" w:cs="Arial" w:eastAsia="Arial" w:hAnsi="Arial"/>
          <w:sz w:val="16"/>
          <w:szCs w:val="16"/>
          <w:b w:val="1"/>
          <w:bCs w:val="1"/>
          <w:color w:val="auto"/>
        </w:rPr>
        <w:t xml:space="preserve"> </w:t>
      </w:r>
      <w:r>
        <w:rPr>
          <w:rFonts w:ascii="Arial" w:cs="Arial" w:eastAsia="Arial" w:hAnsi="Arial"/>
          <w:sz w:val="16"/>
          <w:szCs w:val="16"/>
          <w:color w:val="auto"/>
        </w:rPr>
        <w:t>by local authorities. The Company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Company may find it difficult to ensure that its operations remain staffed due to employees falling ill with COVID-19, becoming subject to quarantine, or deciding not to come to come to work on their own volition to avoid infection.</w:t>
      </w:r>
    </w:p>
    <w:p>
      <w:pPr>
        <w:spacing w:after="0" w:line="16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Company’s ability to generate revenue.</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sufficient cash on hand raised via equity financings to fund its operations for the next 12-months and meet its working capital requirements. It is anticipated that the long-term goals of the Company will require additional capital contributions via debt or equity financings. In the event that the impact of COVID-19 worsens and negatively affects capital markets generally, there is a risk that the Company may not be able to secure funding for these long-term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320" w:top="1145"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Limited Operating History</w:t>
      </w:r>
    </w:p>
    <w:p>
      <w:pPr>
        <w:spacing w:after="0" w:line="23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jc w:val="both"/>
        <w:spacing w:after="0" w:line="271" w:lineRule="auto"/>
        <w:rPr>
          <w:sz w:val="20"/>
          <w:szCs w:val="20"/>
          <w:color w:val="auto"/>
        </w:rPr>
      </w:pPr>
      <w:r>
        <w:rPr>
          <w:rFonts w:ascii="Arial" w:cs="Arial" w:eastAsia="Arial" w:hAnsi="Arial"/>
          <w:sz w:val="17"/>
          <w:szCs w:val="17"/>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Achieving Publicly Announced Milestones</w:t>
      </w:r>
    </w:p>
    <w:p>
      <w:pPr>
        <w:spacing w:after="0" w:line="233"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177" w:lineRule="exact"/>
        <w:rPr>
          <w:sz w:val="20"/>
          <w:szCs w:val="20"/>
          <w:color w:val="auto"/>
        </w:rPr>
      </w:pPr>
    </w:p>
    <w:p>
      <w:pPr>
        <w:jc w:val="both"/>
        <w:ind w:right="20"/>
        <w:spacing w:after="0" w:line="283" w:lineRule="auto"/>
        <w:rPr>
          <w:sz w:val="20"/>
          <w:szCs w:val="20"/>
          <w:color w:val="auto"/>
        </w:rPr>
      </w:pPr>
      <w:r>
        <w:rPr>
          <w:rFonts w:ascii="Arial" w:cs="Arial" w:eastAsia="Arial" w:hAnsi="Arial"/>
          <w:sz w:val="17"/>
          <w:szCs w:val="17"/>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Speculative Nature of Investment Risk</w:t>
      </w:r>
    </w:p>
    <w:p>
      <w:pPr>
        <w:spacing w:after="0" w:line="221" w:lineRule="exact"/>
        <w:rPr>
          <w:sz w:val="20"/>
          <w:szCs w:val="20"/>
          <w:color w:val="auto"/>
        </w:rPr>
      </w:pPr>
    </w:p>
    <w:p>
      <w:pPr>
        <w:jc w:val="both"/>
        <w:ind w:right="20"/>
        <w:spacing w:after="0" w:line="346" w:lineRule="auto"/>
        <w:rPr>
          <w:sz w:val="20"/>
          <w:szCs w:val="20"/>
          <w:color w:val="auto"/>
        </w:rPr>
      </w:pPr>
      <w:r>
        <w:rPr>
          <w:rFonts w:ascii="Arial" w:cs="Arial" w:eastAsia="Arial" w:hAnsi="Arial"/>
          <w:sz w:val="16"/>
          <w:szCs w:val="16"/>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Stage of the Industry and Product Development</w:t>
      </w:r>
    </w:p>
    <w:p>
      <w:pPr>
        <w:spacing w:after="0" w:line="2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EMA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201"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standard of treatment at the time of testing. Unsatisfactory results obtained from a particular study relating to a research and development program may cause the Company or its collaborators to abandon commitments to that program. Positive results of early preclinical research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320" w:top="709" w:right="319" w:bottom="1440" w:gutter="0" w:footer="0" w:header="0"/>
        </w:sectPr>
      </w:pPr>
    </w:p>
    <w:bookmarkStart w:id="71" w:name="page72"/>
    <w:bookmarkEnd w:id="71"/>
    <w:p>
      <w:pPr>
        <w:jc w:val="both"/>
        <w:ind w:right="20"/>
        <w:spacing w:after="0" w:line="261" w:lineRule="auto"/>
        <w:rPr>
          <w:sz w:val="20"/>
          <w:szCs w:val="20"/>
          <w:color w:val="auto"/>
        </w:rPr>
      </w:pPr>
      <w:r>
        <w:rPr>
          <w:rFonts w:ascii="Arial" w:cs="Arial" w:eastAsia="Arial" w:hAnsi="Arial"/>
          <w:sz w:val="18"/>
          <w:szCs w:val="18"/>
          <w:color w:val="auto"/>
        </w:rPr>
        <w:t>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92"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163"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5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 xml:space="preserve">The Company’s business relies on its ability to access, develop, and sell psilocybin. Psilocybin is a controlled substance in many jurisdictions, including in Canada under Schedule III of the </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and in the United States. The Company may face difficulty accessing psilocybin and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has not been confirmed and requires further study and scientific rigour.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 and Uncertainties</w:t>
      </w:r>
    </w:p>
    <w:p>
      <w:pPr>
        <w:spacing w:after="0" w:line="23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320" w:top="709"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manufactured, produced, possessed and supplied under a controlled drugs domestic licence issued by the UK Home Office.</w:t>
      </w:r>
    </w:p>
    <w:p>
      <w:pPr>
        <w:spacing w:after="0" w:line="221"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loss of the necessary licences and permits for any of the above scheduled drugs could have an adverse effect on the Company’s operations.</w:t>
      </w:r>
    </w:p>
    <w:p>
      <w:pPr>
        <w:spacing w:after="0" w:line="232"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92"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of Operating in European Countries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320" w:top="709" w:right="319" w:bottom="1440" w:gutter="0" w:footer="0" w:header="0"/>
        </w:sectPr>
      </w:pPr>
    </w:p>
    <w:bookmarkStart w:id="73" w:name="page74"/>
    <w:bookmarkEnd w:id="73"/>
    <w:p>
      <w:pPr>
        <w:spacing w:after="0" w:line="259" w:lineRule="auto"/>
        <w:rPr>
          <w:sz w:val="20"/>
          <w:szCs w:val="20"/>
          <w:color w:val="auto"/>
        </w:rPr>
      </w:pPr>
      <w:r>
        <w:rPr>
          <w:rFonts w:ascii="Arial" w:cs="Arial" w:eastAsia="Arial" w:hAnsi="Arial"/>
          <w:sz w:val="18"/>
          <w:szCs w:val="18"/>
          <w:color w:val="auto"/>
        </w:rPr>
        <w:t>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 These and other risks associated with the Company’s international operations may materially adversely affect its ability to attain or maintain profitable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for Growth</w:t>
      </w:r>
    </w:p>
    <w:p>
      <w:pPr>
        <w:spacing w:after="0" w:line="2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intends to grow rapidly and significantly expand its operations within the next 12 to 24 months. This growth will place a significant strain on the Company’s management systems and resources. The Company will not be able to implement its business strategy in a rapidly evolving market, without an effective planning and management process. In particular, the Company may be required to manage multiple relationships with various strategic industry participants and other third parties, which relationships could be strained in the event of rapid growth. Similarly, a large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Products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jc w:val="both"/>
        <w:spacing w:after="0" w:line="252" w:lineRule="auto"/>
        <w:rPr>
          <w:sz w:val="20"/>
          <w:szCs w:val="20"/>
          <w:color w:val="auto"/>
        </w:rPr>
      </w:pPr>
      <w:r>
        <w:rPr>
          <w:rFonts w:ascii="Arial" w:cs="Arial" w:eastAsia="Arial" w:hAnsi="Arial"/>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Marketing and Sales Capabilities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of Commercial Success</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Profits or Significant Revenues</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has no history upon which to evaluate its performance and future prospects. The Company’s proposed operations are subject to all the business risks associated with new enterprises. These include likely fluctuations in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709" w:right="339" w:bottom="1440" w:gutter="0" w:footer="0" w:header="0"/>
        </w:sectPr>
      </w:pPr>
    </w:p>
    <w:bookmarkStart w:id="74" w:name="page75"/>
    <w:bookmarkEnd w:id="74"/>
    <w:p>
      <w:pPr>
        <w:jc w:val="both"/>
        <w:ind w:right="20"/>
        <w:spacing w:after="0" w:line="278" w:lineRule="auto"/>
        <w:rPr>
          <w:sz w:val="20"/>
          <w:szCs w:val="20"/>
          <w:color w:val="auto"/>
        </w:rPr>
      </w:pPr>
      <w:r>
        <w:rPr>
          <w:rFonts w:ascii="Arial" w:cs="Arial" w:eastAsia="Arial" w:hAnsi="Arial"/>
          <w:sz w:val="17"/>
          <w:szCs w:val="17"/>
          <w:color w:val="auto"/>
        </w:rPr>
        <w:t>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Third Parties for Clinical Development Activities</w:t>
      </w:r>
    </w:p>
    <w:p>
      <w:pPr>
        <w:spacing w:after="0" w:line="2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Third Party Relationships</w:t>
      </w:r>
    </w:p>
    <w:p>
      <w:pPr>
        <w:spacing w:after="0" w:line="22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Contract Manufacturers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limited manufacturing experience and relies on contract manufacturing organizations (“</w:t>
      </w:r>
      <w:r>
        <w:rPr>
          <w:rFonts w:ascii="Arial" w:cs="Arial" w:eastAsia="Arial" w:hAnsi="Arial"/>
          <w:sz w:val="16"/>
          <w:szCs w:val="16"/>
          <w:b w:val="1"/>
          <w:bCs w:val="1"/>
          <w:color w:val="auto"/>
        </w:rPr>
        <w:t>CMOs</w:t>
      </w:r>
      <w:r>
        <w:rPr>
          <w:rFonts w:ascii="Arial" w:cs="Arial" w:eastAsia="Arial" w:hAnsi="Arial"/>
          <w:sz w:val="16"/>
          <w:szCs w:val="16"/>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 and the EMA,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320" w:top="709" w:right="319" w:bottom="1440" w:gutter="0" w:footer="0" w:header="0"/>
        </w:sectPr>
      </w:pPr>
    </w:p>
    <w:bookmarkStart w:id="75" w:name="page76"/>
    <w:bookmarkEnd w:id="75"/>
    <w:p>
      <w:pPr>
        <w:jc w:val="both"/>
        <w:ind w:right="20"/>
        <w:spacing w:after="0" w:line="281" w:lineRule="auto"/>
        <w:rPr>
          <w:sz w:val="20"/>
          <w:szCs w:val="20"/>
          <w:color w:val="auto"/>
        </w:rPr>
      </w:pPr>
      <w:r>
        <w:rPr>
          <w:rFonts w:ascii="Arial" w:cs="Arial" w:eastAsia="Arial" w:hAnsi="Arial"/>
          <w:sz w:val="18"/>
          <w:szCs w:val="18"/>
          <w:color w:val="auto"/>
        </w:rPr>
        <w:t>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and Efficacy of Products</w:t>
      </w:r>
    </w:p>
    <w:p>
      <w:pPr>
        <w:spacing w:after="0" w:line="233"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EMA or other regulatory authorities, resulting in the Company being unable to derive any commercial revenue from them after investing significant amounts of capital in their development.</w:t>
      </w:r>
    </w:p>
    <w:p>
      <w:pPr>
        <w:spacing w:after="0" w:line="1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Testing and Commercializing Products</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7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320" w:top="709" w:right="319" w:bottom="1440" w:gutter="0" w:footer="0" w:header="0"/>
        </w:sectPr>
      </w:pPr>
    </w:p>
    <w:bookmarkStart w:id="76" w:name="page77"/>
    <w:bookmarkEnd w:id="76"/>
    <w:p>
      <w:pPr>
        <w:jc w:val="both"/>
        <w:ind w:right="20"/>
        <w:spacing w:after="0" w:line="254" w:lineRule="auto"/>
        <w:rPr>
          <w:sz w:val="20"/>
          <w:szCs w:val="20"/>
          <w:color w:val="auto"/>
        </w:rPr>
      </w:pPr>
      <w:r>
        <w:rPr>
          <w:rFonts w:ascii="Arial" w:cs="Arial" w:eastAsia="Arial" w:hAnsi="Arial"/>
          <w:sz w:val="18"/>
          <w:szCs w:val="18"/>
          <w:color w:val="auto"/>
        </w:rPr>
        <w:t>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jc w:val="both"/>
        <w:ind w:right="20"/>
        <w:spacing w:after="0" w:line="269" w:lineRule="auto"/>
        <w:rPr>
          <w:sz w:val="20"/>
          <w:szCs w:val="20"/>
          <w:color w:val="auto"/>
        </w:rPr>
      </w:pPr>
      <w:r>
        <w:rPr>
          <w:rFonts w:ascii="Arial" w:cs="Arial" w:eastAsia="Arial" w:hAnsi="Arial"/>
          <w:sz w:val="18"/>
          <w:szCs w:val="18"/>
          <w:color w:val="auto"/>
        </w:rPr>
        <w:t>The commencement and completion of clinical trials for the Company’s prescription drug product candidates may be delayed for a number of reasons, including but not limited, to:</w:t>
      </w:r>
    </w:p>
    <w:p>
      <w:pPr>
        <w:spacing w:after="0" w:line="174" w:lineRule="exact"/>
        <w:rPr>
          <w:sz w:val="20"/>
          <w:szCs w:val="20"/>
          <w:color w:val="auto"/>
        </w:rPr>
      </w:pPr>
    </w:p>
    <w:p>
      <w:pPr>
        <w:ind w:left="580" w:hanging="289"/>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by regulatory authorities to grant permission to proceed or placing clinical trials on hold;</w:t>
      </w:r>
    </w:p>
    <w:p>
      <w:pPr>
        <w:spacing w:after="0" w:line="22" w:lineRule="exact"/>
        <w:rPr>
          <w:rFonts w:ascii="Arial" w:cs="Arial" w:eastAsia="Arial" w:hAnsi="Arial"/>
          <w:sz w:val="18"/>
          <w:szCs w:val="18"/>
          <w:color w:val="auto"/>
        </w:rPr>
      </w:pPr>
    </w:p>
    <w:p>
      <w:pPr>
        <w:ind w:left="580" w:right="20" w:hanging="289"/>
        <w:spacing w:after="0" w:line="247" w:lineRule="auto"/>
        <w:tabs>
          <w:tab w:leader="none" w:pos="5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spacing w:after="0" w:line="1" w:lineRule="exact"/>
        <w:rPr>
          <w:rFonts w:ascii="Arial" w:cs="Arial" w:eastAsia="Arial" w:hAnsi="Arial"/>
          <w:sz w:val="18"/>
          <w:szCs w:val="18"/>
          <w:color w:val="auto"/>
        </w:rPr>
      </w:pPr>
    </w:p>
    <w:p>
      <w:pPr>
        <w:ind w:left="580" w:right="20" w:hanging="289"/>
        <w:spacing w:after="0" w:line="251" w:lineRule="auto"/>
        <w:tabs>
          <w:tab w:leader="none" w:pos="5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changes to the Company’s manufacturing process that may be necessary or desired, delays or failure to obtain clinical supply from CMOs of the Company’s products necessary to conduct clinical trials;</w:t>
      </w:r>
    </w:p>
    <w:p>
      <w:pPr>
        <w:spacing w:after="0" w:line="1" w:lineRule="exact"/>
        <w:rPr>
          <w:rFonts w:ascii="Arial" w:cs="Arial" w:eastAsia="Arial" w:hAnsi="Arial"/>
          <w:sz w:val="18"/>
          <w:szCs w:val="18"/>
          <w:color w:val="auto"/>
        </w:rPr>
      </w:pPr>
    </w:p>
    <w:p>
      <w:pPr>
        <w:ind w:left="580" w:right="20" w:hanging="289"/>
        <w:spacing w:after="0" w:line="247" w:lineRule="auto"/>
        <w:tabs>
          <w:tab w:leader="none" w:pos="5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prescription drug product candidates demonstrating a lack of safety or efficacy during clinical trials, reports of clinical testing on similar technologies and products raising safety or efficacy concerns;</w:t>
      </w:r>
    </w:p>
    <w:p>
      <w:pPr>
        <w:spacing w:after="0" w:line="1" w:lineRule="exact"/>
        <w:rPr>
          <w:rFonts w:ascii="Arial" w:cs="Arial" w:eastAsia="Arial" w:hAnsi="Arial"/>
          <w:sz w:val="18"/>
          <w:szCs w:val="18"/>
          <w:color w:val="auto"/>
        </w:rPr>
      </w:pPr>
    </w:p>
    <w:p>
      <w:pPr>
        <w:jc w:val="both"/>
        <w:ind w:left="580" w:right="20" w:hanging="289"/>
        <w:spacing w:after="0" w:line="247" w:lineRule="auto"/>
        <w:tabs>
          <w:tab w:leader="none" w:pos="5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spacing w:after="0" w:line="2" w:lineRule="exact"/>
        <w:rPr>
          <w:rFonts w:ascii="Arial" w:cs="Arial" w:eastAsia="Arial" w:hAnsi="Arial"/>
          <w:sz w:val="18"/>
          <w:szCs w:val="18"/>
          <w:color w:val="auto"/>
        </w:rPr>
      </w:pPr>
    </w:p>
    <w:p>
      <w:pPr>
        <w:ind w:left="580" w:hanging="289"/>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of the Company’s contract research organizations to satisfy their contractual duties or meet expected deadlines;</w:t>
      </w:r>
    </w:p>
    <w:p>
      <w:pPr>
        <w:spacing w:after="0" w:line="12" w:lineRule="exact"/>
        <w:rPr>
          <w:rFonts w:ascii="Arial" w:cs="Arial" w:eastAsia="Arial" w:hAnsi="Arial"/>
          <w:sz w:val="18"/>
          <w:szCs w:val="18"/>
          <w:color w:val="auto"/>
        </w:rPr>
      </w:pPr>
    </w:p>
    <w:p>
      <w:pPr>
        <w:ind w:left="580" w:hanging="289"/>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inspections of clinical trial sites by regulatory authorities;</w:t>
      </w:r>
    </w:p>
    <w:p>
      <w:pPr>
        <w:spacing w:after="0" w:line="7" w:lineRule="exact"/>
        <w:rPr>
          <w:rFonts w:ascii="Arial" w:cs="Arial" w:eastAsia="Arial" w:hAnsi="Arial"/>
          <w:sz w:val="18"/>
          <w:szCs w:val="18"/>
          <w:color w:val="auto"/>
        </w:rPr>
      </w:pPr>
    </w:p>
    <w:p>
      <w:pPr>
        <w:ind w:left="580" w:right="20" w:hanging="289"/>
        <w:spacing w:after="0" w:line="247" w:lineRule="auto"/>
        <w:tabs>
          <w:tab w:leader="none" w:pos="5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spacing w:after="0" w:line="1" w:lineRule="exact"/>
        <w:rPr>
          <w:rFonts w:ascii="Arial" w:cs="Arial" w:eastAsia="Arial" w:hAnsi="Arial"/>
          <w:sz w:val="18"/>
          <w:szCs w:val="18"/>
          <w:color w:val="auto"/>
        </w:rPr>
      </w:pPr>
    </w:p>
    <w:p>
      <w:pPr>
        <w:ind w:left="580" w:right="20" w:hanging="289"/>
        <w:spacing w:after="0" w:line="251" w:lineRule="auto"/>
        <w:tabs>
          <w:tab w:leader="none" w:pos="5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580" w:hanging="289"/>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reach agreement on acceptable terms with prospective clinical trial sites.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8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20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Clinical Trials</w:t>
      </w:r>
    </w:p>
    <w:p>
      <w:pPr>
        <w:spacing w:after="0" w:line="22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320" w:top="709" w:right="319" w:bottom="1440" w:gutter="0" w:footer="0" w:header="0"/>
        </w:sectPr>
      </w:pPr>
    </w:p>
    <w:bookmarkStart w:id="77" w:name="page78"/>
    <w:bookmarkEnd w:id="77"/>
    <w:p>
      <w:pPr>
        <w:jc w:val="both"/>
        <w:ind w:right="20"/>
        <w:spacing w:after="0" w:line="281" w:lineRule="auto"/>
        <w:rPr>
          <w:sz w:val="20"/>
          <w:szCs w:val="20"/>
          <w:color w:val="auto"/>
        </w:rPr>
      </w:pPr>
      <w:r>
        <w:rPr>
          <w:rFonts w:ascii="Arial" w:cs="Arial" w:eastAsia="Arial" w:hAnsi="Arial"/>
          <w:sz w:val="18"/>
          <w:szCs w:val="18"/>
          <w:color w:val="auto"/>
        </w:rPr>
        <w:t>trial, competition with other companies for clinical sites or patients, perceived risks and benefits of the prescription drug product candidate, and the number, availability, location and accessibility of clinical trial sites.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Grade Product Manufacturing</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Regulatory Approvals</w:t>
      </w:r>
    </w:p>
    <w:p>
      <w:pPr>
        <w:spacing w:after="0" w:line="233"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The Company’s development and commercialization activities and prescription drug product candidates are significantly regulated by a number of governmental entities, including Health Canada, the FDA and the EMA.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EMA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89"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6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EMA or other regulatory authorities may impose a risk evaluation and mitigation strategy, thereby imposing certain restrictions on the sale and marketability of such products.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320" w:top="709" w:right="319" w:bottom="1440" w:gutter="0" w:footer="0" w:header="0"/>
        </w:sectPr>
      </w:pPr>
    </w:p>
    <w:bookmarkStart w:id="78" w:name="page79"/>
    <w:bookmarkEnd w:id="78"/>
    <w:p>
      <w:pPr>
        <w:jc w:val="both"/>
        <w:spacing w:after="0" w:line="254" w:lineRule="auto"/>
        <w:rPr>
          <w:sz w:val="20"/>
          <w:szCs w:val="20"/>
          <w:color w:val="auto"/>
        </w:rPr>
      </w:pPr>
      <w:r>
        <w:rPr>
          <w:rFonts w:ascii="Arial" w:cs="Arial" w:eastAsia="Arial" w:hAnsi="Arial"/>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Unfavourable Publicity or Consumer Perception</w:t>
      </w:r>
    </w:p>
    <w:p>
      <w:pPr>
        <w:spacing w:after="0" w:line="233"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67"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The psilocybin industry is highly dependent upon consumer perception regarding the medical benefits, safety, efficacy and quality of the psilocybin distributed for medical purposes to such consumers. There can be no assurance that future scientific research or findings on the medical benefits, viability, safety, efficacy and dosing of psilocybin or isolated constituents, regulatory proceedings, litigation, media attention or other research findings or publicity will be favourable to the industry or the Company or any particular product, or consistent with earlier publicity.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Media</w:t>
      </w:r>
    </w:p>
    <w:p>
      <w:pPr>
        <w:spacing w:after="0" w:line="22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There has been a recent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Biotechnology and Pharmaceutical Market Competition</w:t>
      </w:r>
    </w:p>
    <w:p>
      <w:pPr>
        <w:spacing w:after="0" w:line="23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320" w:top="929" w:right="31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competitors use therapeutic approaches that may compete directly with the Company’s prescription drug product candidates.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82" w:lineRule="exact"/>
        <w:rPr>
          <w:sz w:val="20"/>
          <w:szCs w:val="20"/>
          <w:color w:val="auto"/>
        </w:rPr>
      </w:pPr>
    </w:p>
    <w:p>
      <w:pPr>
        <w:ind w:left="580" w:right="20" w:hanging="289"/>
        <w:spacing w:after="0" w:line="257" w:lineRule="auto"/>
        <w:tabs>
          <w:tab w:leader="none" w:pos="5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efficacy and safety profile of its prescription drug product candidates relative to marketed products and other prescription drug product candidates in development;</w:t>
      </w:r>
    </w:p>
    <w:p>
      <w:pPr>
        <w:ind w:left="580" w:hanging="289"/>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ability to develop and maintain a competitive position in the product categories and technologies on which it focuses;</w:t>
      </w:r>
    </w:p>
    <w:p>
      <w:pPr>
        <w:spacing w:after="0" w:line="6" w:lineRule="exact"/>
        <w:rPr>
          <w:rFonts w:ascii="Arial" w:cs="Arial" w:eastAsia="Arial" w:hAnsi="Arial"/>
          <w:sz w:val="18"/>
          <w:szCs w:val="18"/>
          <w:color w:val="auto"/>
        </w:rPr>
      </w:pPr>
    </w:p>
    <w:p>
      <w:pPr>
        <w:ind w:left="580" w:hanging="289"/>
        <w:spacing w:after="0"/>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time it takes for the Company’s prescription drug product candidates to complete clinical development and receive marketing approval;</w:t>
      </w:r>
    </w:p>
    <w:p>
      <w:pPr>
        <w:spacing w:after="0" w:line="24" w:lineRule="exact"/>
        <w:rPr>
          <w:rFonts w:ascii="Arial" w:cs="Arial" w:eastAsia="Arial" w:hAnsi="Arial"/>
          <w:sz w:val="17"/>
          <w:szCs w:val="17"/>
          <w:color w:val="auto"/>
        </w:rPr>
      </w:pPr>
    </w:p>
    <w:p>
      <w:pPr>
        <w:ind w:left="580" w:hanging="289"/>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ability to obtain required regulatory approvals;</w:t>
      </w:r>
    </w:p>
    <w:p>
      <w:pPr>
        <w:spacing w:after="0" w:line="7" w:lineRule="exact"/>
        <w:rPr>
          <w:rFonts w:ascii="Arial" w:cs="Arial" w:eastAsia="Arial" w:hAnsi="Arial"/>
          <w:sz w:val="18"/>
          <w:szCs w:val="18"/>
          <w:color w:val="auto"/>
        </w:rPr>
      </w:pPr>
    </w:p>
    <w:p>
      <w:pPr>
        <w:ind w:left="580" w:hanging="289"/>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ability to commercialize any of its prescription drug product candidates that receive regulatory approval;</w:t>
      </w:r>
    </w:p>
    <w:p>
      <w:pPr>
        <w:spacing w:after="0" w:line="6" w:lineRule="exact"/>
        <w:rPr>
          <w:rFonts w:ascii="Arial" w:cs="Arial" w:eastAsia="Arial" w:hAnsi="Arial"/>
          <w:sz w:val="18"/>
          <w:szCs w:val="18"/>
          <w:color w:val="auto"/>
        </w:rPr>
      </w:pPr>
    </w:p>
    <w:p>
      <w:pPr>
        <w:ind w:left="580" w:hanging="289"/>
        <w:spacing w:after="0"/>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Company’s ability to establish, maintain and protect intellectual property rights related to its prescription drug product candidates; and</w:t>
      </w:r>
    </w:p>
    <w:p>
      <w:pPr>
        <w:spacing w:after="0" w:line="18" w:lineRule="exact"/>
        <w:rPr>
          <w:rFonts w:ascii="Arial" w:cs="Arial" w:eastAsia="Arial" w:hAnsi="Arial"/>
          <w:sz w:val="17"/>
          <w:szCs w:val="17"/>
          <w:color w:val="auto"/>
        </w:rPr>
      </w:pPr>
    </w:p>
    <w:p>
      <w:pPr>
        <w:ind w:left="580" w:right="20" w:hanging="289"/>
        <w:spacing w:after="0" w:line="262" w:lineRule="auto"/>
        <w:tabs>
          <w:tab w:leader="none" w:pos="5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acceptance of any of the Company’s prescription drug product candidates that receive regulatory approval by physicians and other healthcare providers and payers.</w:t>
      </w:r>
    </w:p>
    <w:p>
      <w:pPr>
        <w:spacing w:after="0" w:line="180"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inspired compounds.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98"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Executives and Scientists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The loss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60"/>
          </w:cols>
          <w:pgMar w:left="320" w:top="709" w:right="319" w:bottom="1440" w:gutter="0" w:footer="0" w:header="0"/>
        </w:sectPr>
      </w:pPr>
    </w:p>
    <w:bookmarkStart w:id="80" w:name="page81"/>
    <w:bookmarkEnd w:id="80"/>
    <w:p>
      <w:pPr>
        <w:jc w:val="both"/>
        <w:ind w:right="20"/>
        <w:spacing w:after="0" w:line="281" w:lineRule="auto"/>
        <w:rPr>
          <w:sz w:val="20"/>
          <w:szCs w:val="20"/>
          <w:color w:val="auto"/>
        </w:rPr>
      </w:pPr>
      <w:r>
        <w:rPr>
          <w:rFonts w:ascii="Arial" w:cs="Arial" w:eastAsia="Arial" w:hAnsi="Arial"/>
          <w:sz w:val="18"/>
          <w:szCs w:val="18"/>
          <w:color w:val="auto"/>
        </w:rPr>
        <w:t>of the services of any of the Company’s executive officers or other key personnel could potentially harm its business, operating results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Misconduct</w:t>
      </w:r>
    </w:p>
    <w:p>
      <w:pPr>
        <w:spacing w:after="0" w:line="233"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and/or the EMA regulations, provide accurate information to Health Canada, the FDA and/or the EMA,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Expansion and Growth</w:t>
      </w:r>
    </w:p>
    <w:p>
      <w:pPr>
        <w:spacing w:after="0" w:line="23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20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Results of External Clinical Trials or Studies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3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320" w:top="709" w:right="319" w:bottom="1440" w:gutter="0" w:footer="0" w:header="0"/>
        </w:sectPr>
      </w:pPr>
    </w:p>
    <w:bookmarkStart w:id="81" w:name="page82"/>
    <w:bookmarkEnd w:id="81"/>
    <w:p>
      <w:pPr>
        <w:jc w:val="both"/>
        <w:spacing w:after="0" w:line="257" w:lineRule="auto"/>
        <w:rPr>
          <w:sz w:val="20"/>
          <w:szCs w:val="20"/>
          <w:color w:val="auto"/>
        </w:rPr>
      </w:pPr>
      <w:r>
        <w:rPr>
          <w:rFonts w:ascii="Arial" w:cs="Arial" w:eastAsia="Arial" w:hAnsi="Arial"/>
          <w:sz w:val="18"/>
          <w:szCs w:val="18"/>
          <w:color w:val="auto"/>
        </w:rPr>
        <w:t>such potential claims will not be asserted against it. A successful liability claim or series of claims brought against the Company could have a material adverse effect on its business, financial condition and results of operations.</w:t>
      </w:r>
    </w:p>
    <w:p>
      <w:pPr>
        <w:jc w:val="both"/>
        <w:ind w:right="20"/>
        <w:spacing w:after="0" w:line="252" w:lineRule="auto"/>
        <w:rPr>
          <w:sz w:val="20"/>
          <w:szCs w:val="20"/>
          <w:color w:val="auto"/>
        </w:rPr>
      </w:pPr>
      <w:r>
        <w:rPr>
          <w:rFonts w:ascii="Arial" w:cs="Arial" w:eastAsia="Arial" w:hAnsi="Arial"/>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Enforcing Contracts</w:t>
      </w:r>
    </w:p>
    <w:p>
      <w:pPr>
        <w:spacing w:after="0" w:line="221" w:lineRule="exact"/>
        <w:rPr>
          <w:sz w:val="20"/>
          <w:szCs w:val="20"/>
          <w:color w:val="auto"/>
        </w:rPr>
      </w:pPr>
    </w:p>
    <w:p>
      <w:pPr>
        <w:jc w:val="both"/>
        <w:ind w:right="20"/>
        <w:spacing w:after="0" w:line="308" w:lineRule="auto"/>
        <w:rPr>
          <w:sz w:val="20"/>
          <w:szCs w:val="20"/>
          <w:color w:val="auto"/>
        </w:rPr>
      </w:pPr>
      <w:r>
        <w:rPr>
          <w:rFonts w:ascii="Arial" w:cs="Arial" w:eastAsia="Arial" w:hAnsi="Arial"/>
          <w:sz w:val="16"/>
          <w:szCs w:val="16"/>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59"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Recalls</w:t>
      </w:r>
    </w:p>
    <w:p>
      <w:pPr>
        <w:spacing w:after="0" w:line="23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 In addition, a product recall may require significant management attention.</w:t>
      </w:r>
    </w:p>
    <w:p>
      <w:pPr>
        <w:spacing w:after="0" w:line="18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Supply Chain Interruption</w:t>
      </w:r>
    </w:p>
    <w:p>
      <w:pPr>
        <w:spacing w:after="0" w:line="221"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The Company is susceptible to risks relating to distributor and supply chain interruptions. Distribution in Canada and other jurisdictions will be largely accomplished through independent contractors, therefore, an interruption (e.g., a labour strike) for any length of time affecting such independent contractors may have a significant impact on the Company’s ability to sell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Difficulty to Forecast</w:t>
      </w:r>
    </w:p>
    <w:p>
      <w:pPr>
        <w:spacing w:after="0" w:line="23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320" w:top="709" w:right="31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technological change or other factors could have a material adverse effect on the business, results of operations and financial condition of the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Promoting the Brand</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Viability</w:t>
      </w:r>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 Further, the Company’s business involves the growing of an agricultural product and is subject to the risks inherent in the agricultural business, such as insects, plant diseases and similar agricultural risks.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of Quality Control Systems</w:t>
      </w:r>
    </w:p>
    <w:p>
      <w:pPr>
        <w:spacing w:after="0" w:line="2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Inputs</w:t>
      </w:r>
    </w:p>
    <w:p>
      <w:pPr>
        <w:spacing w:after="0" w:line="23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Examples of potential risks include, but are not limited to, the risk that crops may become diseased or victim to insects or other pests and contamination, or subject to extreme weather conditions such as excess rainfall, freezing temperature, or drought, all of which could result in low crop yields, decreased availability of mushrooms, and higher acquisition prices. Any inability to secure required supplies and services or to do so on appropriate terms could have a materially adverse impact on the business, financial condition and operating results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Arising from Fraudulent or Illegal Activity</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709" w:right="339" w:bottom="1440" w:gutter="0" w:footer="0" w:header="0"/>
        </w:sectPr>
      </w:pPr>
    </w:p>
    <w:bookmarkStart w:id="83" w:name="page84"/>
    <w:bookmarkEnd w:id="83"/>
    <w:p>
      <w:pPr>
        <w:jc w:val="both"/>
        <w:ind w:right="20"/>
        <w:spacing w:after="0" w:line="268" w:lineRule="auto"/>
        <w:rPr>
          <w:sz w:val="20"/>
          <w:szCs w:val="20"/>
          <w:color w:val="auto"/>
        </w:rPr>
      </w:pPr>
      <w:r>
        <w:rPr>
          <w:rFonts w:ascii="Arial" w:cs="Arial" w:eastAsia="Arial" w:hAnsi="Arial"/>
          <w:sz w:val="17"/>
          <w:szCs w:val="17"/>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Risk and Insurance Coverage</w:t>
      </w:r>
    </w:p>
    <w:p>
      <w:pPr>
        <w:spacing w:after="0" w:line="2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Operating as Public Company</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Growth</w:t>
      </w:r>
    </w:p>
    <w:p>
      <w:pPr>
        <w:spacing w:after="0" w:line="2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2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20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320" w:top="709" w:right="319" w:bottom="1440" w:gutter="0" w:footer="0" w:header="0"/>
        </w:sectPr>
      </w:pPr>
    </w:p>
    <w:bookmarkStart w:id="84" w:name="page85"/>
    <w:bookmarkEnd w:id="84"/>
    <w:p>
      <w:pPr>
        <w:jc w:val="both"/>
        <w:ind w:right="20"/>
        <w:spacing w:after="0" w:line="281" w:lineRule="auto"/>
        <w:rPr>
          <w:sz w:val="20"/>
          <w:szCs w:val="20"/>
          <w:color w:val="auto"/>
        </w:rPr>
      </w:pPr>
      <w:r>
        <w:rPr>
          <w:rFonts w:ascii="Arial" w:cs="Arial" w:eastAsia="Arial" w:hAnsi="Arial"/>
          <w:sz w:val="18"/>
          <w:szCs w:val="18"/>
          <w:color w:val="auto"/>
        </w:rPr>
        <w:t>these persons could conflict with those of the Company, and from time to time, these persons may be competing with the Company for available investment opportunities.</w:t>
      </w:r>
    </w:p>
    <w:p>
      <w:pPr>
        <w:spacing w:after="0" w:line="163" w:lineRule="exact"/>
        <w:rPr>
          <w:sz w:val="20"/>
          <w:szCs w:val="20"/>
          <w:color w:val="auto"/>
        </w:rPr>
      </w:pPr>
    </w:p>
    <w:p>
      <w:pPr>
        <w:jc w:val="both"/>
        <w:ind w:right="20"/>
        <w:spacing w:after="0" w:line="316" w:lineRule="auto"/>
        <w:rPr>
          <w:sz w:val="20"/>
          <w:szCs w:val="20"/>
          <w:color w:val="auto"/>
        </w:rPr>
      </w:pPr>
      <w:r>
        <w:rPr>
          <w:rFonts w:ascii="Arial" w:cs="Arial" w:eastAsia="Arial" w:hAnsi="Arial"/>
          <w:sz w:val="16"/>
          <w:szCs w:val="16"/>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233"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addition to operations carried out in Canada, the Company intends to carry out international operations through an office in Ireland.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spacing w:after="0" w:line="152" w:lineRule="exact"/>
        <w:rPr>
          <w:sz w:val="20"/>
          <w:szCs w:val="20"/>
          <w:color w:val="auto"/>
        </w:rPr>
      </w:pPr>
    </w:p>
    <w:p>
      <w:pPr>
        <w:jc w:val="both"/>
        <w:ind w:right="20"/>
        <w:spacing w:after="0" w:line="308" w:lineRule="auto"/>
        <w:rPr>
          <w:sz w:val="20"/>
          <w:szCs w:val="20"/>
          <w:color w:val="auto"/>
        </w:rPr>
      </w:pPr>
      <w:r>
        <w:rPr>
          <w:rFonts w:ascii="Arial" w:cs="Arial" w:eastAsia="Arial" w:hAnsi="Arial"/>
          <w:sz w:val="16"/>
          <w:szCs w:val="16"/>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59"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and Privacy Risk</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7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Arial" w:cs="Arial" w:eastAsia="Arial" w:hAnsi="Arial"/>
          <w:sz w:val="17"/>
          <w:szCs w:val="17"/>
          <w:i w:val="1"/>
          <w:iCs w:val="1"/>
          <w:color w:val="auto"/>
        </w:rPr>
        <w:t>Personal Information Protection and Electronics Documents Act</w:t>
      </w:r>
      <w:r>
        <w:rPr>
          <w:rFonts w:ascii="Arial" w:cs="Arial" w:eastAsia="Arial" w:hAnsi="Arial"/>
          <w:sz w:val="17"/>
          <w:szCs w:val="17"/>
          <w:color w:val="auto"/>
        </w:rPr>
        <w:t xml:space="preserve"> (Canada) (“</w:t>
      </w:r>
      <w:r>
        <w:rPr>
          <w:rFonts w:ascii="Arial" w:cs="Arial" w:eastAsia="Arial" w:hAnsi="Arial"/>
          <w:sz w:val="17"/>
          <w:szCs w:val="17"/>
          <w:b w:val="1"/>
          <w:bCs w:val="1"/>
          <w:color w:val="auto"/>
        </w:rPr>
        <w:t>PIPEDA</w:t>
      </w:r>
      <w:r>
        <w:rPr>
          <w:rFonts w:ascii="Arial" w:cs="Arial" w:eastAsia="Arial" w:hAnsi="Arial"/>
          <w:sz w:val="17"/>
          <w:szCs w:val="17"/>
          <w:color w:val="auto"/>
        </w:rPr>
        <w:t>”) and where applicable, provincial legislation governing personal health information, protect medical records and other personal health information by limited their use and disclosure of health information to the minimum level reasonably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320" w:top="709" w:right="319" w:bottom="1440" w:gutter="0" w:footer="0" w:header="0"/>
        </w:sectPr>
      </w:pPr>
    </w:p>
    <w:bookmarkStart w:id="85" w:name="page86"/>
    <w:bookmarkEnd w:id="85"/>
    <w:p>
      <w:pPr>
        <w:jc w:val="both"/>
        <w:ind w:right="20"/>
        <w:spacing w:after="0" w:line="308" w:lineRule="auto"/>
        <w:rPr>
          <w:sz w:val="20"/>
          <w:szCs w:val="20"/>
          <w:color w:val="auto"/>
        </w:rPr>
      </w:pPr>
      <w:r>
        <w:rPr>
          <w:rFonts w:ascii="Arial" w:cs="Arial" w:eastAsia="Arial" w:hAnsi="Arial"/>
          <w:sz w:val="16"/>
          <w:szCs w:val="16"/>
          <w:color w:val="auto"/>
        </w:rPr>
        <w:t>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 and Risks</w:t>
      </w:r>
    </w:p>
    <w:p>
      <w:pPr>
        <w:spacing w:after="0" w:line="23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8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8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Decriminalisation of Psychedelics</w:t>
      </w:r>
    </w:p>
    <w:p>
      <w:pPr>
        <w:spacing w:after="0" w:line="22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decriminalised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and potentially other psychotropic compounds in the future may also impact commercial sales for the Company due to a reduced barrier to entry leading to a risk of increasing competition.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 may prove to be inaccurate</w:t>
      </w:r>
    </w:p>
    <w:p>
      <w:pPr>
        <w:spacing w:after="0" w:line="23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3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Global markets have recently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and Economic Conditions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320" w:top="709" w:right="319" w:bottom="1440" w:gutter="0" w:footer="0" w:header="0"/>
        </w:sectPr>
      </w:pPr>
    </w:p>
    <w:bookmarkStart w:id="86" w:name="page87"/>
    <w:bookmarkEnd w:id="86"/>
    <w:p>
      <w:pPr>
        <w:jc w:val="both"/>
        <w:spacing w:after="0" w:line="261" w:lineRule="auto"/>
        <w:rPr>
          <w:sz w:val="20"/>
          <w:szCs w:val="20"/>
          <w:color w:val="auto"/>
        </w:rPr>
      </w:pPr>
      <w:r>
        <w:rPr>
          <w:rFonts w:ascii="Arial" w:cs="Arial" w:eastAsia="Arial" w:hAnsi="Arial"/>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6"/>
          <w:szCs w:val="16"/>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59" w:lineRule="exact"/>
        <w:rPr>
          <w:sz w:val="20"/>
          <w:szCs w:val="20"/>
          <w:color w:val="auto"/>
        </w:rPr>
      </w:pP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inflation;</w:t>
      </w:r>
    </w:p>
    <w:p>
      <w:pPr>
        <w:spacing w:after="0" w:line="16" w:lineRule="exact"/>
        <w:rPr>
          <w:rFonts w:ascii="Arial" w:cs="Arial" w:eastAsia="Arial" w:hAnsi="Arial"/>
          <w:sz w:val="18"/>
          <w:szCs w:val="18"/>
          <w:color w:val="auto"/>
        </w:rPr>
      </w:pP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fluctuations in exchange rates;</w:t>
      </w:r>
    </w:p>
    <w:p>
      <w:pPr>
        <w:spacing w:after="0" w:line="6" w:lineRule="exact"/>
        <w:rPr>
          <w:rFonts w:ascii="Arial" w:cs="Arial" w:eastAsia="Arial" w:hAnsi="Arial"/>
          <w:sz w:val="18"/>
          <w:szCs w:val="18"/>
          <w:color w:val="auto"/>
        </w:rPr>
      </w:pP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exchange controls and restrictions on remittances abroad;</w:t>
      </w:r>
    </w:p>
    <w:p>
      <w:pPr>
        <w:spacing w:after="0" w:line="12" w:lineRule="exact"/>
        <w:rPr>
          <w:rFonts w:ascii="Arial" w:cs="Arial" w:eastAsia="Arial" w:hAnsi="Arial"/>
          <w:sz w:val="18"/>
          <w:szCs w:val="18"/>
          <w:color w:val="auto"/>
        </w:rPr>
      </w:pP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interest rates and monetary policies;</w:t>
      </w:r>
    </w:p>
    <w:p>
      <w:pPr>
        <w:spacing w:after="0" w:line="7" w:lineRule="exact"/>
        <w:rPr>
          <w:rFonts w:ascii="Arial" w:cs="Arial" w:eastAsia="Arial" w:hAnsi="Arial"/>
          <w:sz w:val="18"/>
          <w:szCs w:val="18"/>
          <w:color w:val="auto"/>
        </w:rPr>
      </w:pP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6" w:lineRule="exact"/>
        <w:rPr>
          <w:rFonts w:ascii="Arial" w:cs="Arial" w:eastAsia="Arial" w:hAnsi="Arial"/>
          <w:sz w:val="18"/>
          <w:szCs w:val="18"/>
          <w:color w:val="auto"/>
        </w:rPr>
      </w:pP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liquidity of domestic capital, credit and financial markets;</w:t>
      </w:r>
    </w:p>
    <w:p>
      <w:pPr>
        <w:spacing w:after="0" w:line="7" w:lineRule="exact"/>
        <w:rPr>
          <w:rFonts w:ascii="Arial" w:cs="Arial" w:eastAsia="Arial" w:hAnsi="Arial"/>
          <w:sz w:val="18"/>
          <w:szCs w:val="18"/>
          <w:color w:val="auto"/>
        </w:rPr>
      </w:pP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expansion or contraction of foreign economies, as measured by rates of growth in gross domestic product;</w:t>
      </w:r>
    </w:p>
    <w:p>
      <w:pPr>
        <w:spacing w:after="0" w:line="6" w:lineRule="exact"/>
        <w:rPr>
          <w:rFonts w:ascii="Arial" w:cs="Arial" w:eastAsia="Arial" w:hAnsi="Arial"/>
          <w:sz w:val="18"/>
          <w:szCs w:val="18"/>
          <w:color w:val="auto"/>
        </w:rPr>
      </w:pP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fiscal policies; and</w:t>
      </w:r>
    </w:p>
    <w:p>
      <w:pPr>
        <w:spacing w:after="0" w:line="7" w:lineRule="exact"/>
        <w:rPr>
          <w:rFonts w:ascii="Arial" w:cs="Arial" w:eastAsia="Arial" w:hAnsi="Arial"/>
          <w:sz w:val="18"/>
          <w:szCs w:val="18"/>
          <w:color w:val="auto"/>
        </w:rPr>
      </w:pPr>
    </w:p>
    <w:p>
      <w:pPr>
        <w:ind w:left="580" w:hanging="289"/>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political, social and economic developments in or affecting foreign markets.</w:t>
      </w:r>
    </w:p>
    <w:p>
      <w:pPr>
        <w:spacing w:after="0" w:line="2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182"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and Interpretation of Tax Laws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Civil Liabilities</w:t>
      </w:r>
    </w:p>
    <w:p>
      <w:pPr>
        <w:spacing w:after="0" w:line="23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 The Company has subsidiaries incorporated in the United States and Ireland. It may not be possible for shareholders to effect service of process outside of Canada against the directors and officers of the Company who are not resident in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60"/>
          </w:cols>
          <w:pgMar w:left="320" w:top="709" w:right="319" w:bottom="1440" w:gutter="0" w:footer="0" w:header="0"/>
        </w:sectPr>
      </w:pPr>
    </w:p>
    <w:bookmarkStart w:id="87" w:name="page88"/>
    <w:bookmarkEnd w:id="87"/>
    <w:p>
      <w:pPr>
        <w:jc w:val="both"/>
        <w:ind w:right="20"/>
        <w:spacing w:after="0" w:line="271" w:lineRule="auto"/>
        <w:rPr>
          <w:sz w:val="20"/>
          <w:szCs w:val="20"/>
          <w:color w:val="auto"/>
        </w:rPr>
      </w:pPr>
      <w:r>
        <w:rPr>
          <w:rFonts w:ascii="Arial" w:cs="Arial" w:eastAsia="Arial" w:hAnsi="Arial"/>
          <w:sz w:val="17"/>
          <w:szCs w:val="17"/>
          <w:color w:val="auto"/>
        </w:rPr>
        <w:t>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208"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Failure to register trademarks for the Company or its products could require the Company to rebrand its products resulting in a material adverse impact on its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Law Reform</w:t>
      </w:r>
    </w:p>
    <w:p>
      <w:pPr>
        <w:spacing w:after="0" w:line="19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 and Intellectual Property</w:t>
      </w:r>
    </w:p>
    <w:p>
      <w:pPr>
        <w:spacing w:after="0" w:line="20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320" w:top="709" w:right="319" w:bottom="1440" w:gutter="0" w:footer="0" w:header="0"/>
        </w:sectPr>
      </w:pPr>
    </w:p>
    <w:bookmarkStart w:id="88" w:name="page89"/>
    <w:bookmarkEnd w:id="88"/>
    <w:p>
      <w:pPr>
        <w:jc w:val="both"/>
        <w:spacing w:after="0" w:line="268" w:lineRule="auto"/>
        <w:rPr>
          <w:sz w:val="20"/>
          <w:szCs w:val="20"/>
          <w:color w:val="auto"/>
        </w:rPr>
      </w:pPr>
      <w:r>
        <w:rPr>
          <w:rFonts w:ascii="Arial" w:cs="Arial" w:eastAsia="Arial" w:hAnsi="Arial"/>
          <w:sz w:val="17"/>
          <w:szCs w:val="17"/>
          <w:color w:val="auto"/>
        </w:rPr>
        <w:t>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Intellectual Property</w:t>
      </w:r>
    </w:p>
    <w:p>
      <w:pPr>
        <w:spacing w:after="0" w:line="2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Licences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320" w:top="709" w:right="319" w:bottom="1440" w:gutter="0" w:footer="0" w:header="0"/>
        </w:sectPr>
      </w:pPr>
    </w:p>
    <w:bookmarkStart w:id="89" w:name="page90"/>
    <w:bookmarkEnd w:id="89"/>
    <w:p>
      <w:pPr>
        <w:jc w:val="both"/>
        <w:ind w:right="20"/>
        <w:spacing w:after="0" w:line="261" w:lineRule="auto"/>
        <w:rPr>
          <w:sz w:val="20"/>
          <w:szCs w:val="20"/>
          <w:color w:val="auto"/>
        </w:rPr>
      </w:pPr>
      <w:r>
        <w:rPr>
          <w:rFonts w:ascii="Arial" w:cs="Arial" w:eastAsia="Arial" w:hAnsi="Arial"/>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Accounting Risks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Number of Authorized but Unissued Common Shares</w:t>
      </w:r>
    </w:p>
    <w:p>
      <w:pPr>
        <w:spacing w:after="0" w:line="2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2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Cash Flow from Operating Activities and Going Concern</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69"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 xml:space="preserve">The threat of the Company’s ability </w:t>
      </w:r>
      <w:r>
        <w:rPr>
          <w:rFonts w:ascii="Arial" w:cs="Arial" w:eastAsia="Arial" w:hAnsi="Arial"/>
          <w:sz w:val="17"/>
          <w:szCs w:val="17"/>
          <w:color w:val="auto"/>
        </w:rPr>
        <w:t>to</w:t>
      </w:r>
      <w:r>
        <w:rPr>
          <w:rFonts w:ascii="Arial" w:cs="Arial" w:eastAsia="Arial" w:hAnsi="Arial"/>
          <w:sz w:val="16"/>
          <w:szCs w:val="16"/>
          <w:color w:val="auto"/>
        </w:rPr>
        <w:t xml:space="preserve">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shareholders could lose all or part of their investment. The Company’s financial statements do not include any adjustments to the Company’s recorded assets or liabilities that might be necessary if the Company becomes unable to continue as a going concern.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Capital Requirements</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60"/>
          </w:cols>
          <w:pgMar w:left="320" w:top="709" w:right="319" w:bottom="1440" w:gutter="0" w:footer="0" w:header="0"/>
        </w:sectPr>
      </w:pPr>
    </w:p>
    <w:bookmarkStart w:id="90" w:name="page91"/>
    <w:bookmarkEnd w:id="90"/>
    <w:p>
      <w:pPr>
        <w:ind w:left="2"/>
        <w:spacing w:after="0"/>
        <w:rPr>
          <w:sz w:val="20"/>
          <w:szCs w:val="20"/>
          <w:color w:val="auto"/>
        </w:rPr>
      </w:pPr>
      <w:r>
        <w:rPr>
          <w:rFonts w:ascii="Arial" w:cs="Arial" w:eastAsia="Arial" w:hAnsi="Arial"/>
          <w:sz w:val="18"/>
          <w:szCs w:val="18"/>
          <w:b w:val="1"/>
          <w:bCs w:val="1"/>
          <w:i w:val="1"/>
          <w:iCs w:val="1"/>
          <w:color w:val="auto"/>
        </w:rPr>
        <w:t>Lack of Significant Product Revenue</w:t>
      </w:r>
    </w:p>
    <w:p>
      <w:pPr>
        <w:spacing w:after="0" w:line="233" w:lineRule="exact"/>
        <w:rPr>
          <w:sz w:val="20"/>
          <w:szCs w:val="20"/>
          <w:color w:val="auto"/>
        </w:rPr>
      </w:pPr>
    </w:p>
    <w:p>
      <w:pPr>
        <w:jc w:val="both"/>
        <w:ind w:left="2" w:right="20"/>
        <w:spacing w:after="0" w:line="292" w:lineRule="auto"/>
        <w:rPr>
          <w:sz w:val="20"/>
          <w:szCs w:val="20"/>
          <w:color w:val="auto"/>
        </w:rPr>
      </w:pPr>
      <w:r>
        <w:rPr>
          <w:rFonts w:ascii="Arial" w:cs="Arial" w:eastAsia="Arial" w:hAnsi="Arial"/>
          <w:sz w:val="16"/>
          <w:szCs w:val="16"/>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Estimates or Judgments Relating to Critical Accounting Policies</w:t>
      </w:r>
    </w:p>
    <w:p>
      <w:pPr>
        <w:spacing w:after="0" w:line="233" w:lineRule="exact"/>
        <w:rPr>
          <w:sz w:val="20"/>
          <w:szCs w:val="20"/>
          <w:color w:val="auto"/>
        </w:rPr>
      </w:pPr>
    </w:p>
    <w:p>
      <w:pPr>
        <w:jc w:val="both"/>
        <w:ind w:left="2" w:right="20"/>
        <w:spacing w:after="0" w:line="288" w:lineRule="auto"/>
        <w:rPr>
          <w:sz w:val="20"/>
          <w:szCs w:val="20"/>
          <w:color w:val="auto"/>
        </w:rPr>
      </w:pPr>
      <w:r>
        <w:rPr>
          <w:rFonts w:ascii="Arial" w:cs="Arial" w:eastAsia="Arial" w:hAnsi="Arial"/>
          <w:sz w:val="16"/>
          <w:szCs w:val="16"/>
          <w:color w:val="auto"/>
        </w:rPr>
        <w:t>The preparation of financial statements in conformity with the International Financial Reporting Standards requires management to make estimates and assumptions that affect the amounts reported in the Company's financial statements and accompanying notes. The Company bases its estimates on historical experience and on various other assumptions that it believes to be reasonable under the circumstances, as provided in the notes to the financial statements of the Company,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Company's financial statements include those related to income tax credits receivable, share based payments, impairment of non-financial assets, fair value of biological assets, as well as cost recognition.</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Inadequate Internal Controls</w:t>
      </w:r>
    </w:p>
    <w:p>
      <w:pPr>
        <w:spacing w:after="0" w:line="221" w:lineRule="exact"/>
        <w:rPr>
          <w:sz w:val="20"/>
          <w:szCs w:val="20"/>
          <w:color w:val="auto"/>
        </w:rPr>
      </w:pPr>
    </w:p>
    <w:p>
      <w:pPr>
        <w:jc w:val="both"/>
        <w:ind w:left="2" w:right="20"/>
        <w:spacing w:after="0" w:line="258" w:lineRule="auto"/>
        <w:rPr>
          <w:sz w:val="20"/>
          <w:szCs w:val="20"/>
          <w:color w:val="auto"/>
        </w:rPr>
      </w:pPr>
      <w:r>
        <w:rPr>
          <w:rFonts w:ascii="Arial" w:cs="Arial" w:eastAsia="Arial" w:hAnsi="Arial"/>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7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Risks Related to the Common Shares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Market for the Common Shares</w:t>
      </w:r>
    </w:p>
    <w:p>
      <w:pPr>
        <w:spacing w:after="0" w:line="196" w:lineRule="exact"/>
        <w:rPr>
          <w:sz w:val="20"/>
          <w:szCs w:val="20"/>
          <w:color w:val="auto"/>
        </w:rPr>
      </w:pPr>
    </w:p>
    <w:p>
      <w:pPr>
        <w:jc w:val="both"/>
        <w:ind w:left="2"/>
        <w:spacing w:after="0" w:line="283" w:lineRule="auto"/>
        <w:rPr>
          <w:sz w:val="20"/>
          <w:szCs w:val="20"/>
          <w:color w:val="auto"/>
        </w:rPr>
      </w:pPr>
      <w:r>
        <w:rPr>
          <w:rFonts w:ascii="Arial" w:cs="Arial" w:eastAsia="Arial" w:hAnsi="Arial"/>
          <w:sz w:val="16"/>
          <w:szCs w:val="16"/>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w:t>
      </w:r>
    </w:p>
    <w:p>
      <w:pPr>
        <w:spacing w:after="0" w:line="3" w:lineRule="exact"/>
        <w:rPr>
          <w:sz w:val="20"/>
          <w:szCs w:val="20"/>
          <w:color w:val="auto"/>
        </w:rPr>
      </w:pPr>
    </w:p>
    <w:p>
      <w:pPr>
        <w:jc w:val="both"/>
        <w:ind w:left="2" w:right="20" w:hanging="2"/>
        <w:spacing w:after="0" w:line="278" w:lineRule="auto"/>
        <w:tabs>
          <w:tab w:leader="none" w:pos="4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litigation involving the Company, its industry, or both; (ix) regulatory developments; (x) general economic conditions and trends; (xi) major catastrophic events; (xii) escrow releases, sales of large blocks of the Common Shares; (xiii) departures of key employees or members of management; or</w:t>
      </w:r>
    </w:p>
    <w:p>
      <w:pPr>
        <w:spacing w:after="0" w:line="1" w:lineRule="exact"/>
        <w:rPr>
          <w:rFonts w:ascii="Arial" w:cs="Arial" w:eastAsia="Arial" w:hAnsi="Arial"/>
          <w:sz w:val="16"/>
          <w:szCs w:val="16"/>
          <w:color w:val="auto"/>
        </w:rPr>
      </w:pPr>
    </w:p>
    <w:p>
      <w:pPr>
        <w:ind w:left="402" w:hanging="402"/>
        <w:spacing w:after="0"/>
        <w:tabs>
          <w:tab w:leader="none" w:pos="4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adverse impact on the Company from any of the other risks cited herein.</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Significant Sales of the Common Shares</w:t>
      </w:r>
    </w:p>
    <w:p>
      <w:pPr>
        <w:spacing w:after="0" w:line="208" w:lineRule="exact"/>
        <w:rPr>
          <w:sz w:val="20"/>
          <w:szCs w:val="20"/>
          <w:color w:val="auto"/>
        </w:rPr>
      </w:pPr>
    </w:p>
    <w:p>
      <w:pPr>
        <w:ind w:left="2" w:right="20"/>
        <w:spacing w:after="0" w:line="267" w:lineRule="auto"/>
        <w:rPr>
          <w:sz w:val="20"/>
          <w:szCs w:val="20"/>
          <w:color w:val="auto"/>
        </w:rPr>
      </w:pPr>
      <w:r>
        <w:rPr>
          <w:rFonts w:ascii="Arial" w:cs="Arial" w:eastAsia="Arial" w:hAnsi="Arial"/>
          <w:sz w:val="18"/>
          <w:szCs w:val="18"/>
          <w:color w:val="auto"/>
        </w:rPr>
        <w:t>Although Common Shares held by existing shareholders of the Company will be freely tradable under applicable securities legislation, the Common Shares held by the Company’s directors, executive officers, Control persons and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2"/>
          </w:cols>
          <w:pgMar w:left="318" w:top="929" w:right="319" w:bottom="1440" w:gutter="0" w:footer="0" w:header="0"/>
        </w:sectPr>
      </w:pPr>
    </w:p>
    <w:bookmarkStart w:id="91" w:name="page92"/>
    <w:bookmarkEnd w:id="91"/>
    <w:p>
      <w:pPr>
        <w:jc w:val="both"/>
        <w:ind w:right="20"/>
        <w:spacing w:after="0" w:line="259" w:lineRule="auto"/>
        <w:rPr>
          <w:sz w:val="20"/>
          <w:szCs w:val="20"/>
          <w:color w:val="auto"/>
        </w:rPr>
      </w:pPr>
      <w:r>
        <w:rPr>
          <w:rFonts w:ascii="Arial" w:cs="Arial" w:eastAsia="Arial" w:hAnsi="Arial"/>
          <w:sz w:val="18"/>
          <w:szCs w:val="18"/>
          <w:color w:val="auto"/>
        </w:rPr>
        <w:t>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Volatile Market Price for the Common Shares</w:t>
      </w:r>
    </w:p>
    <w:p>
      <w:pPr>
        <w:spacing w:after="0" w:line="19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Issues</w:t>
      </w:r>
    </w:p>
    <w:p>
      <w:pPr>
        <w:spacing w:after="0" w:line="19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There may be income tax consequences in relation to the Common Shares, which will vary according to circumstances. Independent advice from tax and legal advisers should be obtained.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Dividends</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on the Company has been filed electronically through SEDAR and is available online at </w:t>
      </w:r>
      <w:r>
        <w:rPr>
          <w:rFonts w:ascii="Arial" w:cs="Arial" w:eastAsia="Arial" w:hAnsi="Arial"/>
          <w:sz w:val="18"/>
          <w:szCs w:val="18"/>
          <w:i w:val="1"/>
          <w:iCs w:val="1"/>
          <w:u w:val="single" w:color="auto"/>
          <w:color w:val="0563C1"/>
        </w:rPr>
        <w:t>www.sedar.com</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320" w:top="709" w:right="31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FORM 52-109F2</w:t>
      </w:r>
    </w:p>
    <w:p>
      <w:pPr>
        <w:jc w:val="center"/>
        <w:spacing w:after="0" w:line="223" w:lineRule="auto"/>
        <w:rPr>
          <w:sz w:val="20"/>
          <w:szCs w:val="20"/>
          <w:color w:val="auto"/>
        </w:rPr>
      </w:pPr>
      <w:r>
        <w:rPr>
          <w:rFonts w:ascii="Arial" w:cs="Arial" w:eastAsia="Arial" w:hAnsi="Arial"/>
          <w:sz w:val="16"/>
          <w:szCs w:val="16"/>
          <w:b w:val="1"/>
          <w:bCs w:val="1"/>
          <w:color w:val="auto"/>
        </w:rPr>
        <w:t>CERTIFICATION OF INTERIM FILINGS</w:t>
      </w:r>
    </w:p>
    <w:p>
      <w:pPr>
        <w:ind w:left="4820"/>
        <w:spacing w:after="0"/>
        <w:rPr>
          <w:sz w:val="20"/>
          <w:szCs w:val="20"/>
          <w:color w:val="auto"/>
        </w:rPr>
      </w:pPr>
      <w:r>
        <w:rPr>
          <w:rFonts w:ascii="Arial" w:cs="Arial" w:eastAsia="Arial" w:hAnsi="Arial"/>
          <w:sz w:val="16"/>
          <w:szCs w:val="16"/>
          <w:b w:val="1"/>
          <w:bCs w:val="1"/>
          <w:color w:val="auto"/>
        </w:rPr>
        <w:t>FULL CERTIFICATE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 Greg Cavers, as Chief Financial Officer of Cybin Inc, certify the following:</w:t>
      </w:r>
    </w:p>
    <w:p>
      <w:pPr>
        <w:spacing w:after="0" w:line="170" w:lineRule="exact"/>
        <w:rPr>
          <w:sz w:val="20"/>
          <w:szCs w:val="20"/>
          <w:color w:val="auto"/>
        </w:rPr>
      </w:pPr>
    </w:p>
    <w:p>
      <w:pPr>
        <w:ind w:left="580" w:hanging="289"/>
        <w:spacing w:after="0" w:line="253"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(the “issuer”) for the interim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2022.</w:t>
      </w:r>
    </w:p>
    <w:p>
      <w:pPr>
        <w:spacing w:after="0" w:line="161" w:lineRule="exact"/>
        <w:rPr>
          <w:rFonts w:ascii="Arial" w:cs="Arial" w:eastAsia="Arial" w:hAnsi="Arial"/>
          <w:sz w:val="16"/>
          <w:szCs w:val="16"/>
          <w:color w:val="auto"/>
        </w:rPr>
      </w:pPr>
    </w:p>
    <w:p>
      <w:pPr>
        <w:jc w:val="both"/>
        <w:ind w:left="580" w:hanging="289"/>
        <w:spacing w:after="0" w:line="233"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omit to state a material fact required to be stated or that is necessary to make a statement not misleading in light of the circumstances under which it was made, with respect to the period covered by the interim filings.</w:t>
      </w:r>
    </w:p>
    <w:p>
      <w:pPr>
        <w:spacing w:after="0" w:line="172" w:lineRule="exact"/>
        <w:rPr>
          <w:rFonts w:ascii="Arial" w:cs="Arial" w:eastAsia="Arial" w:hAnsi="Arial"/>
          <w:sz w:val="16"/>
          <w:szCs w:val="16"/>
          <w:color w:val="auto"/>
        </w:rPr>
      </w:pPr>
    </w:p>
    <w:p>
      <w:pPr>
        <w:jc w:val="both"/>
        <w:ind w:left="580" w:hanging="289"/>
        <w:spacing w:after="0" w:line="233"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2" w:lineRule="exact"/>
        <w:rPr>
          <w:rFonts w:ascii="Arial" w:cs="Arial" w:eastAsia="Arial" w:hAnsi="Arial"/>
          <w:sz w:val="16"/>
          <w:szCs w:val="16"/>
          <w:color w:val="auto"/>
        </w:rPr>
      </w:pPr>
    </w:p>
    <w:p>
      <w:pPr>
        <w:jc w:val="both"/>
        <w:ind w:left="580" w:hanging="289"/>
        <w:spacing w:after="0" w:line="233"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72" w:lineRule="exact"/>
        <w:rPr>
          <w:rFonts w:ascii="Arial" w:cs="Arial" w:eastAsia="Arial" w:hAnsi="Arial"/>
          <w:sz w:val="16"/>
          <w:szCs w:val="16"/>
          <w:color w:val="auto"/>
        </w:rPr>
      </w:pPr>
    </w:p>
    <w:p>
      <w:pPr>
        <w:ind w:left="580" w:hanging="289"/>
        <w:spacing w:after="0" w:line="238"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84" w:lineRule="exact"/>
        <w:rPr>
          <w:rFonts w:ascii="Arial" w:cs="Arial" w:eastAsia="Arial" w:hAnsi="Arial"/>
          <w:sz w:val="16"/>
          <w:szCs w:val="16"/>
          <w:color w:val="auto"/>
        </w:rPr>
      </w:pPr>
    </w:p>
    <w:p>
      <w:pPr>
        <w:ind w:left="1180" w:hanging="303"/>
        <w:spacing w:after="0"/>
        <w:tabs>
          <w:tab w:leader="none" w:pos="11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194" w:lineRule="exact"/>
        <w:rPr>
          <w:rFonts w:ascii="Arial" w:cs="Arial" w:eastAsia="Arial" w:hAnsi="Arial"/>
          <w:sz w:val="16"/>
          <w:szCs w:val="16"/>
          <w:color w:val="auto"/>
        </w:rPr>
      </w:pPr>
    </w:p>
    <w:p>
      <w:pPr>
        <w:ind w:left="1760" w:hanging="296"/>
        <w:spacing w:after="0" w:line="238" w:lineRule="auto"/>
        <w:tabs>
          <w:tab w:leader="none" w:pos="1760" w:val="left"/>
        </w:tabs>
        <w:numPr>
          <w:ilvl w:val="2"/>
          <w:numId w:val="59"/>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84" w:lineRule="exact"/>
        <w:rPr>
          <w:rFonts w:ascii="Arial" w:cs="Arial" w:eastAsia="Arial" w:hAnsi="Arial"/>
          <w:sz w:val="16"/>
          <w:szCs w:val="16"/>
          <w:color w:val="auto"/>
        </w:rPr>
      </w:pPr>
    </w:p>
    <w:p>
      <w:pPr>
        <w:ind w:left="1760" w:hanging="296"/>
        <w:spacing w:after="0" w:line="238" w:lineRule="auto"/>
        <w:tabs>
          <w:tab w:leader="none" w:pos="1760" w:val="left"/>
        </w:tabs>
        <w:numPr>
          <w:ilvl w:val="2"/>
          <w:numId w:val="59"/>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2" w:lineRule="exact"/>
        <w:rPr>
          <w:rFonts w:ascii="Arial" w:cs="Arial" w:eastAsia="Arial" w:hAnsi="Arial"/>
          <w:sz w:val="16"/>
          <w:szCs w:val="16"/>
          <w:color w:val="auto"/>
        </w:rPr>
      </w:pPr>
    </w:p>
    <w:p>
      <w:pPr>
        <w:ind w:left="1180" w:hanging="303"/>
        <w:spacing w:after="0" w:line="253" w:lineRule="auto"/>
        <w:tabs>
          <w:tab w:leader="none" w:pos="11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2" w:lineRule="exact"/>
        <w:rPr>
          <w:sz w:val="20"/>
          <w:szCs w:val="20"/>
          <w:color w:val="auto"/>
        </w:rPr>
      </w:pPr>
    </w:p>
    <w:p>
      <w:pPr>
        <w:ind w:left="580" w:hanging="292"/>
        <w:spacing w:after="0" w:line="238" w:lineRule="auto"/>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ind w:left="580" w:hanging="289"/>
        <w:spacing w:after="0" w:line="253"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July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and ended on September 30, 2022 that has materially affected, or is reasonably likely to materially affect, the issuer’s ICFR.</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14, 2022.</w:t>
      </w:r>
    </w:p>
    <w:p>
      <w:pPr>
        <w:spacing w:after="0" w:line="244" w:lineRule="exact"/>
        <w:rPr>
          <w:sz w:val="20"/>
          <w:szCs w:val="20"/>
          <w:color w:val="auto"/>
        </w:rPr>
      </w:pPr>
    </w:p>
    <w:p>
      <w:pPr>
        <w:ind w:left="60" w:right="10000" w:hanging="1"/>
        <w:spacing w:after="0" w:line="297" w:lineRule="auto"/>
        <w:tabs>
          <w:tab w:leader="none" w:pos="272"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"Greg Cavers" </w:t>
      </w:r>
      <w:r>
        <w:rPr>
          <w:rFonts w:ascii="Arial" w:cs="Arial" w:eastAsia="Arial" w:hAnsi="Arial"/>
          <w:sz w:val="15"/>
          <w:szCs w:val="15"/>
          <w:color w:val="auto"/>
        </w:rPr>
        <w:t>Greg Cavers</w:t>
      </w:r>
    </w:p>
    <w:p>
      <w:pPr>
        <w:ind w:left="60"/>
        <w:spacing w:after="0"/>
        <w:rPr>
          <w:rFonts w:ascii="Arial" w:cs="Arial" w:eastAsia="Arial" w:hAnsi="Arial"/>
          <w:sz w:val="15"/>
          <w:szCs w:val="15"/>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19551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5165" cy="7620"/>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FORM 52-109F2</w:t>
      </w:r>
    </w:p>
    <w:p>
      <w:pPr>
        <w:jc w:val="center"/>
        <w:spacing w:after="0" w:line="223" w:lineRule="auto"/>
        <w:rPr>
          <w:sz w:val="20"/>
          <w:szCs w:val="20"/>
          <w:color w:val="auto"/>
        </w:rPr>
      </w:pPr>
      <w:r>
        <w:rPr>
          <w:rFonts w:ascii="Arial" w:cs="Arial" w:eastAsia="Arial" w:hAnsi="Arial"/>
          <w:sz w:val="16"/>
          <w:szCs w:val="16"/>
          <w:b w:val="1"/>
          <w:bCs w:val="1"/>
          <w:color w:val="auto"/>
        </w:rPr>
        <w:t>CERTIFICATION OF INTERIM FILINGS</w:t>
      </w:r>
    </w:p>
    <w:p>
      <w:pPr>
        <w:ind w:left="4820"/>
        <w:spacing w:after="0"/>
        <w:rPr>
          <w:sz w:val="20"/>
          <w:szCs w:val="20"/>
          <w:color w:val="auto"/>
        </w:rPr>
      </w:pPr>
      <w:r>
        <w:rPr>
          <w:rFonts w:ascii="Arial" w:cs="Arial" w:eastAsia="Arial" w:hAnsi="Arial"/>
          <w:sz w:val="16"/>
          <w:szCs w:val="16"/>
          <w:b w:val="1"/>
          <w:bCs w:val="1"/>
          <w:color w:val="auto"/>
        </w:rPr>
        <w:t>FULL CERTIFICATE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Douglas Drysdale, as Chief Executive Officer of Cybin Inc., certify the following:</w:t>
      </w:r>
    </w:p>
    <w:p>
      <w:pPr>
        <w:spacing w:after="0" w:line="195" w:lineRule="exact"/>
        <w:rPr>
          <w:sz w:val="20"/>
          <w:szCs w:val="20"/>
          <w:color w:val="auto"/>
        </w:rPr>
      </w:pPr>
    </w:p>
    <w:p>
      <w:pPr>
        <w:ind w:left="580" w:hanging="289"/>
        <w:spacing w:after="0" w:line="253"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(the “issuer”) for the interim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2022.</w:t>
      </w:r>
    </w:p>
    <w:p>
      <w:pPr>
        <w:spacing w:after="0" w:line="161" w:lineRule="exact"/>
        <w:rPr>
          <w:rFonts w:ascii="Arial" w:cs="Arial" w:eastAsia="Arial" w:hAnsi="Arial"/>
          <w:sz w:val="16"/>
          <w:szCs w:val="16"/>
          <w:color w:val="auto"/>
        </w:rPr>
      </w:pPr>
    </w:p>
    <w:p>
      <w:pPr>
        <w:jc w:val="both"/>
        <w:ind w:left="580" w:hanging="289"/>
        <w:spacing w:after="0" w:line="233"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omit to state a material fact required to be stated or that is necessary to make a statement not misleading in light of the circumstances under which it was made, with respect to the period covered by the interim filings.</w:t>
      </w:r>
    </w:p>
    <w:p>
      <w:pPr>
        <w:spacing w:after="0" w:line="172" w:lineRule="exact"/>
        <w:rPr>
          <w:rFonts w:ascii="Arial" w:cs="Arial" w:eastAsia="Arial" w:hAnsi="Arial"/>
          <w:sz w:val="16"/>
          <w:szCs w:val="16"/>
          <w:color w:val="auto"/>
        </w:rPr>
      </w:pPr>
    </w:p>
    <w:p>
      <w:pPr>
        <w:jc w:val="both"/>
        <w:ind w:left="580" w:hanging="289"/>
        <w:spacing w:after="0" w:line="233"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2" w:lineRule="exact"/>
        <w:rPr>
          <w:rFonts w:ascii="Arial" w:cs="Arial" w:eastAsia="Arial" w:hAnsi="Arial"/>
          <w:sz w:val="16"/>
          <w:szCs w:val="16"/>
          <w:color w:val="auto"/>
        </w:rPr>
      </w:pPr>
    </w:p>
    <w:p>
      <w:pPr>
        <w:jc w:val="both"/>
        <w:ind w:left="580" w:hanging="289"/>
        <w:spacing w:after="0" w:line="233"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72" w:lineRule="exact"/>
        <w:rPr>
          <w:rFonts w:ascii="Arial" w:cs="Arial" w:eastAsia="Arial" w:hAnsi="Arial"/>
          <w:sz w:val="16"/>
          <w:szCs w:val="16"/>
          <w:color w:val="auto"/>
        </w:rPr>
      </w:pPr>
    </w:p>
    <w:p>
      <w:pPr>
        <w:ind w:left="580" w:hanging="289"/>
        <w:spacing w:after="0" w:line="238"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84" w:lineRule="exact"/>
        <w:rPr>
          <w:rFonts w:ascii="Arial" w:cs="Arial" w:eastAsia="Arial" w:hAnsi="Arial"/>
          <w:sz w:val="16"/>
          <w:szCs w:val="16"/>
          <w:color w:val="auto"/>
        </w:rPr>
      </w:pPr>
    </w:p>
    <w:p>
      <w:pPr>
        <w:ind w:left="1180" w:hanging="303"/>
        <w:spacing w:after="0"/>
        <w:tabs>
          <w:tab w:leader="none" w:pos="11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194" w:lineRule="exact"/>
        <w:rPr>
          <w:rFonts w:ascii="Arial" w:cs="Arial" w:eastAsia="Arial" w:hAnsi="Arial"/>
          <w:sz w:val="16"/>
          <w:szCs w:val="16"/>
          <w:color w:val="auto"/>
        </w:rPr>
      </w:pPr>
    </w:p>
    <w:p>
      <w:pPr>
        <w:ind w:left="1760" w:hanging="296"/>
        <w:spacing w:after="0" w:line="238" w:lineRule="auto"/>
        <w:tabs>
          <w:tab w:leader="none" w:pos="1760" w:val="left"/>
        </w:tabs>
        <w:numPr>
          <w:ilvl w:val="2"/>
          <w:numId w:val="62"/>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84" w:lineRule="exact"/>
        <w:rPr>
          <w:rFonts w:ascii="Arial" w:cs="Arial" w:eastAsia="Arial" w:hAnsi="Arial"/>
          <w:sz w:val="16"/>
          <w:szCs w:val="16"/>
          <w:color w:val="auto"/>
        </w:rPr>
      </w:pPr>
    </w:p>
    <w:p>
      <w:pPr>
        <w:ind w:left="1760" w:hanging="296"/>
        <w:spacing w:after="0" w:line="238" w:lineRule="auto"/>
        <w:tabs>
          <w:tab w:leader="none" w:pos="1760" w:val="left"/>
        </w:tabs>
        <w:numPr>
          <w:ilvl w:val="2"/>
          <w:numId w:val="62"/>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2" w:lineRule="exact"/>
        <w:rPr>
          <w:rFonts w:ascii="Arial" w:cs="Arial" w:eastAsia="Arial" w:hAnsi="Arial"/>
          <w:sz w:val="16"/>
          <w:szCs w:val="16"/>
          <w:color w:val="auto"/>
        </w:rPr>
      </w:pPr>
    </w:p>
    <w:p>
      <w:pPr>
        <w:ind w:left="1180" w:hanging="303"/>
        <w:spacing w:after="0" w:line="253" w:lineRule="auto"/>
        <w:tabs>
          <w:tab w:leader="none" w:pos="11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2" w:lineRule="exact"/>
        <w:rPr>
          <w:sz w:val="20"/>
          <w:szCs w:val="20"/>
          <w:color w:val="auto"/>
        </w:rPr>
      </w:pPr>
    </w:p>
    <w:p>
      <w:pPr>
        <w:ind w:left="580" w:hanging="292"/>
        <w:spacing w:after="0" w:line="238" w:lineRule="auto"/>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b w:val="1"/>
          <w:bCs w:val="1"/>
          <w:i w:val="1"/>
          <w:iCs w:val="1"/>
          <w:color w:val="auto"/>
        </w:rPr>
        <w:t>N/A.</w:t>
      </w:r>
    </w:p>
    <w:p>
      <w:pPr>
        <w:spacing w:after="0" w:line="195" w:lineRule="exact"/>
        <w:rPr>
          <w:sz w:val="20"/>
          <w:szCs w:val="20"/>
          <w:color w:val="auto"/>
        </w:rPr>
      </w:pPr>
    </w:p>
    <w:p>
      <w:pPr>
        <w:ind w:left="580" w:hanging="289"/>
        <w:spacing w:after="0" w:line="253"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July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and ended on September 30, 2022 that has materially affected, or is reasonably likely to materially affect, the issuer’s ICFR.</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14, 2022.</w:t>
      </w:r>
    </w:p>
    <w:p>
      <w:pPr>
        <w:spacing w:after="0" w:line="244" w:lineRule="exact"/>
        <w:rPr>
          <w:sz w:val="20"/>
          <w:szCs w:val="20"/>
          <w:color w:val="auto"/>
        </w:rPr>
      </w:pPr>
    </w:p>
    <w:p>
      <w:pPr>
        <w:ind w:left="60" w:right="9620" w:hanging="1"/>
        <w:spacing w:after="0" w:line="321" w:lineRule="auto"/>
        <w:tabs>
          <w:tab w:leader="none" w:pos="273"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"Douglas Drysdale" </w:t>
      </w:r>
      <w:r>
        <w:rPr>
          <w:rFonts w:ascii="Arial" w:cs="Arial" w:eastAsia="Arial" w:hAnsi="Arial"/>
          <w:sz w:val="15"/>
          <w:szCs w:val="15"/>
          <w:color w:val="auto"/>
        </w:rPr>
        <w:t>Douglas Drysdale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195516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5165" cy="762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2979420</wp:posOffset>
            </wp:positionH>
            <wp:positionV relativeFrom="page">
              <wp:posOffset>981075</wp:posOffset>
            </wp:positionV>
            <wp:extent cx="1598295" cy="10083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598295" cy="100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
        <w:spacing w:after="0"/>
        <w:rPr>
          <w:sz w:val="20"/>
          <w:szCs w:val="20"/>
          <w:color w:val="auto"/>
        </w:rPr>
      </w:pPr>
      <w:r>
        <w:rPr>
          <w:rFonts w:ascii="Arial" w:cs="Arial" w:eastAsia="Arial" w:hAnsi="Arial"/>
          <w:sz w:val="23"/>
          <w:szCs w:val="23"/>
          <w:b w:val="1"/>
          <w:bCs w:val="1"/>
          <w:color w:val="auto"/>
        </w:rPr>
        <w:t>Cybin Inc. Reports Second Quarter Financial Results and Recent Business Highlights</w:t>
      </w:r>
    </w:p>
    <w:p>
      <w:pPr>
        <w:spacing w:after="0" w:line="200" w:lineRule="exact"/>
        <w:rPr>
          <w:sz w:val="20"/>
          <w:szCs w:val="20"/>
          <w:color w:val="auto"/>
        </w:rPr>
      </w:pPr>
    </w:p>
    <w:p>
      <w:pPr>
        <w:spacing w:after="0" w:line="319" w:lineRule="exact"/>
        <w:rPr>
          <w:sz w:val="20"/>
          <w:szCs w:val="20"/>
          <w:color w:val="auto"/>
        </w:rPr>
      </w:pPr>
    </w:p>
    <w:p>
      <w:pPr>
        <w:jc w:val="both"/>
        <w:ind w:left="2"/>
        <w:spacing w:after="0" w:line="324"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November 14, 2022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0563C1"/>
        </w:rPr>
        <w:t>NEO:CYBN</w:t>
      </w:r>
      <w:r>
        <w:rPr>
          <w:rFonts w:ascii="Arial" w:cs="Arial" w:eastAsia="Arial" w:hAnsi="Arial"/>
          <w:sz w:val="18"/>
          <w:szCs w:val="18"/>
          <w:color w:val="auto"/>
        </w:rPr>
        <w:t>) (</w:t>
      </w:r>
      <w:r>
        <w:rPr>
          <w:rFonts w:ascii="Arial" w:cs="Arial" w:eastAsia="Arial" w:hAnsi="Arial"/>
          <w:sz w:val="18"/>
          <w:szCs w:val="18"/>
          <w:u w:val="single" w:color="auto"/>
          <w:color w:val="0563C1"/>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23"/>
          <w:szCs w:val="23"/>
          <w:color w:val="auto"/>
          <w:vertAlign w:val="superscript"/>
        </w:rPr>
        <w:t>®</w:t>
      </w:r>
      <w:r>
        <w:rPr>
          <w:rFonts w:ascii="Arial" w:cs="Arial" w:eastAsia="Arial" w:hAnsi="Arial"/>
          <w:sz w:val="18"/>
          <w:szCs w:val="18"/>
          <w:color w:val="auto"/>
        </w:rPr>
        <w:t>, today reported unaudited financial results for its second quarter ended September 30, 2022, and recent business highlights.</w:t>
      </w:r>
    </w:p>
    <w:p>
      <w:pPr>
        <w:spacing w:after="0" w:line="181" w:lineRule="exact"/>
        <w:rPr>
          <w:sz w:val="20"/>
          <w:szCs w:val="20"/>
          <w:color w:val="auto"/>
        </w:rPr>
      </w:pPr>
    </w:p>
    <w:p>
      <w:pPr>
        <w:jc w:val="both"/>
        <w:ind w:left="2"/>
        <w:spacing w:after="0" w:line="336" w:lineRule="auto"/>
        <w:rPr>
          <w:sz w:val="20"/>
          <w:szCs w:val="20"/>
          <w:color w:val="auto"/>
        </w:rPr>
      </w:pPr>
      <w:r>
        <w:rPr>
          <w:rFonts w:ascii="Arial" w:cs="Arial" w:eastAsia="Arial" w:hAnsi="Arial"/>
          <w:sz w:val="18"/>
          <w:szCs w:val="18"/>
          <w:color w:val="auto"/>
        </w:rPr>
        <w:t>“We have continued to make progress as planned, advancing our clinical pipeline of modified psychedelic-based molecules while also strengthening our drug discovery platform of differentiated preclinical compounds,” said Doug Drysdale, Chief Executive Officer of Cybin.</w:t>
      </w:r>
    </w:p>
    <w:p>
      <w:pPr>
        <w:spacing w:after="0" w:line="178" w:lineRule="exact"/>
        <w:rPr>
          <w:sz w:val="20"/>
          <w:szCs w:val="20"/>
          <w:color w:val="auto"/>
        </w:rPr>
      </w:pPr>
    </w:p>
    <w:p>
      <w:pPr>
        <w:jc w:val="both"/>
        <w:ind w:left="2"/>
        <w:spacing w:after="0" w:line="324" w:lineRule="auto"/>
        <w:rPr>
          <w:sz w:val="20"/>
          <w:szCs w:val="20"/>
          <w:color w:val="auto"/>
        </w:rPr>
      </w:pPr>
      <w:r>
        <w:rPr>
          <w:rFonts w:ascii="Arial" w:cs="Arial" w:eastAsia="Arial" w:hAnsi="Arial"/>
          <w:sz w:val="18"/>
          <w:szCs w:val="18"/>
          <w:color w:val="auto"/>
        </w:rPr>
        <w:t>“In addition to our clinical work, we have been actively broadening our robust IP portfolio through securing strategic licensing agreements for preclinical psychedelic-based compounds that will support our ongoing drug development efforts. These recent initiatives will also pave the way for Cybin to continue to pursue the potential creation of safe and effective therapeutics for patients facing the challenges of mental health conditions,” continued Drysdale.</w:t>
      </w:r>
    </w:p>
    <w:p>
      <w:pPr>
        <w:spacing w:after="0" w:line="13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Second-Quarter Financial Information:</w:t>
      </w:r>
    </w:p>
    <w:p>
      <w:pPr>
        <w:spacing w:after="0" w:line="267" w:lineRule="exact"/>
        <w:rPr>
          <w:sz w:val="20"/>
          <w:szCs w:val="20"/>
          <w:color w:val="auto"/>
        </w:rPr>
      </w:pPr>
    </w:p>
    <w:p>
      <w:pPr>
        <w:ind w:left="282" w:hanging="282"/>
        <w:spacing w:after="0"/>
        <w:tabs>
          <w:tab w:leader="none" w:pos="28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totaled C$29.9 million as of September 30, 2022, and C$27.1 million as of November 14, 2022.</w:t>
      </w:r>
    </w:p>
    <w:p>
      <w:pPr>
        <w:spacing w:after="0" w:line="269" w:lineRule="exact"/>
        <w:rPr>
          <w:rFonts w:ascii="Arial" w:cs="Arial" w:eastAsia="Arial" w:hAnsi="Arial"/>
          <w:sz w:val="18"/>
          <w:szCs w:val="18"/>
          <w:color w:val="auto"/>
        </w:rPr>
      </w:pPr>
    </w:p>
    <w:p>
      <w:pPr>
        <w:ind w:left="282" w:hanging="282"/>
        <w:spacing w:after="0"/>
        <w:tabs>
          <w:tab w:leader="none" w:pos="282"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loss was C$10.0 million for the quarter ended September 30, 2022.</w:t>
      </w:r>
    </w:p>
    <w:p>
      <w:pPr>
        <w:spacing w:after="0" w:line="257" w:lineRule="exact"/>
        <w:rPr>
          <w:rFonts w:ascii="Arial" w:cs="Arial" w:eastAsia="Arial" w:hAnsi="Arial"/>
          <w:sz w:val="18"/>
          <w:szCs w:val="18"/>
          <w:color w:val="auto"/>
        </w:rPr>
      </w:pPr>
    </w:p>
    <w:p>
      <w:pPr>
        <w:ind w:left="282" w:hanging="282"/>
        <w:spacing w:after="0"/>
        <w:tabs>
          <w:tab w:leader="none" w:pos="28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Cash-based operating expenses totaled C$11.3 million of which C$2.0 million were one-time costs.</w:t>
      </w:r>
    </w:p>
    <w:p>
      <w:pPr>
        <w:spacing w:after="0" w:line="269" w:lineRule="exact"/>
        <w:rPr>
          <w:rFonts w:ascii="Arial" w:cs="Arial" w:eastAsia="Arial" w:hAnsi="Arial"/>
          <w:sz w:val="18"/>
          <w:szCs w:val="18"/>
          <w:color w:val="auto"/>
        </w:rPr>
      </w:pPr>
    </w:p>
    <w:p>
      <w:pPr>
        <w:ind w:left="302" w:right="80" w:hanging="302"/>
        <w:spacing w:after="0" w:line="322" w:lineRule="auto"/>
        <w:tabs>
          <w:tab w:leader="none" w:pos="291"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flows used in operating activities were C$14.7 million for the quarter ended September 30, 2022 of which C$2.5 million were one-time, non-recurring costs and C$2.4 million were recorded to prepaid expenses related to future clinical work.</w:t>
      </w:r>
    </w:p>
    <w:p>
      <w:pPr>
        <w:sectPr>
          <w:pgSz w:w="11900" w:h="16838" w:orient="portrait"/>
          <w:cols w:equalWidth="0" w:num="1">
            <w:col w:w="11242"/>
          </w:cols>
          <w:pgMar w:left="318" w:top="1440" w:right="339" w:bottom="1440" w:gutter="0" w:footer="0" w:header="0"/>
        </w:sectPr>
      </w:pPr>
    </w:p>
    <w:bookmarkStart w:id="95" w:name="page96"/>
    <w:bookmarkEnd w:id="95"/>
    <w:p>
      <w:pPr>
        <w:jc w:val="both"/>
        <w:ind w:left="302" w:right="80" w:hanging="302"/>
        <w:spacing w:after="0" w:line="336" w:lineRule="auto"/>
        <w:tabs>
          <w:tab w:leader="none" w:pos="291" w:val="left"/>
        </w:tabs>
        <w:numPr>
          <w:ilvl w:val="0"/>
          <w:numId w:val="66"/>
        </w:numPr>
        <w:rPr>
          <w:rFonts w:ascii="Arial" w:cs="Arial" w:eastAsia="Arial" w:hAnsi="Arial"/>
          <w:sz w:val="18"/>
          <w:szCs w:val="18"/>
          <w:color w:val="auto"/>
        </w:rPr>
      </w:pPr>
      <w:r>
        <w:rPr>
          <w:rFonts w:ascii="Arial" w:cs="Arial" w:eastAsia="Arial" w:hAnsi="Arial"/>
          <w:sz w:val="18"/>
          <w:szCs w:val="18"/>
          <w:color w:val="auto"/>
        </w:rPr>
        <w:t>Pursuant to the previously announced at-the-market (“</w:t>
      </w:r>
      <w:r>
        <w:rPr>
          <w:rFonts w:ascii="Arial" w:cs="Arial" w:eastAsia="Arial" w:hAnsi="Arial"/>
          <w:sz w:val="18"/>
          <w:szCs w:val="18"/>
          <w:b w:val="1"/>
          <w:bCs w:val="1"/>
          <w:color w:val="auto"/>
        </w:rPr>
        <w:t>ATM</w:t>
      </w:r>
      <w:r>
        <w:rPr>
          <w:rFonts w:ascii="Arial" w:cs="Arial" w:eastAsia="Arial" w:hAnsi="Arial"/>
          <w:sz w:val="18"/>
          <w:szCs w:val="18"/>
          <w:color w:val="auto"/>
        </w:rPr>
        <w:t>”) US$35 million equity program, as of November 14, 2022, the ATM allows Cybin to issue and sell up to an additional US$28.9 (C$38.4) million of common shares. Depending on market conditions, this will allow Cybin to access additional cash for growth opportunities and working capital.</w:t>
      </w:r>
    </w:p>
    <w:p>
      <w:pPr>
        <w:spacing w:after="0" w:line="12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Recent Business and Pipeline Highlights:</w:t>
      </w:r>
    </w:p>
    <w:p>
      <w:pPr>
        <w:spacing w:after="0" w:line="221" w:lineRule="exact"/>
        <w:rPr>
          <w:sz w:val="20"/>
          <w:szCs w:val="20"/>
          <w:color w:val="auto"/>
        </w:rPr>
      </w:pPr>
    </w:p>
    <w:p>
      <w:pPr>
        <w:ind w:left="282" w:hanging="282"/>
        <w:spacing w:after="0"/>
        <w:tabs>
          <w:tab w:leader="none" w:pos="282" w:val="left"/>
        </w:tabs>
        <w:numPr>
          <w:ilvl w:val="0"/>
          <w:numId w:val="67"/>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Reported progress update on CYB004-E Phase 1 trial. </w:t>
      </w:r>
      <w:r>
        <w:rPr>
          <w:rFonts w:ascii="Arial" w:cs="Arial" w:eastAsia="Arial" w:hAnsi="Arial"/>
          <w:sz w:val="18"/>
          <w:szCs w:val="18"/>
          <w:color w:val="auto"/>
        </w:rPr>
        <w:t>The CYB004-E trial evaluating N,N-dimethyltryptamine (“</w:t>
      </w:r>
      <w:r>
        <w:rPr>
          <w:rFonts w:ascii="Arial" w:cs="Arial" w:eastAsia="Arial" w:hAnsi="Arial"/>
          <w:sz w:val="18"/>
          <w:szCs w:val="18"/>
          <w:b w:val="1"/>
          <w:bCs w:val="1"/>
          <w:color w:val="auto"/>
        </w:rPr>
        <w:t>DMT</w:t>
      </w:r>
      <w:r>
        <w:rPr>
          <w:rFonts w:ascii="Arial" w:cs="Arial" w:eastAsia="Arial" w:hAnsi="Arial"/>
          <w:sz w:val="18"/>
          <w:szCs w:val="18"/>
          <w:color w:val="auto"/>
        </w:rPr>
        <w:t>”) completed</w:t>
      </w:r>
    </w:p>
    <w:p>
      <w:pPr>
        <w:spacing w:after="0" w:line="96" w:lineRule="exact"/>
        <w:rPr>
          <w:rFonts w:ascii="Arial" w:cs="Arial" w:eastAsia="Arial" w:hAnsi="Arial"/>
          <w:sz w:val="18"/>
          <w:szCs w:val="18"/>
          <w:i w:val="1"/>
          <w:iCs w:val="1"/>
          <w:color w:val="auto"/>
        </w:rPr>
      </w:pPr>
    </w:p>
    <w:p>
      <w:pPr>
        <w:jc w:val="both"/>
        <w:ind w:left="302"/>
        <w:spacing w:after="0" w:line="324" w:lineRule="auto"/>
        <w:rPr>
          <w:rFonts w:ascii="Arial" w:cs="Arial" w:eastAsia="Arial" w:hAnsi="Arial"/>
          <w:sz w:val="18"/>
          <w:szCs w:val="18"/>
          <w:i w:val="1"/>
          <w:iCs w:val="1"/>
          <w:color w:val="auto"/>
        </w:rPr>
      </w:pPr>
      <w:r>
        <w:rPr>
          <w:rFonts w:ascii="Arial" w:cs="Arial" w:eastAsia="Arial" w:hAnsi="Arial"/>
          <w:sz w:val="18"/>
          <w:szCs w:val="18"/>
          <w:color w:val="auto"/>
        </w:rPr>
        <w:t>dosing for four out of five participant cohorts with no clinically significant safety or tolerability issues. The study is assessing the pharmacokinetics (“</w:t>
      </w:r>
      <w:r>
        <w:rPr>
          <w:rFonts w:ascii="Arial" w:cs="Arial" w:eastAsia="Arial" w:hAnsi="Arial"/>
          <w:sz w:val="18"/>
          <w:szCs w:val="18"/>
          <w:b w:val="1"/>
          <w:bCs w:val="1"/>
          <w:color w:val="auto"/>
        </w:rPr>
        <w:t>PK</w:t>
      </w:r>
      <w:r>
        <w:rPr>
          <w:rFonts w:ascii="Arial" w:cs="Arial" w:eastAsia="Arial" w:hAnsi="Arial"/>
          <w:sz w:val="18"/>
          <w:szCs w:val="18"/>
          <w:color w:val="auto"/>
        </w:rPr>
        <w:t>”) and pharmacodynamics (“</w:t>
      </w:r>
      <w:r>
        <w:rPr>
          <w:rFonts w:ascii="Arial" w:cs="Arial" w:eastAsia="Arial" w:hAnsi="Arial"/>
          <w:sz w:val="18"/>
          <w:szCs w:val="18"/>
          <w:b w:val="1"/>
          <w:bCs w:val="1"/>
          <w:color w:val="auto"/>
        </w:rPr>
        <w:t>PD</w:t>
      </w:r>
      <w:r>
        <w:rPr>
          <w:rFonts w:ascii="Arial" w:cs="Arial" w:eastAsia="Arial" w:hAnsi="Arial"/>
          <w:sz w:val="18"/>
          <w:szCs w:val="18"/>
          <w:color w:val="auto"/>
        </w:rPr>
        <w:t>”) of DMT and is anticipated to provide safety and dosing data to inform the future development of CYB004, the Company’s proprietary DMT molecule for the potential treatment of anxiety disorders.</w:t>
      </w:r>
    </w:p>
    <w:p>
      <w:pPr>
        <w:spacing w:after="0" w:line="166" w:lineRule="exact"/>
        <w:rPr>
          <w:rFonts w:ascii="Arial" w:cs="Arial" w:eastAsia="Arial" w:hAnsi="Arial"/>
          <w:sz w:val="18"/>
          <w:szCs w:val="18"/>
          <w:i w:val="1"/>
          <w:iCs w:val="1"/>
          <w:color w:val="auto"/>
        </w:rPr>
      </w:pPr>
    </w:p>
    <w:p>
      <w:pPr>
        <w:jc w:val="both"/>
        <w:ind w:left="302" w:hanging="302"/>
        <w:spacing w:after="0" w:line="327" w:lineRule="auto"/>
        <w:tabs>
          <w:tab w:leader="none" w:pos="291" w:val="left"/>
        </w:tabs>
        <w:numPr>
          <w:ilvl w:val="0"/>
          <w:numId w:val="67"/>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Strengthened drug discovery platform and intellectual property </w:t>
      </w:r>
      <w:r>
        <w:rPr>
          <w:rFonts w:ascii="Arial" w:cs="Arial" w:eastAsia="Arial" w:hAnsi="Arial"/>
          <w:sz w:val="18"/>
          <w:szCs w:val="18"/>
          <w:color w:val="auto"/>
        </w:rPr>
        <w:t>(“</w:t>
      </w:r>
      <w:r>
        <w:rPr>
          <w:rFonts w:ascii="Arial" w:cs="Arial" w:eastAsia="Arial" w:hAnsi="Arial"/>
          <w:sz w:val="18"/>
          <w:szCs w:val="18"/>
          <w:b w:val="1"/>
          <w:bCs w:val="1"/>
          <w:color w:val="auto"/>
        </w:rPr>
        <w:t>IP</w:t>
      </w:r>
      <w:r>
        <w:rPr>
          <w:rFonts w:ascii="Arial" w:cs="Arial" w:eastAsia="Arial" w:hAnsi="Arial"/>
          <w:sz w:val="18"/>
          <w:szCs w:val="18"/>
          <w:color w:val="auto"/>
        </w:rPr>
        <w:t>”)</w:t>
      </w:r>
      <w:r>
        <w:rPr>
          <w:rFonts w:ascii="Arial" w:cs="Arial" w:eastAsia="Arial" w:hAnsi="Arial"/>
          <w:sz w:val="18"/>
          <w:szCs w:val="18"/>
          <w:b w:val="1"/>
          <w:bCs w:val="1"/>
          <w:color w:val="auto"/>
        </w:rPr>
        <w:t xml:space="preserve"> portfolio through multiple licensing arrangements. </w:t>
      </w:r>
      <w:r>
        <w:rPr>
          <w:rFonts w:ascii="Arial" w:cs="Arial" w:eastAsia="Arial" w:hAnsi="Arial"/>
          <w:sz w:val="18"/>
          <w:szCs w:val="18"/>
          <w:color w:val="auto"/>
        </w:rPr>
        <w:t>These</w:t>
      </w:r>
      <w:r>
        <w:rPr>
          <w:rFonts w:ascii="Arial" w:cs="Arial" w:eastAsia="Arial" w:hAnsi="Arial"/>
          <w:sz w:val="18"/>
          <w:szCs w:val="18"/>
          <w:b w:val="1"/>
          <w:bCs w:val="1"/>
          <w:color w:val="auto"/>
        </w:rPr>
        <w:t xml:space="preserve"> </w:t>
      </w:r>
      <w:r>
        <w:rPr>
          <w:rFonts w:ascii="Arial" w:cs="Arial" w:eastAsia="Arial" w:hAnsi="Arial"/>
          <w:sz w:val="18"/>
          <w:szCs w:val="18"/>
          <w:color w:val="auto"/>
        </w:rPr>
        <w:t>licensing arrangements, which include a catalog of tryptamine-based molecules acquired from Mindset Pharma Inc., complement Cybin’s existing preclinical library, broaden the Company’s IP reach and create a path for potential future pipeline expansion. These arrangements also provide the Company with additional access to IP from more than 15 patents or patent applications. Collectively, Cybin now has access to more than 35 patents and applications through a combination of internal filings and licensing arrangements.</w:t>
      </w:r>
    </w:p>
    <w:p>
      <w:pPr>
        <w:spacing w:after="0" w:line="178" w:lineRule="exact"/>
        <w:rPr>
          <w:rFonts w:ascii="Arial" w:cs="Arial" w:eastAsia="Arial" w:hAnsi="Arial"/>
          <w:sz w:val="18"/>
          <w:szCs w:val="18"/>
          <w:i w:val="1"/>
          <w:iCs w:val="1"/>
          <w:color w:val="auto"/>
        </w:rPr>
      </w:pPr>
    </w:p>
    <w:p>
      <w:pPr>
        <w:jc w:val="both"/>
        <w:ind w:left="302" w:hanging="302"/>
        <w:spacing w:after="0" w:line="327" w:lineRule="auto"/>
        <w:tabs>
          <w:tab w:leader="none" w:pos="291" w:val="left"/>
        </w:tabs>
        <w:numPr>
          <w:ilvl w:val="0"/>
          <w:numId w:val="67"/>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Commenced dosing in Phase 1/2a trial of CYB003 for the treatment of major depressive disorder (“MDD”). </w:t>
      </w:r>
      <w:r>
        <w:rPr>
          <w:rFonts w:ascii="Arial" w:cs="Arial" w:eastAsia="Arial" w:hAnsi="Arial"/>
          <w:sz w:val="18"/>
          <w:szCs w:val="18"/>
          <w:color w:val="auto"/>
        </w:rPr>
        <w:t>CYB003 is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first novel psilocybin analog to enter clinical development. The Phase 1/2a trial is a randomized, double-blind, placebo-controlled study evaluating the safety, tolerability, PK and PD of up to two doses of CYB003 in approximately 32 patients with moderate to severe MDD. In preclinical studies, CYB003 demonstrated faster onset and shorter duration of effect, less variability in plasma levels, and improved brain penetration when compared to oral psilocybin, suggesting that CYB003 has the potential to address therapeutic limitations associated with oral psilocybin.</w:t>
      </w:r>
    </w:p>
    <w:p>
      <w:pPr>
        <w:spacing w:after="0" w:line="177" w:lineRule="exact"/>
        <w:rPr>
          <w:rFonts w:ascii="Arial" w:cs="Arial" w:eastAsia="Arial" w:hAnsi="Arial"/>
          <w:sz w:val="18"/>
          <w:szCs w:val="18"/>
          <w:i w:val="1"/>
          <w:iCs w:val="1"/>
          <w:color w:val="auto"/>
        </w:rPr>
      </w:pPr>
    </w:p>
    <w:p>
      <w:pPr>
        <w:jc w:val="both"/>
        <w:ind w:left="302" w:hanging="302"/>
        <w:spacing w:after="0" w:line="336" w:lineRule="auto"/>
        <w:tabs>
          <w:tab w:leader="none" w:pos="291"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Established an ATM equity program allowing the Company to issue and sell up to USD$35 million of common shares in the capital of the Company. </w:t>
      </w:r>
      <w:r>
        <w:rPr>
          <w:rFonts w:ascii="Arial" w:cs="Arial" w:eastAsia="Arial" w:hAnsi="Arial"/>
          <w:sz w:val="18"/>
          <w:szCs w:val="18"/>
          <w:color w:val="auto"/>
        </w:rPr>
        <w:t>Cybin intends to use the net proceeds from the sale of shares under the ATM program for growth opportunities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working capital initiatives.</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Upcoming Pipeline and Strategic Milestones:</w:t>
      </w:r>
    </w:p>
    <w:p>
      <w:pPr>
        <w:spacing w:after="0" w:line="270" w:lineRule="exact"/>
        <w:rPr>
          <w:sz w:val="20"/>
          <w:szCs w:val="20"/>
          <w:color w:val="auto"/>
        </w:rPr>
      </w:pPr>
    </w:p>
    <w:p>
      <w:pPr>
        <w:ind w:left="282" w:hanging="282"/>
        <w:spacing w:after="0"/>
        <w:tabs>
          <w:tab w:leader="none" w:pos="282" w:val="left"/>
        </w:tabs>
        <w:numPr>
          <w:ilvl w:val="0"/>
          <w:numId w:val="68"/>
        </w:numPr>
        <w:rPr>
          <w:rFonts w:ascii="Arial" w:cs="Arial" w:eastAsia="Arial" w:hAnsi="Arial"/>
          <w:sz w:val="18"/>
          <w:szCs w:val="18"/>
          <w:i w:val="1"/>
          <w:iCs w:val="1"/>
          <w:color w:val="auto"/>
        </w:rPr>
      </w:pPr>
      <w:r>
        <w:rPr>
          <w:rFonts w:ascii="Arial" w:cs="Arial" w:eastAsia="Arial" w:hAnsi="Arial"/>
          <w:sz w:val="18"/>
          <w:szCs w:val="18"/>
          <w:b w:val="1"/>
          <w:bCs w:val="1"/>
          <w:color w:val="auto"/>
        </w:rPr>
        <w:t>CYB003: Deuterated psilocybin analog for the potential treatment of MDD</w:t>
      </w:r>
    </w:p>
    <w:p>
      <w:pPr>
        <w:sectPr>
          <w:pgSz w:w="11900" w:h="16838" w:orient="portrait"/>
          <w:cols w:equalWidth="0" w:num="1">
            <w:col w:w="11242"/>
          </w:cols>
          <w:pgMar w:left="318" w:top="1324" w:right="339" w:bottom="1440" w:gutter="0" w:footer="0" w:header="0"/>
        </w:sectPr>
      </w:pPr>
    </w:p>
    <w:bookmarkStart w:id="96" w:name="page97"/>
    <w:bookmarkEnd w:id="96"/>
    <w:p>
      <w:pPr>
        <w:ind w:left="302"/>
        <w:spacing w:after="0"/>
        <w:rPr>
          <w:sz w:val="20"/>
          <w:szCs w:val="20"/>
          <w:color w:val="auto"/>
        </w:rPr>
      </w:pPr>
      <w:r>
        <w:rPr>
          <w:rFonts w:ascii="Arial" w:cs="Arial" w:eastAsia="Arial" w:hAnsi="Arial"/>
          <w:sz w:val="18"/>
          <w:szCs w:val="18"/>
          <w:color w:val="auto"/>
        </w:rPr>
        <w:t>The Company plans to provide an interim safety and PK readout from the Phase 1/2a study in early 2023.</w:t>
      </w:r>
      <w:r>
        <w:rPr>
          <w:rFonts w:ascii="Arial" w:cs="Arial" w:eastAsia="Arial" w:hAnsi="Arial"/>
          <w:sz w:val="23"/>
          <w:szCs w:val="23"/>
          <w:color w:val="auto"/>
          <w:vertAlign w:val="superscript"/>
        </w:rPr>
        <w:t>i</w:t>
      </w:r>
    </w:p>
    <w:p>
      <w:pPr>
        <w:spacing w:after="0" w:line="219" w:lineRule="exact"/>
        <w:rPr>
          <w:sz w:val="20"/>
          <w:szCs w:val="20"/>
          <w:color w:val="auto"/>
        </w:rPr>
      </w:pPr>
    </w:p>
    <w:p>
      <w:pPr>
        <w:ind w:left="282" w:hanging="282"/>
        <w:spacing w:after="0"/>
        <w:tabs>
          <w:tab w:leader="none" w:pos="282" w:val="left"/>
        </w:tabs>
        <w:numPr>
          <w:ilvl w:val="0"/>
          <w:numId w:val="69"/>
        </w:numPr>
        <w:rPr>
          <w:rFonts w:ascii="Arial" w:cs="Arial" w:eastAsia="Arial" w:hAnsi="Arial"/>
          <w:sz w:val="18"/>
          <w:szCs w:val="18"/>
          <w:i w:val="1"/>
          <w:iCs w:val="1"/>
          <w:color w:val="auto"/>
        </w:rPr>
      </w:pPr>
      <w:r>
        <w:rPr>
          <w:rFonts w:ascii="Arial" w:cs="Arial" w:eastAsia="Arial" w:hAnsi="Arial"/>
          <w:sz w:val="18"/>
          <w:szCs w:val="18"/>
          <w:b w:val="1"/>
          <w:bCs w:val="1"/>
          <w:color w:val="auto"/>
        </w:rPr>
        <w:t>CYB004: Deuterated DMT for the potential treatment of anxiety disorders</w:t>
      </w:r>
    </w:p>
    <w:p>
      <w:pPr>
        <w:spacing w:after="0" w:line="83" w:lineRule="exact"/>
        <w:rPr>
          <w:rFonts w:ascii="Arial" w:cs="Arial" w:eastAsia="Arial" w:hAnsi="Arial"/>
          <w:sz w:val="18"/>
          <w:szCs w:val="18"/>
          <w:i w:val="1"/>
          <w:iCs w:val="1"/>
          <w:color w:val="auto"/>
        </w:rPr>
      </w:pPr>
    </w:p>
    <w:p>
      <w:pPr>
        <w:ind w:left="302"/>
        <w:spacing w:after="0" w:line="333" w:lineRule="auto"/>
        <w:rPr>
          <w:rFonts w:ascii="Arial" w:cs="Arial" w:eastAsia="Arial" w:hAnsi="Arial"/>
          <w:sz w:val="18"/>
          <w:szCs w:val="18"/>
          <w:i w:val="1"/>
          <w:iCs w:val="1"/>
          <w:color w:val="auto"/>
        </w:rPr>
      </w:pPr>
      <w:r>
        <w:rPr>
          <w:rFonts w:ascii="Arial" w:cs="Arial" w:eastAsia="Arial" w:hAnsi="Arial"/>
          <w:sz w:val="18"/>
          <w:szCs w:val="18"/>
          <w:color w:val="auto"/>
        </w:rPr>
        <w:t>The CYB004-E Phase 1 study is currently underway and is evaluating DMT, in healthy volunteers. The Company expects to complete the Phase 1 study in early calendar 2023</w:t>
      </w:r>
      <w:r>
        <w:rPr>
          <w:rFonts w:ascii="Arial" w:cs="Arial" w:eastAsia="Arial" w:hAnsi="Arial"/>
          <w:sz w:val="23"/>
          <w:szCs w:val="23"/>
          <w:color w:val="auto"/>
          <w:vertAlign w:val="superscript"/>
        </w:rPr>
        <w:t>i</w:t>
      </w:r>
      <w:r>
        <w:rPr>
          <w:rFonts w:ascii="Arial" w:cs="Arial" w:eastAsia="Arial" w:hAnsi="Arial"/>
          <w:sz w:val="18"/>
          <w:szCs w:val="18"/>
          <w:color w:val="auto"/>
        </w:rPr>
        <w:t>.</w:t>
      </w:r>
    </w:p>
    <w:p>
      <w:pPr>
        <w:spacing w:after="0" w:line="93" w:lineRule="exact"/>
        <w:rPr>
          <w:rFonts w:ascii="Arial" w:cs="Arial" w:eastAsia="Arial" w:hAnsi="Arial"/>
          <w:sz w:val="18"/>
          <w:szCs w:val="18"/>
          <w:i w:val="1"/>
          <w:iCs w:val="1"/>
          <w:color w:val="auto"/>
        </w:rPr>
      </w:pPr>
    </w:p>
    <w:p>
      <w:pPr>
        <w:jc w:val="both"/>
        <w:ind w:left="302" w:right="20" w:hanging="302"/>
        <w:spacing w:after="0" w:line="334" w:lineRule="auto"/>
        <w:tabs>
          <w:tab w:leader="none" w:pos="291" w:val="left"/>
        </w:tabs>
        <w:numPr>
          <w:ilvl w:val="0"/>
          <w:numId w:val="69"/>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CYB005: Phenethylamine derivative for the potential treatment of neuroinflammation </w:t>
      </w:r>
      <w:r>
        <w:rPr>
          <w:rFonts w:ascii="Arial" w:cs="Arial" w:eastAsia="Arial" w:hAnsi="Arial"/>
          <w:sz w:val="18"/>
          <w:szCs w:val="18"/>
          <w:color w:val="auto"/>
        </w:rPr>
        <w:t>The Company expects to provide an update</w:t>
      </w:r>
      <w:r>
        <w:rPr>
          <w:rFonts w:ascii="Arial" w:cs="Arial" w:eastAsia="Arial" w:hAnsi="Arial"/>
          <w:sz w:val="18"/>
          <w:szCs w:val="18"/>
          <w:b w:val="1"/>
          <w:bCs w:val="1"/>
          <w:color w:val="auto"/>
        </w:rPr>
        <w:t xml:space="preserve"> </w:t>
      </w:r>
      <w:r>
        <w:rPr>
          <w:rFonts w:ascii="Arial" w:cs="Arial" w:eastAsia="Arial" w:hAnsi="Arial"/>
          <w:sz w:val="18"/>
          <w:szCs w:val="18"/>
          <w:color w:val="auto"/>
        </w:rPr>
        <w:t>on its CYB005 program in the coming months, at which time the Company will complete its assessment of the potential path forward for this candidate, including whether to develop internally or by way of a third-party partnership.</w:t>
      </w:r>
      <w:r>
        <w:rPr>
          <w:rFonts w:ascii="Arial" w:cs="Arial" w:eastAsia="Arial" w:hAnsi="Arial"/>
          <w:sz w:val="23"/>
          <w:szCs w:val="23"/>
          <w:color w:val="auto"/>
          <w:vertAlign w:val="superscript"/>
        </w:rPr>
        <w:t>ii</w:t>
      </w:r>
    </w:p>
    <w:p>
      <w:pPr>
        <w:spacing w:after="0" w:line="106" w:lineRule="exact"/>
        <w:rPr>
          <w:rFonts w:ascii="Arial" w:cs="Arial" w:eastAsia="Arial" w:hAnsi="Arial"/>
          <w:sz w:val="18"/>
          <w:szCs w:val="18"/>
          <w:i w:val="1"/>
          <w:iCs w:val="1"/>
          <w:color w:val="auto"/>
        </w:rPr>
      </w:pPr>
    </w:p>
    <w:p>
      <w:pPr>
        <w:ind w:left="282" w:hanging="282"/>
        <w:spacing w:after="0"/>
        <w:tabs>
          <w:tab w:leader="none" w:pos="282" w:val="left"/>
        </w:tabs>
        <w:numPr>
          <w:ilvl w:val="0"/>
          <w:numId w:val="69"/>
        </w:numPr>
        <w:rPr>
          <w:rFonts w:ascii="Arial" w:cs="Arial" w:eastAsia="Arial" w:hAnsi="Arial"/>
          <w:sz w:val="18"/>
          <w:szCs w:val="18"/>
          <w:i w:val="1"/>
          <w:iCs w:val="1"/>
          <w:color w:val="auto"/>
        </w:rPr>
      </w:pPr>
      <w:r>
        <w:rPr>
          <w:rFonts w:ascii="Arial" w:cs="Arial" w:eastAsia="Arial" w:hAnsi="Arial"/>
          <w:sz w:val="18"/>
          <w:szCs w:val="18"/>
          <w:b w:val="1"/>
          <w:bCs w:val="1"/>
          <w:color w:val="auto"/>
        </w:rPr>
        <w:t>Kernel Flow</w:t>
      </w:r>
      <w:r>
        <w:rPr>
          <w:rFonts w:ascii="Arial" w:cs="Arial" w:eastAsia="Arial" w:hAnsi="Arial"/>
          <w:sz w:val="23"/>
          <w:szCs w:val="23"/>
          <w:b w:val="1"/>
          <w:bCs w:val="1"/>
          <w:color w:val="auto"/>
          <w:vertAlign w:val="superscript"/>
        </w:rPr>
        <w:t>®</w:t>
      </w:r>
    </w:p>
    <w:p>
      <w:pPr>
        <w:spacing w:after="0" w:line="38" w:lineRule="exact"/>
        <w:rPr>
          <w:rFonts w:ascii="Arial" w:cs="Arial" w:eastAsia="Arial" w:hAnsi="Arial"/>
          <w:sz w:val="18"/>
          <w:szCs w:val="18"/>
          <w:i w:val="1"/>
          <w:iCs w:val="1"/>
          <w:color w:val="auto"/>
        </w:rPr>
      </w:pPr>
    </w:p>
    <w:p>
      <w:pPr>
        <w:jc w:val="both"/>
        <w:ind w:left="302" w:right="20"/>
        <w:spacing w:after="0" w:line="288" w:lineRule="auto"/>
        <w:rPr>
          <w:rFonts w:ascii="Arial" w:cs="Arial" w:eastAsia="Arial" w:hAnsi="Arial"/>
          <w:sz w:val="18"/>
          <w:szCs w:val="18"/>
          <w:i w:val="1"/>
          <w:iCs w:val="1"/>
          <w:color w:val="auto"/>
        </w:rPr>
      </w:pPr>
      <w:r>
        <w:rPr>
          <w:rFonts w:ascii="Arial" w:cs="Arial" w:eastAsia="Arial" w:hAnsi="Arial"/>
          <w:sz w:val="18"/>
          <w:szCs w:val="18"/>
          <w:color w:val="auto"/>
        </w:rPr>
        <w:t>Cybin and its partner HI, LLC dba Kernel (“</w:t>
      </w:r>
      <w:r>
        <w:rPr>
          <w:rFonts w:ascii="Arial" w:cs="Arial" w:eastAsia="Arial" w:hAnsi="Arial"/>
          <w:sz w:val="18"/>
          <w:szCs w:val="18"/>
          <w:b w:val="1"/>
          <w:bCs w:val="1"/>
          <w:color w:val="auto"/>
        </w:rPr>
        <w:t>Kernel</w:t>
      </w:r>
      <w:r>
        <w:rPr>
          <w:rFonts w:ascii="Arial" w:cs="Arial" w:eastAsia="Arial" w:hAnsi="Arial"/>
          <w:sz w:val="18"/>
          <w:szCs w:val="18"/>
          <w:color w:val="auto"/>
        </w:rPr>
        <w:t>”), expect to report data from a Phase 1 feasibility study evaluating Kernel’s Flow</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to measure ketamine's psychedelic effect on cerebral cortex hemodynamics at the end of 2022. Results from the study will inform the next steps forward for this important program.</w:t>
      </w:r>
      <w:r>
        <w:rPr>
          <w:rFonts w:ascii="Arial" w:cs="Arial" w:eastAsia="Arial" w:hAnsi="Arial"/>
          <w:sz w:val="23"/>
          <w:szCs w:val="23"/>
          <w:color w:val="auto"/>
          <w:vertAlign w:val="superscript"/>
        </w:rPr>
        <w:t>iii</w:t>
      </w:r>
    </w:p>
    <w:p>
      <w:pPr>
        <w:spacing w:after="0" w:line="143" w:lineRule="exact"/>
        <w:rPr>
          <w:sz w:val="20"/>
          <w:szCs w:val="20"/>
          <w:color w:val="auto"/>
        </w:rPr>
      </w:pPr>
    </w:p>
    <w:p>
      <w:pPr>
        <w:jc w:val="both"/>
        <w:ind w:left="2" w:right="20"/>
        <w:spacing w:after="0" w:line="324" w:lineRule="auto"/>
        <w:rPr>
          <w:sz w:val="20"/>
          <w:szCs w:val="20"/>
          <w:color w:val="auto"/>
        </w:rPr>
      </w:pPr>
      <w:r>
        <w:rPr>
          <w:rFonts w:ascii="Arial" w:cs="Arial" w:eastAsia="Arial" w:hAnsi="Arial"/>
          <w:sz w:val="18"/>
          <w:szCs w:val="18"/>
          <w:color w:val="auto"/>
        </w:rPr>
        <w:t>“Our commitment to discovering and developing innovative psychedelic-based treatment options for areas of high unmet need is unwavering. We are focused on strengthening our position as an innovator in the industry and thereby differentiating ourselves in the psychedelics space to deliver long-term value to all our stakeholders,” concluded Drysdale.</w:t>
      </w:r>
    </w:p>
    <w:p>
      <w:pPr>
        <w:spacing w:after="0" w:line="14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About Cybin</w:t>
      </w:r>
    </w:p>
    <w:p>
      <w:pPr>
        <w:spacing w:after="0" w:line="267" w:lineRule="exact"/>
        <w:rPr>
          <w:sz w:val="20"/>
          <w:szCs w:val="20"/>
          <w:color w:val="auto"/>
        </w:rPr>
      </w:pPr>
    </w:p>
    <w:p>
      <w:pPr>
        <w:jc w:val="both"/>
        <w:ind w:left="2" w:right="20"/>
        <w:spacing w:after="0" w:line="335"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55" w:lineRule="exact"/>
        <w:rPr>
          <w:sz w:val="20"/>
          <w:szCs w:val="20"/>
          <w:color w:val="auto"/>
        </w:rPr>
      </w:pPr>
    </w:p>
    <w:p>
      <w:pPr>
        <w:jc w:val="both"/>
        <w:ind w:left="2" w:right="20"/>
        <w:spacing w:after="0" w:line="338" w:lineRule="auto"/>
        <w:rPr>
          <w:sz w:val="20"/>
          <w:szCs w:val="20"/>
          <w:color w:val="auto"/>
        </w:rPr>
      </w:pPr>
      <w:r>
        <w:rPr>
          <w:rFonts w:ascii="Arial" w:cs="Arial" w:eastAsia="Arial" w:hAnsi="Arial"/>
          <w:sz w:val="18"/>
          <w:szCs w:val="18"/>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w:t>
      </w:r>
    </w:p>
    <w:p>
      <w:pPr>
        <w:sectPr>
          <w:pgSz w:w="11900" w:h="16838" w:orient="portrait"/>
          <w:cols w:equalWidth="0" w:num="1">
            <w:col w:w="11262"/>
          </w:cols>
          <w:pgMar w:left="318" w:top="1341" w:right="319" w:bottom="1440" w:gutter="0" w:footer="0" w:header="0"/>
        </w:sectPr>
      </w:pPr>
    </w:p>
    <w:bookmarkStart w:id="97" w:name="page98"/>
    <w:bookmarkEnd w:id="97"/>
    <w:p>
      <w:pPr>
        <w:jc w:val="both"/>
        <w:spacing w:after="0" w:line="335" w:lineRule="auto"/>
        <w:rPr>
          <w:sz w:val="20"/>
          <w:szCs w:val="20"/>
          <w:color w:val="auto"/>
        </w:rPr>
      </w:pPr>
      <w:r>
        <w:rPr>
          <w:rFonts w:ascii="Arial" w:cs="Arial" w:eastAsia="Arial" w:hAnsi="Arial"/>
          <w:sz w:val="18"/>
          <w:szCs w:val="18"/>
          <w:color w:val="auto"/>
        </w:rPr>
        <w:t>be identified by the use of forward-looking words such as “may”, “should”, “could”, “intend”, “estimate”, “plan”, “anticipate”, “expect”, “believe” or “continue”, or the negative thereof or similar variations. Forward-looking statements in this news release include statements regarding the ATM program and the anticipated results ; the anticipated results and potential of the Company’s CYB003 Phase 1/2a trial; the Company’s plans to provide an interim safety and PK readout from the Phase 1/2a study in early 2023; statements regarding the Company’s Phase 1 DMT clinical study for CYB004-E and anticipated results; the Company’s statements regarding its preclinical data for CYB005 and partnering opportunities; statements regarding the Phase 1 Kernel Flow feasibility study and anticipated results; and the Company’s plans to engineer proprietary drug discovery platforms, innovative drug delivery systems, novel formulation approaches and treatment regimens for mental health conditions.</w:t>
      </w:r>
    </w:p>
    <w:p>
      <w:pPr>
        <w:spacing w:after="0" w:line="218" w:lineRule="exact"/>
        <w:rPr>
          <w:sz w:val="20"/>
          <w:szCs w:val="20"/>
          <w:color w:val="auto"/>
        </w:rPr>
      </w:pPr>
    </w:p>
    <w:p>
      <w:pPr>
        <w:jc w:val="both"/>
        <w:ind w:right="80"/>
        <w:spacing w:after="0" w:line="320"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2022, the Company’s annual information form for the year ended March 31, 2022, and the Company’s listing statement dated November 9, 2020 which are available under the Company's profile on www.sedar.com and with the U.S. Securities and Exchange Commission on EDGAR at www.sec.gov. Although the forward- 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 looking statements of beliefs, opinions, projections, or other factors, should they change, except as required by law.</w:t>
      </w:r>
    </w:p>
    <w:p>
      <w:pPr>
        <w:sectPr>
          <w:pgSz w:w="11900" w:h="16838" w:orient="portrait"/>
          <w:cols w:equalWidth="0" w:num="1">
            <w:col w:w="11240"/>
          </w:cols>
          <w:pgMar w:left="320" w:top="1346" w:right="339" w:bottom="1440" w:gutter="0" w:footer="0" w:header="0"/>
        </w:sectPr>
      </w:pPr>
    </w:p>
    <w:bookmarkStart w:id="98" w:name="page99"/>
    <w:bookmarkEnd w:id="98"/>
    <w:p>
      <w:pPr>
        <w:jc w:val="both"/>
        <w:ind w:left="2" w:right="100"/>
        <w:spacing w:after="0" w:line="321"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99" w:lineRule="exact"/>
        <w:rPr>
          <w:sz w:val="20"/>
          <w:szCs w:val="20"/>
          <w:color w:val="auto"/>
        </w:rPr>
      </w:pPr>
    </w:p>
    <w:p>
      <w:pPr>
        <w:ind w:left="2" w:right="20"/>
        <w:spacing w:after="0" w:line="357"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77"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Investor &amp; Media Contact:</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8"/>
          <w:szCs w:val="18"/>
          <w:color w:val="auto"/>
        </w:rPr>
        <w:t>Leah Gibson</w:t>
      </w:r>
    </w:p>
    <w:p>
      <w:pPr>
        <w:spacing w:after="0" w:line="74" w:lineRule="exact"/>
        <w:rPr>
          <w:sz w:val="20"/>
          <w:szCs w:val="20"/>
          <w:color w:val="auto"/>
        </w:rPr>
      </w:pPr>
    </w:p>
    <w:p>
      <w:pPr>
        <w:ind w:left="2"/>
        <w:spacing w:after="0"/>
        <w:rPr>
          <w:sz w:val="20"/>
          <w:szCs w:val="20"/>
          <w:color w:val="auto"/>
        </w:rPr>
      </w:pPr>
      <w:r>
        <w:rPr>
          <w:rFonts w:ascii="Arial" w:cs="Arial" w:eastAsia="Arial" w:hAnsi="Arial"/>
          <w:sz w:val="18"/>
          <w:szCs w:val="18"/>
          <w:color w:val="auto"/>
        </w:rPr>
        <w:t>Vice President, Investor Relations &amp; Strategic Communications</w:t>
      </w:r>
    </w:p>
    <w:p>
      <w:pPr>
        <w:spacing w:after="0" w:line="74" w:lineRule="exact"/>
        <w:rPr>
          <w:sz w:val="20"/>
          <w:szCs w:val="20"/>
          <w:color w:val="auto"/>
        </w:rPr>
      </w:pPr>
    </w:p>
    <w:p>
      <w:pPr>
        <w:ind w:left="2"/>
        <w:spacing w:after="0"/>
        <w:rPr>
          <w:sz w:val="20"/>
          <w:szCs w:val="20"/>
          <w:color w:val="auto"/>
        </w:rPr>
      </w:pPr>
      <w:r>
        <w:rPr>
          <w:rFonts w:ascii="Arial" w:cs="Arial" w:eastAsia="Arial" w:hAnsi="Arial"/>
          <w:sz w:val="18"/>
          <w:szCs w:val="18"/>
          <w:color w:val="auto"/>
        </w:rPr>
        <w:t>Cybin Inc.</w:t>
      </w:r>
    </w:p>
    <w:p>
      <w:pPr>
        <w:spacing w:after="0" w:line="62" w:lineRule="exact"/>
        <w:rPr>
          <w:sz w:val="20"/>
          <w:szCs w:val="20"/>
          <w:color w:val="auto"/>
        </w:rPr>
      </w:pPr>
    </w:p>
    <w:p>
      <w:pPr>
        <w:ind w:left="2"/>
        <w:spacing w:after="0"/>
        <w:rPr>
          <w:sz w:val="20"/>
          <w:szCs w:val="20"/>
          <w:color w:val="auto"/>
        </w:rPr>
      </w:pPr>
      <w:r>
        <w:rPr>
          <w:rFonts w:ascii="Arial" w:cs="Arial" w:eastAsia="Arial" w:hAnsi="Arial"/>
          <w:sz w:val="18"/>
          <w:szCs w:val="18"/>
          <w:color w:val="auto"/>
        </w:rPr>
        <w:t>irteam@cybin.com – or – media@cybin.com</w:t>
      </w:r>
    </w:p>
    <w:p>
      <w:pPr>
        <w:spacing w:after="0" w:line="294" w:lineRule="exact"/>
        <w:rPr>
          <w:sz w:val="20"/>
          <w:szCs w:val="20"/>
          <w:color w:val="auto"/>
        </w:rPr>
      </w:pPr>
    </w:p>
    <w:p>
      <w:pPr>
        <w:ind w:left="2"/>
        <w:spacing w:after="0"/>
        <w:rPr>
          <w:sz w:val="20"/>
          <w:szCs w:val="20"/>
          <w:color w:val="auto"/>
        </w:rPr>
      </w:pPr>
      <w:r>
        <w:rPr>
          <w:rFonts w:ascii="Arial" w:cs="Arial" w:eastAsia="Arial" w:hAnsi="Arial"/>
          <w:sz w:val="18"/>
          <w:szCs w:val="18"/>
          <w:color w:val="auto"/>
        </w:rPr>
        <w:t>Gabriel Fahel</w:t>
      </w:r>
    </w:p>
    <w:p>
      <w:pPr>
        <w:spacing w:after="0" w:line="62" w:lineRule="exact"/>
        <w:rPr>
          <w:sz w:val="20"/>
          <w:szCs w:val="20"/>
          <w:color w:val="auto"/>
        </w:rPr>
      </w:pPr>
    </w:p>
    <w:p>
      <w:pPr>
        <w:ind w:left="2"/>
        <w:spacing w:after="0"/>
        <w:rPr>
          <w:sz w:val="20"/>
          <w:szCs w:val="20"/>
          <w:color w:val="auto"/>
        </w:rPr>
      </w:pPr>
      <w:r>
        <w:rPr>
          <w:rFonts w:ascii="Arial" w:cs="Arial" w:eastAsia="Arial" w:hAnsi="Arial"/>
          <w:sz w:val="18"/>
          <w:szCs w:val="18"/>
          <w:color w:val="auto"/>
        </w:rPr>
        <w:t>Chief Legal Officer</w:t>
      </w:r>
    </w:p>
    <w:p>
      <w:pPr>
        <w:spacing w:after="0" w:line="74" w:lineRule="exact"/>
        <w:rPr>
          <w:sz w:val="20"/>
          <w:szCs w:val="20"/>
          <w:color w:val="auto"/>
        </w:rPr>
      </w:pPr>
    </w:p>
    <w:p>
      <w:pPr>
        <w:ind w:left="2"/>
        <w:spacing w:after="0"/>
        <w:rPr>
          <w:sz w:val="20"/>
          <w:szCs w:val="20"/>
          <w:color w:val="auto"/>
        </w:rPr>
      </w:pPr>
      <w:r>
        <w:rPr>
          <w:rFonts w:ascii="Arial" w:cs="Arial" w:eastAsia="Arial" w:hAnsi="Arial"/>
          <w:sz w:val="18"/>
          <w:szCs w:val="18"/>
          <w:color w:val="auto"/>
        </w:rPr>
        <w:t>Cybin Inc.</w:t>
      </w:r>
    </w:p>
    <w:p>
      <w:pPr>
        <w:spacing w:after="0" w:line="74" w:lineRule="exact"/>
        <w:rPr>
          <w:sz w:val="20"/>
          <w:szCs w:val="20"/>
          <w:color w:val="auto"/>
        </w:rPr>
      </w:pPr>
    </w:p>
    <w:p>
      <w:pPr>
        <w:ind w:left="2"/>
        <w:spacing w:after="0"/>
        <w:rPr>
          <w:sz w:val="20"/>
          <w:szCs w:val="20"/>
          <w:color w:val="auto"/>
        </w:rPr>
      </w:pPr>
      <w:r>
        <w:rPr>
          <w:rFonts w:ascii="Arial" w:cs="Arial" w:eastAsia="Arial" w:hAnsi="Arial"/>
          <w:sz w:val="18"/>
          <w:szCs w:val="18"/>
          <w:color w:val="auto"/>
        </w:rPr>
        <w:t>1-866-292-460</w:t>
      </w:r>
    </w:p>
    <w:p>
      <w:pPr>
        <w:spacing w:after="0" w:line="217"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___________________________</w:t>
      </w:r>
    </w:p>
    <w:p>
      <w:pPr>
        <w:spacing w:after="0" w:line="204" w:lineRule="exact"/>
        <w:rPr>
          <w:sz w:val="20"/>
          <w:szCs w:val="20"/>
          <w:color w:val="auto"/>
        </w:rPr>
      </w:pPr>
    </w:p>
    <w:p>
      <w:pPr>
        <w:ind w:left="2" w:hanging="2"/>
        <w:spacing w:after="0" w:line="186" w:lineRule="auto"/>
        <w:tabs>
          <w:tab w:leader="none" w:pos="78"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There is no assurance that these timelines will be met. Anticipated timelines regarding drug development are based on reasonable assumptions informed by current knowledge and information available to the Company</w:t>
      </w:r>
    </w:p>
    <w:p>
      <w:pPr>
        <w:jc w:val="both"/>
        <w:ind w:left="2"/>
        <w:spacing w:after="0" w:line="233"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ii</w:t>
      </w:r>
      <w:r>
        <w:rPr>
          <w:rFonts w:ascii="Arial" w:cs="Arial" w:eastAsia="Arial" w:hAnsi="Arial"/>
          <w:sz w:val="16"/>
          <w:szCs w:val="16"/>
          <w:color w:val="auto"/>
        </w:rPr>
        <w:t xml:space="preserve">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Absorption, Distribution, Metabolism, and Excretion profiles; and (c) the Company assumes to enter into third party agreements in order to complete a range of additional preclinical programs including but not limited to dose-ranging studies in multiple animal species, toxicity studies in multiple</w:t>
      </w:r>
    </w:p>
    <w:p>
      <w:pPr>
        <w:sectPr>
          <w:pgSz w:w="11900" w:h="16838" w:orient="portrait"/>
          <w:cols w:equalWidth="0" w:num="1">
            <w:col w:w="11262"/>
          </w:cols>
          <w:pgMar w:left="318" w:top="1346" w:right="319" w:bottom="1440" w:gutter="0" w:footer="0" w:header="0"/>
        </w:sectPr>
      </w:pPr>
    </w:p>
    <w:bookmarkStart w:id="99" w:name="page100"/>
    <w:bookmarkEnd w:id="99"/>
    <w:p>
      <w:pPr>
        <w:jc w:val="both"/>
        <w:ind w:left="2"/>
        <w:spacing w:after="0" w:line="215" w:lineRule="auto"/>
        <w:rPr>
          <w:sz w:val="20"/>
          <w:szCs w:val="20"/>
          <w:color w:val="auto"/>
        </w:rPr>
      </w:pPr>
      <w:r>
        <w:rPr>
          <w:rFonts w:ascii="Arial" w:cs="Arial" w:eastAsia="Arial" w:hAnsi="Arial"/>
          <w:sz w:val="16"/>
          <w:szCs w:val="16"/>
          <w:color w:val="auto"/>
        </w:rPr>
        <w:t>animal species, genotoxicity studies, teratogenicity studies, along with neuropharmacological, pulmonary, and cardiovascular profiling before the final selection of drug candidates for entry into human trials. As of the date hereof, it has not yet completed the aforementioned items. Such statements are</w:t>
      </w:r>
    </w:p>
    <w:p>
      <w:pPr>
        <w:jc w:val="both"/>
        <w:ind w:left="2"/>
        <w:spacing w:after="0" w:line="208" w:lineRule="auto"/>
        <w:rPr>
          <w:sz w:val="20"/>
          <w:szCs w:val="20"/>
          <w:color w:val="auto"/>
        </w:rPr>
      </w:pPr>
      <w:r>
        <w:rPr>
          <w:rFonts w:ascii="Arial" w:cs="Arial" w:eastAsia="Arial" w:hAnsi="Arial"/>
          <w:sz w:val="16"/>
          <w:szCs w:val="16"/>
          <w:color w:val="auto"/>
        </w:rPr>
        <w:t>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0" w:lineRule="exact"/>
        <w:rPr>
          <w:sz w:val="20"/>
          <w:szCs w:val="20"/>
          <w:color w:val="auto"/>
        </w:rPr>
      </w:pPr>
    </w:p>
    <w:p>
      <w:pPr>
        <w:ind w:left="2" w:hanging="2"/>
        <w:spacing w:after="0" w:line="199" w:lineRule="auto"/>
        <w:tabs>
          <w:tab w:leader="none" w:pos="129" w:val="left"/>
        </w:tabs>
        <w:numPr>
          <w:ilvl w:val="0"/>
          <w:numId w:val="71"/>
        </w:numPr>
        <w:rPr>
          <w:rFonts w:ascii="Arial" w:cs="Arial" w:eastAsia="Arial" w:hAnsi="Arial"/>
          <w:sz w:val="21"/>
          <w:szCs w:val="21"/>
          <w:color w:val="auto"/>
          <w:vertAlign w:val="superscript"/>
        </w:rPr>
      </w:pPr>
      <w:r>
        <w:rPr>
          <w:rFonts w:ascii="Arial" w:cs="Arial" w:eastAsia="Arial" w:hAnsi="Arial"/>
          <w:sz w:val="16"/>
          <w:szCs w:val="16"/>
          <w:color w:val="auto"/>
        </w:rPr>
        <w:t>There is no assurance that these timelines will be met. Anticipated timelines regarding sponsorships are based on reasonable assumptions informed by current knowledge and information available to the Company from sponsorship partners</w:t>
      </w:r>
    </w:p>
    <w:sectPr>
      <w:pgSz w:w="11900" w:h="16838" w:orient="portrait"/>
      <w:cols w:equalWidth="0" w:num="1">
        <w:col w:w="11242"/>
      </w:cols>
      <w:pgMar w:left="318" w:top="13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1."/>
      <w:numFmt w:val="decimal"/>
      <w:start w:val="2"/>
    </w:lvl>
  </w:abstractNum>
  <w:abstractNum w:abstractNumId="2">
    <w:nsid w:val="77465F01"/>
    <w:multiLevelType w:val="hybridMultilevel"/>
    <w:lvl w:ilvl="0">
      <w:lvlJc w:val="left"/>
      <w:lvlText w:val="%1."/>
      <w:numFmt w:val="decimal"/>
      <w:start w:val="3"/>
    </w:lvl>
  </w:abstractNum>
  <w:abstractNum w:abstractNumId="3">
    <w:nsid w:val="7724C67E"/>
    <w:multiLevelType w:val="hybridMultilevel"/>
    <w:lvl w:ilvl="0">
      <w:lvlJc w:val="left"/>
      <w:lvlText w:val="%1."/>
      <w:numFmt w:val="decimal"/>
      <w:start w:val="7"/>
    </w:lvl>
  </w:abstractNum>
  <w:abstractNum w:abstractNumId="4">
    <w:nsid w:val="5C482A97"/>
    <w:multiLevelType w:val="hybridMultilevel"/>
    <w:lvl w:ilvl="0">
      <w:lvlJc w:val="left"/>
      <w:lvlText w:val="%1."/>
      <w:numFmt w:val="decimal"/>
      <w:start w:val="8"/>
    </w:lvl>
  </w:abstractNum>
  <w:abstractNum w:abstractNumId="5">
    <w:nsid w:val="2463B9EA"/>
    <w:multiLevelType w:val="hybridMultilevel"/>
    <w:lvl w:ilvl="0">
      <w:lvlJc w:val="left"/>
      <w:lvlText w:val="%1)"/>
      <w:numFmt w:val="lowerLetter"/>
      <w:start w:val="1"/>
    </w:lvl>
  </w:abstractNum>
  <w:abstractNum w:abstractNumId="6">
    <w:nsid w:val="5E884ADC"/>
    <w:multiLevelType w:val="hybridMultilevel"/>
    <w:lvl w:ilvl="0">
      <w:lvlJc w:val="left"/>
      <w:lvlText w:val="%1)"/>
      <w:numFmt w:val="lowerLetter"/>
      <w:start w:val="2"/>
    </w:lvl>
  </w:abstractNum>
  <w:abstractNum w:abstractNumId="7">
    <w:nsid w:val="51EAD36B"/>
    <w:multiLevelType w:val="hybridMultilevel"/>
    <w:lvl w:ilvl="0">
      <w:lvlJc w:val="left"/>
      <w:lvlText w:val="%1)"/>
      <w:numFmt w:val="lowerLetter"/>
      <w:start w:val="3"/>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lowerLetter"/>
      <w:start w:val="4"/>
    </w:lvl>
  </w:abstractNum>
  <w:abstractNum w:abstractNumId="10">
    <w:nsid w:val="153EA438"/>
    <w:multiLevelType w:val="hybridMultilevel"/>
    <w:lvl w:ilvl="0">
      <w:lvlJc w:val="left"/>
      <w:lvlText w:val="%1."/>
      <w:numFmt w:val="decimal"/>
      <w:start w:val="9"/>
    </w:lvl>
  </w:abstractNum>
  <w:abstractNum w:abstractNumId="11">
    <w:nsid w:val="3855585C"/>
    <w:multiLevelType w:val="hybridMultilevel"/>
    <w:lvl w:ilvl="0">
      <w:lvlJc w:val="left"/>
      <w:lvlText w:val="%1"/>
      <w:numFmt w:val="decimal"/>
      <w:start w:val="1"/>
    </w:lvl>
    <w:lvl w:ilvl="1">
      <w:lvlJc w:val="left"/>
      <w:lvlText w:val="(%2)"/>
      <w:numFmt w:val="decimal"/>
      <w:start w:val="1"/>
    </w:lvl>
  </w:abstractNum>
  <w:abstractNum w:abstractNumId="12">
    <w:nsid w:val="70A64E2A"/>
    <w:multiLevelType w:val="hybridMultilevel"/>
    <w:lvl w:ilvl="0">
      <w:lvlJc w:val="left"/>
      <w:lvlText w:val="%1."/>
      <w:numFmt w:val="decimal"/>
      <w:start w:val="10"/>
    </w:lvl>
    <w:lvl w:ilvl="1">
      <w:lvlJc w:val="left"/>
      <w:lvlText w:val="%2"/>
      <w:numFmt w:val="decimal"/>
      <w:start w:val="1"/>
    </w:lvl>
  </w:abstractNum>
  <w:abstractNum w:abstractNumId="13">
    <w:nsid w:val="6A2342EC"/>
    <w:multiLevelType w:val="hybridMultilevel"/>
    <w:lvl w:ilvl="0">
      <w:lvlJc w:val="left"/>
      <w:lvlText w:val="%1."/>
      <w:numFmt w:val="decimal"/>
      <w:start w:val="12"/>
    </w:lvl>
  </w:abstractNum>
  <w:abstractNum w:abstractNumId="14">
    <w:nsid w:val="2A487CB0"/>
    <w:multiLevelType w:val="hybridMultilevel"/>
    <w:lvl w:ilvl="0">
      <w:lvlJc w:val="left"/>
      <w:lvlText w:val="%1."/>
      <w:numFmt w:val="decimal"/>
      <w:start w:val="13"/>
    </w:lvl>
  </w:abstractNum>
  <w:abstractNum w:abstractNumId="15">
    <w:nsid w:val="1D4ED43B"/>
    <w:multiLevelType w:val="hybridMultilevel"/>
    <w:lvl w:ilvl="0">
      <w:lvlJc w:val="left"/>
      <w:lvlText w:val="%1."/>
      <w:numFmt w:val="decimal"/>
      <w:start w:val="14"/>
    </w:lvl>
  </w:abstractNum>
  <w:abstractNum w:abstractNumId="16">
    <w:nsid w:val="725A06FB"/>
    <w:multiLevelType w:val="hybridMultilevel"/>
    <w:lvl w:ilvl="0">
      <w:lvlJc w:val="left"/>
      <w:lvlText w:val="%1."/>
      <w:numFmt w:val="decimal"/>
      <w:start w:val="15"/>
    </w:lvl>
  </w:abstractNum>
  <w:abstractNum w:abstractNumId="17">
    <w:nsid w:val="2CD89A32"/>
    <w:multiLevelType w:val="hybridMultilevel"/>
    <w:lvl w:ilvl="0">
      <w:lvlJc w:val="left"/>
      <w:lvlText w:val="%1."/>
      <w:numFmt w:val="decimal"/>
      <w:start w:val="16"/>
    </w:lvl>
    <w:lvl w:ilvl="1">
      <w:lvlJc w:val="left"/>
      <w:lvlText w:val="(%2)"/>
      <w:numFmt w:val="lowerLetter"/>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bullet"/>
      <w:start w:val="1"/>
    </w:lvl>
  </w:abstractNum>
  <w:abstractNum w:abstractNumId="25">
    <w:nsid w:val="32FFF902"/>
    <w:multiLevelType w:val="hybridMultilevel"/>
    <w:lvl w:ilvl="0">
      <w:lvlJc w:val="left"/>
      <w:lvlText w:val="2"/>
      <w:numFmt w:val="bullet"/>
      <w:start w:val="1"/>
    </w:lvl>
  </w:abstractNum>
  <w:abstractNum w:abstractNumId="26">
    <w:nsid w:val="684A481A"/>
    <w:multiLevelType w:val="hybridMultilevel"/>
    <w:lvl w:ilvl="0">
      <w:lvlJc w:val="left"/>
      <w:lvlText w:val="5"/>
      <w:numFmt w:val="bullet"/>
      <w:start w:val="1"/>
    </w:lvl>
  </w:abstractNum>
  <w:abstractNum w:abstractNumId="27">
    <w:nsid w:val="579478FE"/>
    <w:multiLevelType w:val="hybridMultilevel"/>
    <w:lvl w:ilvl="0">
      <w:lvlJc w:val="left"/>
      <w:lvlText w:val="6"/>
      <w:numFmt w:val="bullet"/>
      <w:start w:val="1"/>
    </w:lvl>
  </w:abstractNum>
  <w:abstractNum w:abstractNumId="28">
    <w:nsid w:val="749ABB43"/>
    <w:multiLevelType w:val="hybridMultilevel"/>
    <w:lvl w:ilvl="0">
      <w:lvlJc w:val="left"/>
      <w:lvlText w:val="7"/>
      <w:numFmt w:val="bullet"/>
      <w:start w:val="1"/>
    </w:lvl>
  </w:abstractNum>
  <w:abstractNum w:abstractNumId="29">
    <w:nsid w:val="3DC240FB"/>
    <w:multiLevelType w:val="hybridMultilevel"/>
    <w:lvl w:ilvl="0">
      <w:lvlJc w:val="left"/>
      <w:lvlText w:val="8"/>
      <w:numFmt w:val="bullet"/>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9"/>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decimal"/>
      <w:start w:val="1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decimal"/>
      <w:start w:val="12"/>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decimal"/>
      <w:start w:val="15"/>
    </w:lvl>
  </w:abstractNum>
  <w:abstractNum w:abstractNumId="39">
    <w:nsid w:val="649BB77C"/>
    <w:multiLevelType w:val="hybridMultilevel"/>
    <w:lvl w:ilvl="0">
      <w:lvlJc w:val="left"/>
      <w:lvlText w:val="%1"/>
      <w:numFmt w:val="decimal"/>
      <w:start w:val="20"/>
    </w:lvl>
  </w:abstractNum>
  <w:abstractNum w:abstractNumId="40">
    <w:nsid w:val="275AC794"/>
    <w:multiLevelType w:val="hybridMultilevel"/>
    <w:lvl w:ilvl="0">
      <w:lvlJc w:val="left"/>
      <w:lvlText w:val="%1"/>
      <w:numFmt w:val="decimal"/>
      <w:start w:val="24"/>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25"/>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decimal"/>
      <w:start w:val="26"/>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29"/>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1)"/>
      <w:numFmt w:val="lowerRoman"/>
      <w:start w:val="8"/>
    </w:lvl>
  </w:abstractNum>
  <w:abstractNum w:abstractNumId="57">
    <w:nsid w:val="5FF87E05"/>
    <w:multiLevelType w:val="hybridMultilevel"/>
    <w:lvl w:ilvl="0">
      <w:lvlJc w:val="left"/>
      <w:lvlText w:val="(%1)"/>
      <w:numFmt w:val="lowerRoman"/>
      <w:start w:val="14"/>
    </w:lvl>
  </w:abstractNum>
  <w:abstractNum w:abstractNumId="58">
    <w:nsid w:val="2F305DE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9">
    <w:nsid w:val="25A70BF7"/>
    <w:multiLevelType w:val="hybridMultilevel"/>
    <w:lvl w:ilvl="0">
      <w:lvlJc w:val="left"/>
      <w:lvlText w:val="%1."/>
      <w:numFmt w:val="decimal"/>
      <w:start w:val="6"/>
    </w:lvl>
  </w:abstractNum>
  <w:abstractNum w:abstractNumId="60">
    <w:nsid w:val="1DBABF00"/>
    <w:multiLevelType w:val="hybridMultilevel"/>
    <w:lvl w:ilvl="0">
      <w:lvlJc w:val="left"/>
      <w:lvlText w:val="(%1)"/>
      <w:numFmt w:val="lowerLetter"/>
      <w:start w:val="19"/>
    </w:lvl>
  </w:abstractNum>
  <w:abstractNum w:abstractNumId="61">
    <w:nsid w:val="4AD084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2">
    <w:nsid w:val="1F48EAA1"/>
    <w:multiLevelType w:val="hybridMultilevel"/>
    <w:lvl w:ilvl="0">
      <w:lvlJc w:val="left"/>
      <w:lvlText w:val="%1."/>
      <w:numFmt w:val="decimal"/>
      <w:start w:val="6"/>
    </w:lvl>
  </w:abstractNum>
  <w:abstractNum w:abstractNumId="63">
    <w:nsid w:val="1381823A"/>
    <w:multiLevelType w:val="hybridMultilevel"/>
    <w:lvl w:ilvl="0">
      <w:lvlJc w:val="left"/>
      <w:lvlText w:val="(%1)"/>
      <w:numFmt w:val="lowerLetter"/>
      <w:start w:val="19"/>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i"/>
      <w:numFmt w:val="bullet"/>
      <w:start w:val="1"/>
    </w:lvl>
  </w:abstractNum>
  <w:abstractNum w:abstractNumId="70">
    <w:nsid w:val="799D024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2022-11-15T05:35:31Z</dcterms:created>
  <dcterms:modified xsi:type="dcterms:W3CDTF">2022-11-15T05:35:31Z</dcterms:modified>
</cp:coreProperties>
</file>