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4,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September 4,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the H.C. Wainwright 26</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Global Investment Conference</w:t>
      </w:r>
    </w:p>
    <w:p>
      <w:pPr>
        <w:spacing w:after="0" w:line="24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4,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is pleased to announce that Doug Drysdale, Cybin’s Chief Executive Officer, will participate in a fireside chat and panel at the H.C. Wainwright 26th Annual Global Investment Conference, taking place September 9-11, 2024 in New York, NY.</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Mr. Drysdale’s fireside chat will be webcast live on Monday, September 9, 2024, at 8:30 a.m.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w:t>
      </w:r>
      <w:r>
        <w:rPr>
          <w:rFonts w:ascii="Arial" w:cs="Arial" w:eastAsia="Arial" w:hAnsi="Arial"/>
          <w:sz w:val="20"/>
          <w:szCs w:val="20"/>
          <w:color w:val="0000FF"/>
        </w:rPr>
        <w:t xml:space="preserve"> </w:t>
      </w:r>
      <w:r>
        <w:rPr>
          <w:rFonts w:ascii="Arial" w:cs="Arial" w:eastAsia="Arial" w:hAnsi="Arial"/>
          <w:sz w:val="20"/>
          <w:szCs w:val="20"/>
          <w:color w:val="000000"/>
        </w:rPr>
        <w:t xml:space="preserve">the </w:t>
      </w:r>
      <w:r>
        <w:rPr>
          <w:rFonts w:ascii="Arial" w:cs="Arial" w:eastAsia="Arial" w:hAnsi="Arial"/>
          <w:sz w:val="20"/>
          <w:szCs w:val="20"/>
          <w:u w:val="single" w:color="auto"/>
          <w:color w:val="0000FF"/>
        </w:rPr>
        <w:t>Events &amp; Presentations</w:t>
      </w:r>
      <w:r>
        <w:rPr>
          <w:rFonts w:ascii="Arial" w:cs="Arial" w:eastAsia="Arial" w:hAnsi="Arial"/>
          <w:sz w:val="20"/>
          <w:szCs w:val="20"/>
          <w:color w:val="000000"/>
        </w:rPr>
        <w:t xml:space="preserve"> page.</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Mr. Drysdale will also participate in a panel discussion, titled “Psychedelics in Psychiatry: Breaking New Ground in Mood Disorders” at 3:00 p.m. ET on Tuesday, September 10, 2024.</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psilocybin analog, about to enter Phase 3 studies for the adjunctive treatment of major depressive disorder and CYB004, a proprietary deuterated DMT molecule in a Phase 2 study for generalized anxiety disorder. The Company also has a research pipeline of investigational, 5-HT-receptor focused compounds.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2024-09-04T16:11:57Z</dcterms:created>
  <dcterms:modified xsi:type="dcterms:W3CDTF">2024-09-04T16:11:57Z</dcterms:modified>
</cp:coreProperties>
</file>