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Filed Pursuant to General Instruction II.L of Form F-10</w:t>
      </w:r>
    </w:p>
    <w:p>
      <w:pPr>
        <w:spacing w:after="0" w:line="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File No. 333-289139</w:t>
      </w:r>
    </w:p>
    <w:p>
      <w:pPr>
        <w:spacing w:after="0" w:line="149" w:lineRule="exact"/>
        <w:rPr>
          <w:sz w:val="24"/>
          <w:szCs w:val="24"/>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This prospectus supplement (the "</w:t>
      </w:r>
      <w:r>
        <w:rPr>
          <w:rFonts w:ascii="Times New Roman" w:cs="Times New Roman" w:eastAsia="Times New Roman" w:hAnsi="Times New Roman"/>
          <w:sz w:val="22"/>
          <w:szCs w:val="22"/>
          <w:b w:val="1"/>
          <w:bCs w:val="1"/>
          <w:i w:val="1"/>
          <w:iCs w:val="1"/>
          <w:color w:val="auto"/>
        </w:rPr>
        <w:t>Prospectus Supplement</w:t>
      </w:r>
      <w:r>
        <w:rPr>
          <w:rFonts w:ascii="Times New Roman" w:cs="Times New Roman" w:eastAsia="Times New Roman" w:hAnsi="Times New Roman"/>
          <w:sz w:val="22"/>
          <w:szCs w:val="22"/>
          <w:i w:val="1"/>
          <w:iCs w:val="1"/>
          <w:color w:val="auto"/>
        </w:rPr>
        <w:t>"), together with the short form base shelf prospectus dated September 17, 2025 to which it relates, as amended or supplemented (the "</w:t>
      </w:r>
      <w:r>
        <w:rPr>
          <w:rFonts w:ascii="Times New Roman" w:cs="Times New Roman" w:eastAsia="Times New Roman" w:hAnsi="Times New Roman"/>
          <w:sz w:val="22"/>
          <w:szCs w:val="22"/>
          <w:b w:val="1"/>
          <w:bCs w:val="1"/>
          <w:i w:val="1"/>
          <w:iCs w:val="1"/>
          <w:color w:val="auto"/>
        </w:rPr>
        <w:t>Base Shelf Prospectus</w:t>
      </w:r>
      <w:r>
        <w:rPr>
          <w:rFonts w:ascii="Times New Roman" w:cs="Times New Roman" w:eastAsia="Times New Roman" w:hAnsi="Times New Roman"/>
          <w:sz w:val="22"/>
          <w:szCs w:val="22"/>
          <w:i w:val="1"/>
          <w:iCs w:val="1"/>
          <w:color w:val="auto"/>
        </w:rPr>
        <w:t>"), and each document deemed to be incorporated by reference into this Prospectus Supplement and the Base Shelf Prospectus, as amended or supplemented (collectively, the "</w:t>
      </w:r>
      <w:r>
        <w:rPr>
          <w:rFonts w:ascii="Times New Roman" w:cs="Times New Roman" w:eastAsia="Times New Roman" w:hAnsi="Times New Roman"/>
          <w:sz w:val="22"/>
          <w:szCs w:val="22"/>
          <w:b w:val="1"/>
          <w:bCs w:val="1"/>
          <w:i w:val="1"/>
          <w:iCs w:val="1"/>
          <w:color w:val="auto"/>
        </w:rPr>
        <w:t>Prospectus</w:t>
      </w:r>
      <w:r>
        <w:rPr>
          <w:rFonts w:ascii="Times New Roman" w:cs="Times New Roman" w:eastAsia="Times New Roman" w:hAnsi="Times New Roman"/>
          <w:sz w:val="22"/>
          <w:szCs w:val="22"/>
          <w:i w:val="1"/>
          <w:iCs w:val="1"/>
          <w:color w:val="auto"/>
        </w:rPr>
        <w:t xml:space="preserve">"), constitutes a public offering of these securities only in those jurisdictions where they may be lawfully offered for sale and only by persons permitted to sell such securities. </w:t>
      </w:r>
      <w:r>
        <w:rPr>
          <w:rFonts w:ascii="Times New Roman" w:cs="Times New Roman" w:eastAsia="Times New Roman" w:hAnsi="Times New Roman"/>
          <w:sz w:val="22"/>
          <w:szCs w:val="22"/>
          <w:b w:val="1"/>
          <w:bCs w:val="1"/>
          <w:i w:val="1"/>
          <w:iCs w:val="1"/>
          <w:color w:val="auto"/>
        </w:rPr>
        <w:t>No securities regulatory authority has expressed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an opinion about these securities and it is an offence to claim otherwise.</w:t>
      </w:r>
    </w:p>
    <w:p>
      <w:pPr>
        <w:spacing w:after="0" w:line="135"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the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 request without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charge from the Secretary of Cybin Inc. at 100 King Street West, Suite 5600, Toronto, Ontario M5X 1C9, telephone 1-866-292-4601, and are also available electronically at www.sedarplus.ca and www.sec.gov/edgar.</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SHORT FORM BASE SHELF PROSPECTUS DATED SEPTEMBER 17, 2025</w:t>
      </w:r>
    </w:p>
    <w:p>
      <w:pPr>
        <w:spacing w:after="0" w:line="162" w:lineRule="exact"/>
        <w:rPr>
          <w:sz w:val="24"/>
          <w:szCs w:val="24"/>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i w:val="1"/>
          <w:iCs w:val="1"/>
          <w:u w:val="single" w:color="auto"/>
          <w:color w:val="auto"/>
        </w:rPr>
        <w:t>Secondary Offering</w:t>
      </w:r>
      <w:r>
        <w:rPr>
          <w:sz w:val="20"/>
          <w:szCs w:val="20"/>
          <w:color w:val="auto"/>
        </w:rPr>
        <w:tab/>
      </w:r>
      <w:r>
        <w:rPr>
          <w:rFonts w:ascii="Times New Roman" w:cs="Times New Roman" w:eastAsia="Times New Roman" w:hAnsi="Times New Roman"/>
          <w:sz w:val="17"/>
          <w:szCs w:val="17"/>
          <w:color w:val="auto"/>
        </w:rPr>
        <w:t>September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395605</wp:posOffset>
            </wp:positionV>
            <wp:extent cx="1774190" cy="1037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4190" cy="1037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20,000,000 Common Shares</w:t>
      </w:r>
    </w:p>
    <w:p>
      <w:pPr>
        <w:spacing w:after="0" w:line="183"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Cybin Inc. ("</w:t>
      </w:r>
      <w:r>
        <w:rPr>
          <w:rFonts w:ascii="Times New Roman" w:cs="Times New Roman" w:eastAsia="Times New Roman" w:hAnsi="Times New Roman"/>
          <w:sz w:val="21"/>
          <w:szCs w:val="21"/>
          <w:b w:val="1"/>
          <w:bCs w:val="1"/>
          <w:color w:val="auto"/>
        </w:rPr>
        <w:t>Cybin</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Corporation</w:t>
      </w:r>
      <w:r>
        <w:rPr>
          <w:rFonts w:ascii="Times New Roman" w:cs="Times New Roman" w:eastAsia="Times New Roman" w:hAnsi="Times New Roman"/>
          <w:sz w:val="21"/>
          <w:szCs w:val="21"/>
          <w:color w:val="auto"/>
        </w:rPr>
        <w:t>") is hereby qualifying the periodic resale in the United States of common shares in the capital of the Corporation (the "</w:t>
      </w:r>
      <w:r>
        <w:rPr>
          <w:rFonts w:ascii="Times New Roman" w:cs="Times New Roman" w:eastAsia="Times New Roman" w:hAnsi="Times New Roman"/>
          <w:sz w:val="21"/>
          <w:szCs w:val="21"/>
          <w:b w:val="1"/>
          <w:bCs w:val="1"/>
          <w:color w:val="auto"/>
        </w:rPr>
        <w:t>Common Shares</w:t>
      </w:r>
      <w:r>
        <w:rPr>
          <w:rFonts w:ascii="Times New Roman" w:cs="Times New Roman" w:eastAsia="Times New Roman" w:hAnsi="Times New Roman"/>
          <w:sz w:val="21"/>
          <w:szCs w:val="21"/>
          <w:color w:val="auto"/>
        </w:rPr>
        <w:t xml:space="preserve">") by the Selling Shareholder (as defined under the heading </w:t>
      </w:r>
      <w:r>
        <w:rPr>
          <w:rFonts w:ascii="Times New Roman" w:cs="Times New Roman" w:eastAsia="Times New Roman" w:hAnsi="Times New Roman"/>
          <w:sz w:val="21"/>
          <w:szCs w:val="21"/>
          <w:i w:val="1"/>
          <w:iCs w:val="1"/>
          <w:color w:val="auto"/>
        </w:rPr>
        <w:t>"Selling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Shareholder") </w:t>
      </w:r>
      <w:r>
        <w:rPr>
          <w:rFonts w:ascii="Times New Roman" w:cs="Times New Roman" w:eastAsia="Times New Roman" w:hAnsi="Times New Roman"/>
          <w:sz w:val="21"/>
          <w:szCs w:val="21"/>
          <w:color w:val="auto"/>
        </w:rPr>
        <w:t>during the 25 month period that the Prospectus, including any amendments thereto, remains valid (the "</w:t>
      </w:r>
      <w:r>
        <w:rPr>
          <w:rFonts w:ascii="Times New Roman" w:cs="Times New Roman" w:eastAsia="Times New Roman" w:hAnsi="Times New Roman"/>
          <w:sz w:val="21"/>
          <w:szCs w:val="21"/>
          <w:b w:val="1"/>
          <w:bCs w:val="1"/>
          <w:color w:val="auto"/>
        </w:rPr>
        <w:t>Offering</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This Prospectus Supplement covers resales by the Selling Shareholder, from time to time of up to 20,000,000 Common Shares (the "</w:t>
      </w:r>
      <w:r>
        <w:rPr>
          <w:rFonts w:ascii="Times New Roman" w:cs="Times New Roman" w:eastAsia="Times New Roman" w:hAnsi="Times New Roman"/>
          <w:sz w:val="21"/>
          <w:szCs w:val="21"/>
          <w:b w:val="1"/>
          <w:bCs w:val="1"/>
          <w:color w:val="auto"/>
        </w:rPr>
        <w:t>Registrable Common Shares</w:t>
      </w:r>
      <w:r>
        <w:rPr>
          <w:rFonts w:ascii="Times New Roman" w:cs="Times New Roman" w:eastAsia="Times New Roman" w:hAnsi="Times New Roman"/>
          <w:sz w:val="21"/>
          <w:szCs w:val="21"/>
          <w:color w:val="auto"/>
        </w:rPr>
        <w:t>"), issuable to the Selling Shareholder upon conversion of up to US$50,000,000 aggregate principal amount of unsecured convertible debentures, as amended on August 12, 2025 (the "</w:t>
      </w:r>
      <w:r>
        <w:rPr>
          <w:rFonts w:ascii="Times New Roman" w:cs="Times New Roman" w:eastAsia="Times New Roman" w:hAnsi="Times New Roman"/>
          <w:sz w:val="21"/>
          <w:szCs w:val="21"/>
          <w:b w:val="1"/>
          <w:bCs w:val="1"/>
          <w:color w:val="auto"/>
        </w:rPr>
        <w:t>Convertible Debentures</w:t>
      </w:r>
      <w:r>
        <w:rPr>
          <w:rFonts w:ascii="Times New Roman" w:cs="Times New Roman" w:eastAsia="Times New Roman" w:hAnsi="Times New Roman"/>
          <w:sz w:val="21"/>
          <w:szCs w:val="21"/>
          <w:color w:val="auto"/>
        </w:rPr>
        <w:t>") originally issued to the Selling Shareholder pursuant to a securities purchase agreement, dated June 30, 2025, as amended on August 12, 2025 (the "</w:t>
      </w:r>
      <w:r>
        <w:rPr>
          <w:rFonts w:ascii="Times New Roman" w:cs="Times New Roman" w:eastAsia="Times New Roman" w:hAnsi="Times New Roman"/>
          <w:sz w:val="21"/>
          <w:szCs w:val="21"/>
          <w:b w:val="1"/>
          <w:bCs w:val="1"/>
          <w:color w:val="auto"/>
        </w:rPr>
        <w:t>Securities Purchase Agreement</w:t>
      </w:r>
      <w:r>
        <w:rPr>
          <w:rFonts w:ascii="Times New Roman" w:cs="Times New Roman" w:eastAsia="Times New Roman" w:hAnsi="Times New Roman"/>
          <w:sz w:val="21"/>
          <w:szCs w:val="21"/>
          <w:color w:val="auto"/>
        </w:rPr>
        <w:t>"), in connection with a private placement of the Convertible Debentures completed by the Corporation on June 30, 2025 (the "</w:t>
      </w:r>
      <w:r>
        <w:rPr>
          <w:rFonts w:ascii="Times New Roman" w:cs="Times New Roman" w:eastAsia="Times New Roman" w:hAnsi="Times New Roman"/>
          <w:sz w:val="21"/>
          <w:szCs w:val="21"/>
          <w:b w:val="1"/>
          <w:bCs w:val="1"/>
          <w:color w:val="auto"/>
        </w:rPr>
        <w:t>June 2025 Private Placement</w:t>
      </w:r>
      <w:r>
        <w:rPr>
          <w:rFonts w:ascii="Times New Roman" w:cs="Times New Roman" w:eastAsia="Times New Roman" w:hAnsi="Times New Roman"/>
          <w:sz w:val="21"/>
          <w:szCs w:val="21"/>
          <w:color w:val="auto"/>
        </w:rPr>
        <w:t xml:space="preserve">"). The participation of the Selling Shareholder in the filing of this Prospectus Supplement is not an indication of the Selling Shareholder's intention to sell the Registrable Common Shares at any particular time or in any particular amount. See </w:t>
      </w:r>
      <w:r>
        <w:rPr>
          <w:rFonts w:ascii="Times New Roman" w:cs="Times New Roman" w:eastAsia="Times New Roman" w:hAnsi="Times New Roman"/>
          <w:sz w:val="21"/>
          <w:szCs w:val="21"/>
          <w:i w:val="1"/>
          <w:iCs w:val="1"/>
          <w:color w:val="auto"/>
        </w:rPr>
        <w:t>"Description of the Convertible Debentures"</w:t>
      </w:r>
      <w:r>
        <w:rPr>
          <w:rFonts w:ascii="Times New Roman" w:cs="Times New Roman" w:eastAsia="Times New Roman" w:hAnsi="Times New Roman"/>
          <w:sz w:val="21"/>
          <w:szCs w:val="21"/>
          <w:color w:val="auto"/>
        </w:rPr>
        <w:t>.</w:t>
      </w:r>
    </w:p>
    <w:p>
      <w:pPr>
        <w:spacing w:after="0" w:line="154"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Registrable Common Shares were initially qualified for distribution by a prospectus supplement dated July 14, 2025 (the "</w:t>
      </w:r>
      <w:r>
        <w:rPr>
          <w:rFonts w:ascii="Times New Roman" w:cs="Times New Roman" w:eastAsia="Times New Roman" w:hAnsi="Times New Roman"/>
          <w:sz w:val="22"/>
          <w:szCs w:val="22"/>
          <w:b w:val="1"/>
          <w:bCs w:val="1"/>
          <w:color w:val="auto"/>
        </w:rPr>
        <w:t>Previous Prospectus Supplement</w:t>
      </w:r>
      <w:r>
        <w:rPr>
          <w:rFonts w:ascii="Times New Roman" w:cs="Times New Roman" w:eastAsia="Times New Roman" w:hAnsi="Times New Roman"/>
          <w:sz w:val="22"/>
          <w:szCs w:val="22"/>
          <w:color w:val="auto"/>
        </w:rPr>
        <w:t>") to the Corporation's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2023 Base Prospectus</w:t>
      </w:r>
      <w:r>
        <w:rPr>
          <w:rFonts w:ascii="Times New Roman" w:cs="Times New Roman" w:eastAsia="Times New Roman" w:hAnsi="Times New Roman"/>
          <w:sz w:val="22"/>
          <w:szCs w:val="22"/>
          <w:color w:val="auto"/>
        </w:rPr>
        <w:t>"), filed with the securities commission or similar regulatory authority in each of the provinces and territories of Canada, and in connection therewith, a prospectus supplement dated July 14, 2025 (the "</w:t>
      </w:r>
      <w:r>
        <w:rPr>
          <w:rFonts w:ascii="Times New Roman" w:cs="Times New Roman" w:eastAsia="Times New Roman" w:hAnsi="Times New Roman"/>
          <w:sz w:val="22"/>
          <w:szCs w:val="22"/>
          <w:b w:val="1"/>
          <w:bCs w:val="1"/>
          <w:color w:val="auto"/>
        </w:rPr>
        <w:t>U.S. Previous Prospectus Supplement</w:t>
      </w:r>
      <w:r>
        <w:rPr>
          <w:rFonts w:ascii="Times New Roman" w:cs="Times New Roman" w:eastAsia="Times New Roman" w:hAnsi="Times New Roman"/>
          <w:sz w:val="22"/>
          <w:szCs w:val="22"/>
          <w:color w:val="auto"/>
        </w:rPr>
        <w:t>") to its effective registration statement on Form F-10, as amended, supplemented and/or filed pursuant to Rule 429 under the United States Securities Act of 1933, as amended (the "</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Prior Registration Statement</w:t>
      </w:r>
      <w:r>
        <w:rPr>
          <w:rFonts w:ascii="Times New Roman" w:cs="Times New Roman" w:eastAsia="Times New Roman" w:hAnsi="Times New Roman"/>
          <w:sz w:val="22"/>
          <w:szCs w:val="22"/>
          <w:color w:val="auto"/>
        </w:rPr>
        <w:t>") with the United States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in connection with the June 2025 Private Placement.</w:t>
      </w:r>
    </w:p>
    <w:p>
      <w:pPr>
        <w:spacing w:after="0" w:line="138"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Given the expiration of the 2023 Base Prospectus on September 17, 2025, the Corporation has filed with the securities commission or similar regulatory authority in each of the provinces and territories of Canada, a notice of withdrawal withdrawing the 2023 Base Prospectus effective as of the date hereof. This Prospectus Supplement replaces the Previous Prospectus Supplement in order to maintain the registration of the Offering of the Registrable Common Shares the U.S. Securities Act, beyond the expiry date of the 2023 Base Prospectus under Canadian rules.</w:t>
      </w:r>
    </w:p>
    <w:p>
      <w:pPr>
        <w:sectPr>
          <w:pgSz w:w="11900" w:h="16838" w:orient="portrait"/>
          <w:cols w:equalWidth="0" w:num="1">
            <w:col w:w="11240"/>
          </w:cols>
          <w:pgMar w:left="320" w:top="432" w:right="339" w:bottom="1440" w:gutter="0" w:footer="0" w:header="0"/>
        </w:sectPr>
      </w:pP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1" w:name="page2"/>
    <w:bookmarkEnd w:id="1"/>
    <w:p>
      <w:pPr>
        <w:jc w:val="both"/>
        <w:spacing w:after="0" w:line="238" w:lineRule="auto"/>
        <w:rPr>
          <w:sz w:val="20"/>
          <w:szCs w:val="20"/>
          <w:color w:val="auto"/>
        </w:rPr>
      </w:pPr>
      <w:r>
        <w:rPr>
          <w:rFonts w:ascii="Times New Roman" w:cs="Times New Roman" w:eastAsia="Times New Roman" w:hAnsi="Times New Roman"/>
          <w:sz w:val="22"/>
          <w:szCs w:val="22"/>
          <w:color w:val="auto"/>
        </w:rPr>
        <w:t>This Prospectus Supplement is filed pursuant to (i) the Base Shelf Prospectus filed in each of the provinces and territories of Canada, and (ii) the Base Shelf Prospectus as a part of the Corporation's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(the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xml:space="preserve"> "). The Registration Statement became automatically effective upon filing of the Amendment pursuant to Rule 467(a) of the U.S. Securities Act on September 17,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or has performed any review of, this Prospectus Supplement.</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issued and outstanding Common Shares are listed in Canada on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and in the United States on the NYSE American LLC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in each case under the trading symbol “CYBN”. On September 16, 2025, the last trading day prior to the filing of this Prospectus Supplement, the closing prices of the Common Shares listed on Cboe Canada and NYSE American were $8.32 and US$6.04 respectively.</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An investment in the Registrable Common Shares is highly speculative and involves significant risks that should be considered before purchasing Registrable Common Shares. See the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section in this Prospectus Supplement, including in the documents incorporated by reference</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Selling Shareholder may, from time to time, sell, transfer or otherwise dispose of any or all of the Registrable Common Shares or interests in the Registrable Common Shares on any stock exchange, market or trading facility on which the Registrable Common Shares are traded or in private transactions. These dispositions may be at fixed prices, at prevailing market prices at the time of sale, at prices related to the prevailing market price, at varying prices determined at the time of sale, or at negotiated prices. Prices may vary from purchaser to purchaser during the period of distribution. See "</w:t>
      </w:r>
      <w:r>
        <w:rPr>
          <w:rFonts w:ascii="Times New Roman" w:cs="Times New Roman" w:eastAsia="Times New Roman" w:hAnsi="Times New Roman"/>
          <w:sz w:val="21"/>
          <w:szCs w:val="21"/>
          <w:i w:val="1"/>
          <w:iCs w:val="1"/>
          <w:color w:val="auto"/>
        </w:rPr>
        <w:t>Plan of Distribution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This</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Prospectus Supplement has not been filed in respect of, and will not qualify, any distribution of the Registrable Common Shares, in Ontario or in any other province or territory of Canada at any time. </w:t>
      </w:r>
      <w:r>
        <w:rPr>
          <w:rFonts w:ascii="Times New Roman" w:cs="Times New Roman" w:eastAsia="Times New Roman" w:hAnsi="Times New Roman"/>
          <w:sz w:val="22"/>
          <w:szCs w:val="22"/>
          <w:color w:val="auto"/>
        </w:rPr>
        <w:t>The Corporation will not receive any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proceeds from the sale or other disposition of the Registrable Common Shares by the Selling Shareholder. The net proceeds received from the sale or other disposition of the Registrable Common Shares by the Selling Shareholder, if any, is unknown. See under the heading "</w:t>
      </w:r>
      <w:r>
        <w:rPr>
          <w:rFonts w:ascii="Times New Roman" w:cs="Times New Roman" w:eastAsia="Times New Roman" w:hAnsi="Times New Roman"/>
          <w:sz w:val="22"/>
          <w:szCs w:val="22"/>
          <w:i w:val="1"/>
          <w:iCs w:val="1"/>
          <w:color w:val="auto"/>
        </w:rPr>
        <w:t>Selling Shareholder</w:t>
      </w:r>
      <w:r>
        <w:rPr>
          <w:rFonts w:ascii="Times New Roman" w:cs="Times New Roman" w:eastAsia="Times New Roman" w:hAnsi="Times New Roman"/>
          <w:sz w:val="22"/>
          <w:szCs w:val="22"/>
          <w:color w:val="auto"/>
        </w:rPr>
        <w:t>" for further information.</w:t>
      </w:r>
    </w:p>
    <w:p>
      <w:pPr>
        <w:spacing w:after="0" w:line="14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b w:val="1"/>
          <w:bCs w:val="1"/>
          <w:color w:val="auto"/>
        </w:rPr>
        <w:t>The Corporation is permitted, under the multijurisdictional disclosure system adopted by the United States and Canada (“MJDS”), to prepare this Prospectus Supplement and the accompanying Base Shelf Prospectus in accordance with Canadian disclosure requirements. Purchasers of Registrable Common Shares should be aware that such requirements are different from those of the United States. Financial statements included or incorporated by reference herein have been prepared in accordance with International Financial Reporting Standards, as issued by the International Accounting Standards Board, and may not be comparable to financial statements of United States companies, which are prepared under United States generally accepted accounting principles, or “US GAAP”. The financial statements are subject to the standards of the Public Company Accounting Oversight Board (United States) and the SEC independence standards.</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This Prospectus Supplement and the Base Shelf Prospectus do not contain all of the information set forth in the Registration Statement, certain parts of which are omitted in accordance with the rules and regulations of the SEC, or the schedules or exhibits that are part of the Registration Statement. Investors in the United States should refer to the Registration Statement and the exhibits thereto for further information with respect to the Corporation and the Registrable Common Shares.</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Purchasers of Registrable Common Shares should be aware that the acquisition of Registrable Common Shares may have tax consequences both in the United States and in Canada. Such consequences for purchasers who are resident in, or citizens of, the United States or who are resident in Canada may not be described fully herein. Purchasers of Common Shares should read the tax discussion contained in this Prospectus Supplement and consult their own tax advisors. See </w:t>
      </w:r>
      <w:r>
        <w:rPr>
          <w:rFonts w:ascii="Times New Roman" w:cs="Times New Roman" w:eastAsia="Times New Roman" w:hAnsi="Times New Roman"/>
          <w:sz w:val="21"/>
          <w:szCs w:val="21"/>
          <w:b w:val="1"/>
          <w:bCs w:val="1"/>
          <w:i w:val="1"/>
          <w:iCs w:val="1"/>
          <w:color w:val="auto"/>
        </w:rPr>
        <w:t xml:space="preserve">"Certain Canadian Income Tax Considerations" </w:t>
      </w:r>
      <w:r>
        <w:rPr>
          <w:rFonts w:ascii="Times New Roman" w:cs="Times New Roman" w:eastAsia="Times New Roman" w:hAnsi="Times New Roman"/>
          <w:sz w:val="21"/>
          <w:szCs w:val="21"/>
          <w:b w:val="1"/>
          <w:bCs w:val="1"/>
          <w:color w:val="auto"/>
        </w:rPr>
        <w:t>and</w:t>
      </w:r>
      <w:r>
        <w:rPr>
          <w:rFonts w:ascii="Times New Roman" w:cs="Times New Roman" w:eastAsia="Times New Roman" w:hAnsi="Times New Roman"/>
          <w:sz w:val="21"/>
          <w:szCs w:val="21"/>
          <w:b w:val="1"/>
          <w:bCs w:val="1"/>
          <w:i w:val="1"/>
          <w:iCs w:val="1"/>
          <w:color w:val="auto"/>
        </w:rPr>
        <w:t xml:space="preserve"> "Certain United States Federal Income Tax Considerations"</w:t>
      </w:r>
      <w:r>
        <w:rPr>
          <w:rFonts w:ascii="Times New Roman" w:cs="Times New Roman" w:eastAsia="Times New Roman" w:hAnsi="Times New Roman"/>
          <w:sz w:val="21"/>
          <w:szCs w:val="21"/>
          <w:b w:val="1"/>
          <w:bCs w:val="1"/>
          <w:color w:val="auto"/>
        </w:rPr>
        <w: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The enforcement by investors of civil liabilities under United States federal securities laws may be affected adversely by the fact that the Corporation is a corporation existing under the laws of the province of Ontario, Canada, and that the majority of its officers and directors are not residents of the United States, that some or all of the experts named in this Prospectus Supplement and in the accompanying Base Shelf Prospectus are not residents of the United States, and that a substantial portion of the assets of the Corporation and such persons are located outside the United States. See </w:t>
      </w:r>
      <w:r>
        <w:rPr>
          <w:rFonts w:ascii="Times New Roman" w:cs="Times New Roman" w:eastAsia="Times New Roman" w:hAnsi="Times New Roman"/>
          <w:sz w:val="22"/>
          <w:szCs w:val="22"/>
          <w:b w:val="1"/>
          <w:bCs w:val="1"/>
          <w:i w:val="1"/>
          <w:iCs w:val="1"/>
          <w:color w:val="auto"/>
        </w:rPr>
        <w:t>"Enforcement of Civil Liabilities by U.S. Investors"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NEITHER THE SEC NOR ANY STATE SECURITIES COMMISSION OR REGULATOR HAS APPROVED OR DISAPPROVED THE REGISTRABLE COMMON SHARES NOR PASSED UPON THE ACCURACY OR ADEQUACY OF THE PROSPECTUS. ANY REPRESENTATION TO THE CONTRARY IS A CRIMINAL OFFENCE.</w:t>
      </w:r>
    </w:p>
    <w:p>
      <w:pPr>
        <w:spacing w:after="0" w:line="12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Except as otherwise indicated, references to "US$" are to United States dollars and references to "Canadian dollars", "C$" or "$" are to Canadian dollars. See "</w:t>
      </w:r>
      <w:r>
        <w:rPr>
          <w:rFonts w:ascii="Times New Roman" w:cs="Times New Roman" w:eastAsia="Times New Roman" w:hAnsi="Times New Roman"/>
          <w:sz w:val="22"/>
          <w:szCs w:val="22"/>
          <w:i w:val="1"/>
          <w:iCs w:val="1"/>
          <w:color w:val="auto"/>
        </w:rPr>
        <w:t>Currency and Exchange Rate</w:t>
      </w:r>
      <w:r>
        <w:rPr>
          <w:rFonts w:ascii="Times New Roman" w:cs="Times New Roman" w:eastAsia="Times New Roman" w:hAnsi="Times New Roman"/>
          <w:sz w:val="22"/>
          <w:szCs w:val="22"/>
          <w:color w:val="auto"/>
        </w:rPr>
        <w:t>". Certain totals, subtotals and percentages may not precisely reconcile due to rounding.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Corporation's head and registered office is located at 100 King Street West, Suite 5600, Toronto, ON M5X 1C9.</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Investors should assume that the information appearing in this Prospectus Supplement, the Base Shelf Prospectus and the documents incorporated by reference herein and therein is accurate only as of the respective dates of the documents in which such information appears, regardless of the time of delivery of this Prospectus Supplement or of any sale of the Registrable Common Shares.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900" w:type="dxa"/>
            <w:vAlign w:val="bottom"/>
            <w:gridSpan w:val="33"/>
            <w:shd w:val="clear" w:color="auto" w:fill="EEEEEE"/>
          </w:tcPr>
          <w:p>
            <w:pPr>
              <w:spacing w:after="0"/>
              <w:rPr>
                <w:sz w:val="20"/>
                <w:szCs w:val="20"/>
                <w:color w:val="auto"/>
              </w:rPr>
            </w:pPr>
            <w:r>
              <w:rPr>
                <w:rFonts w:ascii="Times New Roman" w:cs="Times New Roman" w:eastAsia="Times New Roman" w:hAnsi="Times New Roman"/>
                <w:sz w:val="18"/>
                <w:szCs w:val="18"/>
                <w:color w:val="0000EE"/>
              </w:rPr>
              <w:t>ABOUT THIS PROSPECTUS SUPPLEMENT</w:t>
            </w:r>
          </w:p>
        </w:tc>
        <w:tc>
          <w:tcPr>
            <w:tcW w:w="34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0000EE"/>
              </w:rPr>
              <w:t>S-2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 LOOKING INFORMATION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20" w:type="dxa"/>
            <w:vAlign w:val="bottom"/>
            <w:gridSpan w:val="2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DOCUMENTS INCORPORATED BY REFERENCE</w:t>
            </w:r>
          </w:p>
        </w:tc>
        <w:tc>
          <w:tcPr>
            <w:tcW w:w="6980" w:type="dxa"/>
            <w:vAlign w:val="bottom"/>
            <w:gridSpan w:val="12"/>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DOCUMENTS FILED AS PART OF THE REGISTRATION STATEMENT</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240" w:type="dxa"/>
            <w:vAlign w:val="bottom"/>
            <w:gridSpan w:val="2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CURRENCY AND EXCHANGE RATE INFORMATION</w:t>
            </w:r>
          </w:p>
        </w:tc>
        <w:tc>
          <w:tcPr>
            <w:tcW w:w="6660" w:type="dxa"/>
            <w:vAlign w:val="bottom"/>
            <w:gridSpan w:val="10"/>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6660" w:type="dxa"/>
            <w:vAlign w:val="bottom"/>
            <w:gridSpan w:val="10"/>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COMMON SHARES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shd w:val="clear" w:color="auto" w:fill="EEEEEE"/>
          </w:tcPr>
          <w:p>
            <w:pPr>
              <w:spacing w:after="0"/>
              <w:rPr>
                <w:sz w:val="15"/>
                <w:szCs w:val="15"/>
                <w:color w:val="auto"/>
              </w:rPr>
            </w:pPr>
          </w:p>
        </w:tc>
        <w:tc>
          <w:tcPr>
            <w:tcW w:w="43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CONVERTIBLE DEBENTURES</w:t>
            </w:r>
          </w:p>
        </w:tc>
        <w:tc>
          <w:tcPr>
            <w:tcW w:w="6520" w:type="dxa"/>
            <w:vAlign w:val="bottom"/>
            <w:gridSpan w:val="7"/>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S-9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EEEE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840" w:type="dxa"/>
            <w:vAlign w:val="bottom"/>
            <w:tcBorders>
              <w:bottom w:val="single" w:sz="8" w:color="EEEEEE"/>
            </w:tcBorders>
            <w:gridSpan w:val="24"/>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TRADING PRICE AND VOLUME</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PRIOR SALES</w:t>
            </w:r>
          </w:p>
        </w:tc>
        <w:tc>
          <w:tcPr>
            <w:tcW w:w="9760" w:type="dxa"/>
            <w:vAlign w:val="bottom"/>
            <w:tcBorders>
              <w:bottom w:val="single" w:sz="8" w:color="EEEEEE"/>
            </w:tcBorders>
            <w:gridSpan w:val="30"/>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CERTAIN CANADIAN INCOME TAX CONSIDERATIONS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CERTAIN UNITED STATES FEDERAL INCOME TAX CONSIDERATIONS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40" w:type="dxa"/>
            <w:vAlign w:val="bottom"/>
            <w:tcBorders>
              <w:top w:val="single" w:sz="8" w:color="0000EE"/>
            </w:tcBorders>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160" w:type="dxa"/>
            <w:vAlign w:val="bottom"/>
            <w:tcBorders>
              <w:top w:val="single" w:sz="8" w:color="EEEEEE"/>
            </w:tcBorders>
            <w:gridSpan w:val="3"/>
          </w:tcPr>
          <w:p>
            <w:pPr>
              <w:spacing w:after="0"/>
              <w:rPr>
                <w:sz w:val="15"/>
                <w:szCs w:val="15"/>
                <w:color w:val="auto"/>
              </w:rPr>
            </w:pPr>
          </w:p>
        </w:tc>
        <w:tc>
          <w:tcPr>
            <w:tcW w:w="340" w:type="dxa"/>
            <w:vAlign w:val="bottom"/>
            <w:tcBorders>
              <w:top w:val="single" w:sz="8" w:color="0000EE"/>
            </w:tcBorders>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gridSpan w:val="2"/>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10120" w:type="dxa"/>
            <w:vAlign w:val="bottom"/>
            <w:tcBorders>
              <w:bottom w:val="single" w:sz="8" w:color="EEEEEE"/>
            </w:tcBorders>
            <w:gridSpan w:val="31"/>
            <w:shd w:val="clear" w:color="auto" w:fill="EEEEEE"/>
          </w:tcPr>
          <w:p>
            <w:pPr>
              <w:spacing w:after="0"/>
              <w:rPr>
                <w:sz w:val="17"/>
                <w:szCs w:val="17"/>
                <w:color w:val="auto"/>
              </w:rPr>
            </w:pPr>
          </w:p>
        </w:tc>
        <w:tc>
          <w:tcPr>
            <w:tcW w:w="340" w:type="dxa"/>
            <w:vAlign w:val="bottom"/>
            <w:tcBorders>
              <w:bottom w:val="single" w:sz="8" w:color="0000EE"/>
            </w:tcBorders>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 BY U.S. INVESTORS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93"/>
              </w:rPr>
              <w:t>S-31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900" w:type="dxa"/>
            <w:vAlign w:val="bottom"/>
            <w:tcBorders>
              <w:top w:val="single" w:sz="8" w:color="0000EE"/>
            </w:tcBorders>
            <w:gridSpan w:val="28"/>
          </w:tcPr>
          <w:p>
            <w:pPr>
              <w:spacing w:after="0"/>
              <w:rPr>
                <w:sz w:val="20"/>
                <w:szCs w:val="20"/>
                <w:color w:val="auto"/>
              </w:rPr>
            </w:pPr>
            <w:r>
              <w:rPr>
                <w:rFonts w:ascii="Times New Roman" w:cs="Times New Roman" w:eastAsia="Times New Roman" w:hAnsi="Times New Roman"/>
                <w:sz w:val="18"/>
                <w:szCs w:val="18"/>
                <w:b w:val="1"/>
                <w:bCs w:val="1"/>
                <w:color w:val="auto"/>
              </w:rPr>
              <w:t>Base Shelf Prospectus</w:t>
            </w:r>
          </w:p>
        </w:tc>
        <w:tc>
          <w:tcPr>
            <w:tcW w:w="6000" w:type="dxa"/>
            <w:vAlign w:val="bottom"/>
            <w:tcBorders>
              <w:top w:val="single" w:sz="8" w:color="EEEEEE"/>
            </w:tcBorders>
            <w:gridSpan w:val="5"/>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720" w:type="dxa"/>
            <w:vAlign w:val="bottom"/>
            <w:gridSpan w:val="8"/>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GENERAL MATTERS</w:t>
            </w:r>
          </w:p>
        </w:tc>
        <w:tc>
          <w:tcPr>
            <w:tcW w:w="9180" w:type="dxa"/>
            <w:vAlign w:val="bottom"/>
            <w:gridSpan w:val="25"/>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 LOOKING INFORMATION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1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MARKETING MATERIALS</w:t>
            </w:r>
          </w:p>
        </w:tc>
        <w:tc>
          <w:tcPr>
            <w:tcW w:w="7760" w:type="dxa"/>
            <w:vAlign w:val="bottom"/>
            <w:gridSpan w:val="15"/>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660" w:type="dxa"/>
            <w:vAlign w:val="bottom"/>
            <w:gridSpan w:val="16"/>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8240" w:type="dxa"/>
            <w:vAlign w:val="bottom"/>
            <w:gridSpan w:val="17"/>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9"/>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5380" w:type="dxa"/>
            <w:vAlign w:val="bottom"/>
            <w:gridSpan w:val="4"/>
            <w:shd w:val="clear" w:color="auto" w:fill="EEEEEE"/>
          </w:tcPr>
          <w:p>
            <w:pPr>
              <w:spacing w:after="0"/>
              <w:rPr>
                <w:sz w:val="15"/>
                <w:szCs w:val="15"/>
                <w:color w:val="auto"/>
              </w:rPr>
            </w:pP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3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60" w:type="dxa"/>
            <w:vAlign w:val="bottom"/>
            <w:tcBorders>
              <w:top w:val="single" w:sz="8" w:color="0000EE"/>
            </w:tcBorders>
            <w:shd w:val="clear" w:color="auto" w:fill="EEEEEE"/>
          </w:tcPr>
          <w:p>
            <w:pPr>
              <w:spacing w:after="0" w:line="20" w:lineRule="exact"/>
              <w:rPr>
                <w:sz w:val="1"/>
                <w:szCs w:val="1"/>
                <w:color w:val="auto"/>
              </w:rPr>
            </w:pPr>
          </w:p>
        </w:tc>
        <w:tc>
          <w:tcPr>
            <w:tcW w:w="140" w:type="dxa"/>
            <w:vAlign w:val="bottom"/>
            <w:tcBorders>
              <w:top w:val="single" w:sz="8" w:color="0000EE"/>
            </w:tcBorders>
            <w:shd w:val="clear" w:color="auto" w:fill="EEEEEE"/>
          </w:tcPr>
          <w:p>
            <w:pPr>
              <w:spacing w:after="0" w:line="20" w:lineRule="exact"/>
              <w:rPr>
                <w:sz w:val="1"/>
                <w:szCs w:val="1"/>
                <w:color w:val="auto"/>
              </w:rPr>
            </w:pPr>
          </w:p>
        </w:tc>
        <w:tc>
          <w:tcPr>
            <w:tcW w:w="18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620" w:type="dxa"/>
            <w:vAlign w:val="bottom"/>
            <w:tcBorders>
              <w:top w:val="single" w:sz="8" w:color="0000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THE CORPORATION</w:t>
            </w:r>
          </w:p>
        </w:tc>
        <w:tc>
          <w:tcPr>
            <w:tcW w:w="5380" w:type="dxa"/>
            <w:vAlign w:val="bottom"/>
            <w:gridSpan w:val="4"/>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REGULATORY OVERVIEW</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340" w:type="dxa"/>
            <w:vAlign w:val="bottom"/>
            <w:tcBorders>
              <w:top w:val="single" w:sz="8" w:color="0000EE"/>
            </w:tcBorders>
            <w:shd w:val="clear" w:color="auto" w:fill="EEEEEE"/>
          </w:tcPr>
          <w:p>
            <w:pPr>
              <w:spacing w:after="0" w:line="20" w:lineRule="exact"/>
              <w:rPr>
                <w:sz w:val="1"/>
                <w:szCs w:val="1"/>
                <w:color w:val="auto"/>
              </w:rPr>
            </w:pPr>
          </w:p>
        </w:tc>
        <w:tc>
          <w:tcPr>
            <w:tcW w:w="6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8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COMPLIANCE PROGRAM</w:t>
            </w:r>
          </w:p>
        </w:tc>
        <w:tc>
          <w:tcPr>
            <w:tcW w:w="8720" w:type="dxa"/>
            <w:vAlign w:val="bottom"/>
            <w:gridSpan w:val="21"/>
          </w:tcPr>
          <w:p>
            <w:pPr>
              <w:spacing w:after="0"/>
              <w:rPr>
                <w:sz w:val="15"/>
                <w:szCs w:val="15"/>
                <w:color w:val="auto"/>
              </w:rPr>
            </w:pP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7"/>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8020" w:type="dxa"/>
            <w:vAlign w:val="bottom"/>
            <w:tcBorders>
              <w:bottom w:val="single" w:sz="8" w:color="EEEEEE"/>
            </w:tcBorders>
            <w:gridSpan w:val="16"/>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8380" w:type="dxa"/>
            <w:vAlign w:val="bottom"/>
            <w:tcBorders>
              <w:bottom w:val="single" w:sz="8" w:color="EEEEEE"/>
            </w:tcBorders>
            <w:gridSpan w:val="19"/>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Borders>
              <w:bottom w:val="single" w:sz="8" w:color="0000EE"/>
            </w:tcBorders>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6560" w:type="dxa"/>
            <w:vAlign w:val="bottom"/>
            <w:tcBorders>
              <w:bottom w:val="single" w:sz="8" w:color="EEEEEE"/>
            </w:tcBorders>
            <w:gridSpan w:val="9"/>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640" w:type="dxa"/>
            <w:vAlign w:val="bottom"/>
            <w:tcBorders>
              <w:bottom w:val="single" w:sz="8" w:color="EEEEEE"/>
            </w:tcBorders>
            <w:gridSpan w:val="29"/>
            <w:shd w:val="clear" w:color="auto" w:fill="EEEEEE"/>
          </w:tcPr>
          <w:p>
            <w:pPr>
              <w:spacing w:after="0"/>
              <w:rPr>
                <w:sz w:val="17"/>
                <w:szCs w:val="17"/>
                <w:color w:val="auto"/>
              </w:rPr>
            </w:pPr>
          </w:p>
        </w:tc>
        <w:tc>
          <w:tcPr>
            <w:tcW w:w="160" w:type="dxa"/>
            <w:vAlign w:val="bottom"/>
            <w:tcBorders>
              <w:bottom w:val="single" w:sz="8" w:color="EEEEEE"/>
            </w:tcBorders>
            <w:gridSpan w:val="2"/>
            <w:shd w:val="clear" w:color="auto" w:fill="EEEEEE"/>
          </w:tcPr>
          <w:p>
            <w:pPr>
              <w:spacing w:after="0"/>
              <w:rPr>
                <w:sz w:val="17"/>
                <w:szCs w:val="17"/>
                <w:color w:val="auto"/>
              </w:rPr>
            </w:pPr>
          </w:p>
        </w:tc>
        <w:tc>
          <w:tcPr>
            <w:tcW w:w="180" w:type="dxa"/>
            <w:vAlign w:val="bottom"/>
            <w:tcBorders>
              <w:bottom w:val="single" w:sz="8" w:color="0000EE"/>
            </w:tcBorders>
            <w:gridSpan w:val="2"/>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900" w:type="dxa"/>
            <w:vAlign w:val="bottom"/>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340" w:type="dxa"/>
            <w:vAlign w:val="bottom"/>
            <w:gridSpan w:val="4"/>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900" w:type="dxa"/>
            <w:vAlign w:val="bottom"/>
            <w:gridSpan w:val="33"/>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gridSpan w:val="4"/>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0000EE"/>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0000EE"/>
            </w:tcBorders>
            <w:shd w:val="clear" w:color="auto" w:fill="EEEEEE"/>
          </w:tcPr>
          <w:p>
            <w:pPr>
              <w:spacing w:after="0" w:line="20" w:lineRule="exact"/>
              <w:rPr>
                <w:sz w:val="1"/>
                <w:szCs w:val="1"/>
                <w:color w:val="auto"/>
              </w:rPr>
            </w:pPr>
          </w:p>
        </w:tc>
        <w:tc>
          <w:tcPr>
            <w:tcW w:w="74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0000EE"/>
            </w:tcBorders>
            <w:shd w:val="clear" w:color="auto" w:fill="EEEEEE"/>
          </w:tcPr>
          <w:p>
            <w:pPr>
              <w:spacing w:after="0" w:line="20" w:lineRule="exact"/>
              <w:rPr>
                <w:sz w:val="1"/>
                <w:szCs w:val="1"/>
                <w:color w:val="auto"/>
              </w:rPr>
            </w:pPr>
          </w:p>
        </w:tc>
        <w:tc>
          <w:tcPr>
            <w:tcW w:w="200" w:type="dxa"/>
            <w:vAlign w:val="bottom"/>
            <w:tcBorders>
              <w:top w:val="single" w:sz="8" w:color="0000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620" w:type="dxa"/>
            <w:vAlign w:val="bottom"/>
            <w:tcBorders>
              <w:top w:val="single" w:sz="8" w:color="EEEEEE"/>
            </w:tcBorders>
            <w:shd w:val="clear" w:color="auto" w:fill="EEEEEE"/>
          </w:tcPr>
          <w:p>
            <w:pPr>
              <w:spacing w:after="0" w:line="20" w:lineRule="exact"/>
              <w:rPr>
                <w:sz w:val="1"/>
                <w:szCs w:val="1"/>
                <w:color w:val="auto"/>
              </w:rPr>
            </w:pPr>
          </w:p>
        </w:tc>
        <w:tc>
          <w:tcPr>
            <w:tcW w:w="44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6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06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w w:val="99"/>
              </w:rPr>
              <w:t>AUDITORS, TRANSFER AGENT AND REGISTRAR</w:t>
            </w:r>
          </w:p>
        </w:tc>
        <w:tc>
          <w:tcPr>
            <w:tcW w:w="6840" w:type="dxa"/>
            <w:vAlign w:val="bottom"/>
            <w:gridSpan w:val="11"/>
          </w:tcPr>
          <w:p>
            <w:pPr>
              <w:spacing w:after="0"/>
              <w:rPr>
                <w:sz w:val="15"/>
                <w:szCs w:val="15"/>
                <w:color w:val="auto"/>
              </w:rPr>
            </w:pPr>
          </w:p>
        </w:tc>
        <w:tc>
          <w:tcPr>
            <w:tcW w:w="16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0000EE"/>
                <w:w w:val="88"/>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document consists of two parts. The first part is this Prospectus Supplement, which describes certain terms of the Registrable Common Shares that are being offered pursuant to this Prospectus Supplement and also adds to and updates certain information contained in the Base Shelf Prospectus and the documents incorporated by reference therein. The second part, the Base Shelf Prospectus, gives more general information, some of which may not apply to the Registrable Common Shares offered hereunder. Defined terms or abbreviations used in this Prospectus Supplement that are not defined herein shall have the meanings ascribed thereto in the Base Shelf Prospectus.</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Investors should rely only on the information contained or incorporated by reference in this Prospectus Supplement and the Base Shelf Prospectus. The Corporation has not authorized anyone to provide investors with different or additional information. The Registrable Common Shares are not being offered or sold in any jurisdiction where the offer or sale is not permitted. Investors should not assume that the information appearing in this Prospectus Supplement, the Base Shelf Prospectus or any documents incorporated by reference herein or therein, is accurate as of any date other than the date indicated in those documents, as the Corporation's business, operating results, financial condition and prospects may have changed since such date. Before an investment is made, an investor should carefully read this Prospectus Supplement, the accompanying Base Shelf Prospectus and all information incorporated by reference herein and therein. These documents contain information that should be considered when making an investment decision.</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filed the Base Shelf Prospectus with the securities commissions in all Canadian provinces and territories (the "</w:t>
      </w:r>
      <w:r>
        <w:rPr>
          <w:rFonts w:ascii="Times New Roman" w:cs="Times New Roman" w:eastAsia="Times New Roman" w:hAnsi="Times New Roman"/>
          <w:sz w:val="22"/>
          <w:szCs w:val="22"/>
          <w:b w:val="1"/>
          <w:bCs w:val="1"/>
          <w:color w:val="auto"/>
        </w:rPr>
        <w:t>Canadian Qualifying Jurisdictions</w:t>
      </w:r>
      <w:r>
        <w:rPr>
          <w:rFonts w:ascii="Times New Roman" w:cs="Times New Roman" w:eastAsia="Times New Roman" w:hAnsi="Times New Roman"/>
          <w:sz w:val="22"/>
          <w:szCs w:val="22"/>
          <w:color w:val="auto"/>
        </w:rPr>
        <w:t xml:space="preserve">") in order to qualify the offering of the securities described in the Base Shelf Prospectus in accordance with National Instrument 44-102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The Ontario Securities Commission issued a receipt dated September 17, 2025, in respect of the final Base Shelf Prospectus as the principal regulatory authority under Multilateral Instrument 11-102 </w:t>
      </w:r>
      <w:r>
        <w:rPr>
          <w:rFonts w:ascii="Times New Roman" w:cs="Times New Roman" w:eastAsia="Times New Roman" w:hAnsi="Times New Roman"/>
          <w:sz w:val="22"/>
          <w:szCs w:val="22"/>
          <w:i w:val="1"/>
          <w:iCs w:val="1"/>
          <w:color w:val="auto"/>
        </w:rPr>
        <w:t>Passport System</w:t>
      </w:r>
      <w:r>
        <w:rPr>
          <w:rFonts w:ascii="Times New Roman" w:cs="Times New Roman" w:eastAsia="Times New Roman" w:hAnsi="Times New Roman"/>
          <w:sz w:val="22"/>
          <w:szCs w:val="22"/>
          <w:color w:val="auto"/>
        </w:rPr>
        <w:t xml:space="preserve">, and each of the other commissions in the Canadian Qualifying Jurisdictions is deemed to have issued a receipt under National Policy 11-202 </w:t>
      </w:r>
      <w:r>
        <w:rPr>
          <w:rFonts w:ascii="Times New Roman" w:cs="Times New Roman" w:eastAsia="Times New Roman" w:hAnsi="Times New Roman"/>
          <w:sz w:val="22"/>
          <w:szCs w:val="22"/>
          <w:i w:val="1"/>
          <w:iCs w:val="1"/>
          <w:color w:val="auto"/>
        </w:rPr>
        <w:t>Process for Prospectus Review in Multiple Jurisdictions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Base Shelf Prospectus also forms part of the Registration Statement on Form F-10 (File No. 333-289139), which was initially filed with the SEC, under the U.S. Securities Act on July 31, 2025, as amended on September 17, 2025, utilizing the MJDS. The Registration Statement became automatically effective upon filing of the Amendment pursuant to Rule 467(a) of the U.S. Securities Act on September 17, 2025. The Registration Statement incorporates the Base Shelf Prospectus with certain modifications and deletions permitted by Form F-10 and the rules and regulations of the SEC. This Prospectus Supplement is being filed by the Corporation, with certain modifications and deletions permitted by Form F-10, with the SEC in accordance with the instructions to Form F-10.</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Unless otherwise indicated, or the context otherwise indicates or requires, all references in this Prospectus Supplement to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mean Cybin Inc. and its subsidiaries and associated corporations</w:t>
      </w:r>
      <w:r>
        <w:rPr>
          <w:rFonts w:ascii="Times New Roman" w:cs="Times New Roman" w:eastAsia="Times New Roman" w:hAnsi="Times New Roman"/>
          <w:sz w:val="22"/>
          <w:szCs w:val="22"/>
          <w:i w:val="1"/>
          <w:iCs w:val="1"/>
          <w:color w:val="auto"/>
        </w:rPr>
        <w:t>.</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Prospectus Supplement is deemed to be incorporated by reference in the Base Shelf Prospectus solely for the purposes of the Offering. Other documents are also incorporated or deemed to be incorporated by reference in this Prospectus Supplement and in the Base Shelf Prospectus. See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STATEMENT REGARDING FORWARD-LOOKING INFORMATION</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Certain statements contained in this Prospectus Supplement, the Base Shelf Prospectus and in certain documents incorporated by reference herein and therein, contain information that constitutes "forward-looking information" and "forward-looking statements," within the meaning of applicable securities laws (collectively, "</w:t>
      </w:r>
      <w:r>
        <w:rPr>
          <w:rFonts w:ascii="Times New Roman" w:cs="Times New Roman" w:eastAsia="Times New Roman" w:hAnsi="Times New Roman"/>
          <w:sz w:val="22"/>
          <w:szCs w:val="22"/>
          <w:b w:val="1"/>
          <w:bCs w:val="1"/>
          <w:color w:val="auto"/>
        </w:rPr>
        <w:t>forward-looking statements</w:t>
      </w:r>
      <w:r>
        <w:rPr>
          <w:rFonts w:ascii="Times New Roman" w:cs="Times New Roman" w:eastAsia="Times New Roman" w:hAnsi="Times New Roman"/>
          <w:sz w:val="22"/>
          <w:szCs w:val="22"/>
          <w:color w:val="auto"/>
        </w:rPr>
        <w:t>").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 xml:space="preserve"> in the Annual Information Form (as defined herein) and in this Prospectus Supplement and in other documents incorporated by reference herein.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Supplement, the Base Shelf Prospectus and in documents incorporated by reference herein and therein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Supplement or the Base Shelf Prospectus, as applicable, and the Corporation assumes no obligation to update or revise them to reflect subsequent information, events or circumstances or otherwise, except as required by law.</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Supplement, the Base Shelf Prospectus and in documents incorporated by reference herein and therein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5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Some of the risks which could affect future results and could cause results to differ materially from those expressed in the forward-looking statements contained 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decriminalization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the Offering; an investment in the Registrable Common Shares is highly speculative; negative operating cash flow; discretion in the use of proceeds; need for additional financing; potential dilution; trading market; significant sales of Common Shares; positive return not guaranteed; application and interpretation of tax laws; enforcement of civil liabilities; and the Corporation's expectation that it will be a "passive foreign investment company".</w:t>
      </w:r>
    </w:p>
    <w:p>
      <w:pPr>
        <w:spacing w:after="0" w:line="3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Although the forward-looking statements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left="660" w:hanging="331"/>
        <w:spacing w:after="0" w:line="242"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hanging="331"/>
        <w:spacing w:after="0" w:line="230"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31"/>
        <w:spacing w:after="0" w:line="230"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right="20" w:hanging="331"/>
        <w:spacing w:after="0" w:line="230"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ind w:left="660" w:right="20" w:hanging="331"/>
        <w:spacing w:after="0" w:line="230"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51"/>
        <w:spacing w:after="0" w:line="230" w:lineRule="auto"/>
        <w:tabs>
          <w:tab w:leader="none" w:pos="6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31"/>
        <w:spacing w:after="0" w:line="237" w:lineRule="auto"/>
        <w:tabs>
          <w:tab w:leader="none" w:pos="68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the United Kingdom, Canada, the Netherlands, Ireland and other jurisdictions in which the Corporation operates.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Supplement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Supplement,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Supplement and in any documents incorporated by reference herein.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Supplement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Prospectus, including the Annual Information Form, the documents incorporated by reference herein, and each applicable Prospectus Supplement, and consult their own professional advisers to ascertain and assess the income tax and legal risks and other aspects associated with holding securities of the 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is deemed to be incorporated by reference in the Base Shelf Prospectus solely for the purpose of the Offering.</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the date hereof, the following documents of the Corporation filed with the securities commissions or similar authorities in Canada, and filed with, or furnished to, the SEC, are specifically incorporated by reference into, and form an integral part of, this Prospectus Supplement:</w:t>
      </w:r>
    </w:p>
    <w:p>
      <w:pPr>
        <w:spacing w:after="0" w:line="129" w:lineRule="exact"/>
        <w:rPr>
          <w:sz w:val="20"/>
          <w:szCs w:val="20"/>
          <w:color w:val="auto"/>
        </w:rPr>
      </w:pPr>
    </w:p>
    <w:p>
      <w:pPr>
        <w:ind w:left="520" w:right="20" w:hanging="256"/>
        <w:spacing w:after="0" w:line="262" w:lineRule="auto"/>
        <w:tabs>
          <w:tab w:leader="none" w:pos="54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31"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26"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relating to the June 2025 Private Placement;</w:t>
      </w:r>
    </w:p>
    <w:p>
      <w:pPr>
        <w:spacing w:after="0" w:line="165"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meeting of shareholders of the Corporation held on August 18, 2025.</w:t>
      </w:r>
    </w:p>
    <w:p>
      <w:pPr>
        <w:spacing w:after="0" w:line="12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Any document of the type referred to in Section 11.1 of Form 44-101F1 - </w:t>
      </w:r>
      <w:r>
        <w:rPr>
          <w:rFonts w:ascii="Times New Roman" w:cs="Times New Roman" w:eastAsia="Times New Roman" w:hAnsi="Times New Roman"/>
          <w:sz w:val="22"/>
          <w:szCs w:val="22"/>
          <w:i w:val="1"/>
          <w:iCs w:val="1"/>
          <w:color w:val="auto"/>
        </w:rPr>
        <w:t>Short Form Prospectus Distributions</w:t>
      </w:r>
      <w:r>
        <w:rPr>
          <w:rFonts w:ascii="Times New Roman" w:cs="Times New Roman" w:eastAsia="Times New Roman" w:hAnsi="Times New Roman"/>
          <w:sz w:val="22"/>
          <w:szCs w:val="22"/>
          <w:color w:val="auto"/>
        </w:rPr>
        <w:t xml:space="preserve"> filed by the Corporation with a securities commission or similar regulatory authority in Canada subsequent to the date of this Prospectus Supplement and prior to the termination of this distribution shall be deemed to be incorporated by reference in the Prospectus Supplement for the purposes of the Offering. In addition, to the extent that any document or information incorporated by reference into this Prospectus Supplement is included in any report on Form 6-K or 40-F or the exhibits thereto filed or furnished, as applicable, by the Corporation with the SEC,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xml:space="preserve">"), from the date of this Prospectus Supplement and prior to the termination or completion of the Offering, such document or information shall be deemed to be incorporated by reference as exhibits to the Registration Statement of which this Prospectus Supplement and the Base Shelf Prospectus forms a part. In addition, the Corporation may incorporate by reference into the Registration Statement, of which this Prospectus Supplement and the Base Shelf Prospectus forms a part, other information from documents that the Corporation will file with or furnish to the SEC pursuant to Section 13(a) or 15(d) of the Exchange Act, if and to the extent expressly provided therein. The Corporation's current reports on Form 6-K and annual reports on Form 40-F are available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from the Corporation's EDGAR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The Corporation's filings through SEDAR+ and EDGAR are not incorporated by reference in the Prospectus except as specifically set out herein.</w:t>
      </w:r>
    </w:p>
    <w:p>
      <w:pPr>
        <w:spacing w:after="0" w:line="13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Supplement, the Base Shelf Prospectus or in a document incorporated or deemed to be incorporated by reference herein shall be deemed to be modified or superseded for the purposes of the Offering to the extent that a statement contained herein or in any subsequently filed document which also is or is deemed to be incorporated by reference in this Prospectus Supplement or the Base Shelf Prospectus modifies or supersedes that statement. Any statement so modified or superseded shall not constitute a part of this Prospectus Supplement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spacing w:after="0" w:line="235" w:lineRule="auto"/>
        <w:rPr>
          <w:sz w:val="20"/>
          <w:szCs w:val="20"/>
          <w:color w:val="auto"/>
        </w:rPr>
      </w:pPr>
      <w:r>
        <w:rPr>
          <w:rFonts w:ascii="Times New Roman" w:cs="Times New Roman" w:eastAsia="Times New Roman" w:hAnsi="Times New Roman"/>
          <w:sz w:val="22"/>
          <w:szCs w:val="22"/>
          <w:color w:val="auto"/>
        </w:rPr>
        <w:t>References to the Corporation's website in any documents that are incorporated by reference into this Prospectus Supplement and the Base Shelf Prospectus do not incorporate by reference the information on such website into this Prospectus Supplement and the Base Shelf Prospectus and the Corporation disclaims any such incorporation by reference. The Corporation has not provided or otherwise authorized any other person to provide investors with information other than that contained or incorporated by reference in this Prospectus Supplement or accompanying Base Shelf Prospectus, and the Corporation does not take any responsibility for other information that others may give an investor. If an investor is provided with different or inconsistent information, he or she should not rely on it.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addition to the documents specified in this Prospectus Supplement and in the accompanying Base Shelf Prospectus under "</w:t>
      </w:r>
      <w:r>
        <w:rPr>
          <w:rFonts w:ascii="Times New Roman" w:cs="Times New Roman" w:eastAsia="Times New Roman" w:hAnsi="Times New Roman"/>
          <w:sz w:val="22"/>
          <w:szCs w:val="22"/>
          <w:i w:val="1"/>
          <w:iCs w:val="1"/>
          <w:color w:val="auto"/>
        </w:rPr>
        <w:t>Documents Incorporated by Reference</w:t>
      </w:r>
      <w:r>
        <w:rPr>
          <w:rFonts w:ascii="Times New Roman" w:cs="Times New Roman" w:eastAsia="Times New Roman" w:hAnsi="Times New Roman"/>
          <w:sz w:val="22"/>
          <w:szCs w:val="22"/>
          <w:color w:val="auto"/>
        </w:rPr>
        <w:t>", the following documents have been or will be filed with the SEC as part of the Registration Statement: (i) powers of attorney from certain of the Corporation's directors and officers (included on the signature page of the Registration Statement); (ii) the consent of Zeifmans LLP; and (iii) the consent of the Corporation's Canadian counsel, Aird &amp; Berlis LLP.</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CURRENCY AND EXCHANGE RATE INFORMATION</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this Prospectus Supplement, unless otherwise indicated, all dollar amounts and references to "US$" are to U.S. dollars and references to "C$" and "$" are to Canadian dollars. This Prospectus Supplement contains translations of some Canadian dollar amounts into U.S. dollars solely for convenience.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following table sets forth, for the periods indicated, the high, low, average and period-end rates of exchange for US$1.00, expressed in Canadian dollars, posted by the Bank of Canada:</w:t>
      </w:r>
    </w:p>
    <w:p>
      <w:pPr>
        <w:spacing w:after="0" w:line="123"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5200" w:type="dxa"/>
            <w:vAlign w:val="bottom"/>
            <w:tcBorders>
              <w:bottom w:val="single" w:sz="8" w:color="E6EFFF"/>
            </w:tcBorders>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March 31, 2025</w:t>
            </w:r>
          </w:p>
        </w:tc>
      </w:tr>
      <w:tr>
        <w:trPr>
          <w:trHeight w:val="209"/>
        </w:trPr>
        <w:tc>
          <w:tcPr>
            <w:tcW w:w="520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26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C$1.4603</w:t>
            </w:r>
          </w:p>
        </w:tc>
      </w:tr>
      <w:tr>
        <w:trPr>
          <w:trHeight w:val="21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C$1.3460</w:t>
            </w:r>
          </w:p>
        </w:tc>
      </w:tr>
      <w:tr>
        <w:trPr>
          <w:trHeight w:val="216"/>
        </w:trPr>
        <w:tc>
          <w:tcPr>
            <w:tcW w:w="5200" w:type="dxa"/>
            <w:vAlign w:val="bottom"/>
            <w:shd w:val="clear" w:color="auto" w:fill="E6EFFF"/>
          </w:tcPr>
          <w:p>
            <w:pPr>
              <w:ind w:left="20"/>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26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C$1.3913</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C$1.4376</w:t>
            </w:r>
          </w:p>
        </w:tc>
      </w:tr>
    </w:tbl>
    <w:p>
      <w:pPr>
        <w:spacing w:after="0" w:line="13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On September 16, 2025, the daily average exchange rate posted by the Bank of Canada for conversion of U.S. dollars into Canadian dollars was US$1.00 = C$1.3748 (the “</w:t>
      </w:r>
      <w:r>
        <w:rPr>
          <w:rFonts w:ascii="Times New Roman" w:cs="Times New Roman" w:eastAsia="Times New Roman" w:hAnsi="Times New Roman"/>
          <w:sz w:val="22"/>
          <w:szCs w:val="22"/>
          <w:b w:val="1"/>
          <w:bCs w:val="1"/>
          <w:color w:val="auto"/>
        </w:rPr>
        <w:t>2025 Rate</w:t>
      </w:r>
      <w:r>
        <w:rPr>
          <w:rFonts w:ascii="Times New Roman" w:cs="Times New Roman" w:eastAsia="Times New Roman" w:hAnsi="Times New Roman"/>
          <w:sz w:val="22"/>
          <w:szCs w:val="22"/>
          <w:color w:val="auto"/>
        </w:rPr>
        <w:t>”). Unless otherwise indicated, currency translation in this Prospectus Supplement reflects the 2025 Rate.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INFORMATION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Corporation has filed with the SEC the Registration Statement under the U.S. Securities Act with respect to the Registrable Common Shares offered under this Prospectus Supplement. This Prospectus Supplement, the accompanying Base Shelf Prospectus and the documents incorporated by reference herein and therein, which form a part of the Registration Statement, do not contain all of the information set forth in the Registration Statement, certain parts of which are contained in the exhibits to the Registration Statement as permitted by the rules and regulations of the SEC. Information omitted from this Prospectus Supplement or the Base Shelf Prospectus but contained in the Registration Statement is available on EDGAR under the Corporation's profile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Reference is also made to the Registration Statement and the exhibits thereto for further information with respect to the Corporation, the Offering and the Registrable Common Shares. Statements contained in this Prospectus Supplement as to the contents of certain documents are not necessarily complete and, in each instance, reference is made to the copy of the document filed as an exhibit to the Registration Statement. Each such statement is qualified in its entirety by such reference.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required to file with the various securities commissions or similar authorities in all of the provinces and territories of Canada, annual and quarterly reports, material change reports and other information. The Corporation is also an SEC registrant subject to the informational requirements of the Exchange Act and, accordingly, files with, or furnishes to, the SEC certain reports and other information. Under MJDS, these reports and other information (including financial information) may be prepared in accordance with the disclosure requirements of Canada, which differ from those of the United States. As a foreign private issuer, the Corporation is exempt from the rules under the Exchange Act prescribing the furnishing and content of proxy statements, and the Corporation's officers, directors and principal shareholders are exempt from the reporting and short-swing profit recovery provisions contained in Section 16 of the Exchange Act.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an investor in deciding whether to invest in the Common Shares. An investor should read the entire Prospectus, including the section entitled "Risk Factors", the applicable Prospectus Supplement, and the documents incorporated by reference herein, including the Annual Information Form, before making such decision.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1</w:t>
      </w:r>
    </w:p>
    <w:p>
      <w:pPr>
        <w:spacing w:after="0" w:line="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2"/>
          <w:szCs w:val="22"/>
          <w:b w:val="1"/>
          <w:bCs w:val="1"/>
          <w:color w:val="auto"/>
        </w:rPr>
        <w:t>IP</w:t>
      </w:r>
      <w:r>
        <w:rPr>
          <w:rFonts w:ascii="Times New Roman" w:cs="Times New Roman" w:eastAsia="Times New Roman" w:hAnsi="Times New Roman"/>
          <w:sz w:val="22"/>
          <w:szCs w:val="22"/>
          <w:color w:val="auto"/>
        </w:rPr>
        <w:t>") focused on developing the Corporation's platform technology, the progression of clinical development programs including CYB003, a deuterated psilocin molecule, CYB004, a deuterated version of N, N-dimethyltryptamine ("</w:t>
      </w:r>
      <w:r>
        <w:rPr>
          <w:rFonts w:ascii="Times New Roman" w:cs="Times New Roman" w:eastAsia="Times New Roman" w:hAnsi="Times New Roman"/>
          <w:sz w:val="22"/>
          <w:szCs w:val="22"/>
          <w:b w:val="1"/>
          <w:bCs w:val="1"/>
          <w:color w:val="auto"/>
        </w:rPr>
        <w:t>DMT</w:t>
      </w:r>
      <w:r>
        <w:rPr>
          <w:rFonts w:ascii="Times New Roman" w:cs="Times New Roman" w:eastAsia="Times New Roman" w:hAnsi="Times New Roman"/>
          <w:sz w:val="22"/>
          <w:szCs w:val="22"/>
          <w:color w:val="auto"/>
        </w:rPr>
        <w:t>"), CYB005, phenethylamine and tryptamine derivatives, and an expansive list of preclinical molecules to facilitate future drug development opportunities.</w:t>
      </w:r>
    </w:p>
    <w:p>
      <w:pPr>
        <w:spacing w:after="0" w:line="1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(the "</w:t>
      </w:r>
      <w:r>
        <w:rPr>
          <w:rFonts w:ascii="Times New Roman" w:cs="Times New Roman" w:eastAsia="Times New Roman" w:hAnsi="Times New Roman"/>
          <w:sz w:val="22"/>
          <w:szCs w:val="22"/>
          <w:b w:val="1"/>
          <w:bCs w:val="1"/>
          <w:color w:val="auto"/>
        </w:rPr>
        <w:t>OBCA</w:t>
      </w:r>
      <w:r>
        <w:rPr>
          <w:rFonts w:ascii="Times New Roman" w:cs="Times New Roman" w:eastAsia="Times New Roman" w:hAnsi="Times New Roman"/>
          <w:sz w:val="22"/>
          <w:szCs w:val="22"/>
          <w:color w:val="auto"/>
        </w:rPr>
        <w:t>"), Small Pharma completed a horizontal amalgamation with Cybin Corp.,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Cybin Corp. being the resulting entity. As a result of this amalgamation, Cybin UK Ltd is now a wholly-owned subsidiary of Cybin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2357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98" w:lineRule="exact"/>
        <w:rPr>
          <w:sz w:val="20"/>
          <w:szCs w:val="20"/>
          <w:color w:val="auto"/>
        </w:rPr>
      </w:pPr>
    </w:p>
    <w:p>
      <w:pPr>
        <w:jc w:val="both"/>
        <w:ind w:firstLine="8"/>
        <w:spacing w:after="0" w:line="220" w:lineRule="auto"/>
        <w:tabs>
          <w:tab w:leader="none" w:pos="164"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both"/>
        <w:spacing w:after="0"/>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100 granted patents and over 250 pending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active pharmaceutical ingredients intended to be delivered through innovative drug</w:t>
      </w:r>
    </w:p>
    <w:p>
      <w:pPr>
        <w:spacing w:after="0"/>
        <w:rPr>
          <w:sz w:val="20"/>
          <w:szCs w:val="20"/>
          <w:color w:val="auto"/>
        </w:rPr>
      </w:pPr>
      <w:r>
        <w:rPr>
          <w:rFonts w:ascii="Times New Roman" w:cs="Times New Roman" w:eastAsia="Times New Roman" w:hAnsi="Times New Roman"/>
          <w:sz w:val="22"/>
          <w:szCs w:val="22"/>
          <w:color w:val="auto"/>
        </w:rPr>
        <w:t>delivery systems including via inhalation, via intravenous, and intramuscular, or subcutaneous administration.</w:t>
      </w:r>
      <w:r>
        <w:rPr>
          <w:rFonts w:ascii="Times New Roman" w:cs="Times New Roman" w:eastAsia="Times New Roman" w:hAnsi="Times New Roman"/>
          <w:sz w:val="35"/>
          <w:szCs w:val="35"/>
          <w:color w:val="auto"/>
          <w:vertAlign w:val="superscript"/>
        </w:rPr>
        <w:t>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8"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3</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3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and neurological conditions.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 Supplement.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Supplement, the Base Shelf Prospectus or the documents incorporated by reference herein, there have been no material developments in the business of the Corporation, since August 13, 2025, the date of the Corporation's most recently issued Interim Financial Statements and the Interim MD&amp;A.</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2357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70"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1.</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3</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4</w:t>
      </w:r>
      <w:r>
        <w:rPr>
          <w:rFonts w:ascii="Times New Roman" w:cs="Times New Roman" w:eastAsia="Times New Roman" w:hAnsi="Times New Roman"/>
          <w:sz w:val="21"/>
          <w:szCs w:val="21"/>
          <w:color w:val="auto"/>
        </w:rPr>
        <w:t xml:space="preserve"> See footnote 1.</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5</w:t>
      </w:r>
      <w:r>
        <w:rPr>
          <w:rFonts w:ascii="Times New Roman" w:cs="Times New Roman" w:eastAsia="Times New Roman" w:hAnsi="Times New Roman"/>
          <w:sz w:val="21"/>
          <w:szCs w:val="21"/>
          <w:color w:val="auto"/>
        </w:rPr>
        <w:t xml:space="preserve"> See footnote 1.</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6</w:t>
      </w:r>
      <w:r>
        <w:rPr>
          <w:rFonts w:ascii="Times New Roman" w:cs="Times New Roman" w:eastAsia="Times New Roman" w:hAnsi="Times New Roman"/>
          <w:sz w:val="22"/>
          <w:szCs w:val="22"/>
          <w:color w:val="auto"/>
        </w:rPr>
        <w:t xml:space="preserve"> See footnote 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7</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Supplement,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246380</wp:posOffset>
            </wp:positionV>
            <wp:extent cx="4406265" cy="2922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40626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COMMON SHARES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September 16, 2025, the Corporation had 25,188,217 Common Shares and nil preferred shares issued and outstanding.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xml:space="preserve">"). For a summary of certain material attributes and characteristics of the Common Shares, see </w:t>
      </w:r>
      <w:r>
        <w:rPr>
          <w:rFonts w:ascii="Times New Roman" w:cs="Times New Roman" w:eastAsia="Times New Roman" w:hAnsi="Times New Roman"/>
          <w:sz w:val="22"/>
          <w:szCs w:val="22"/>
          <w:i w:val="1"/>
          <w:iCs w:val="1"/>
          <w:color w:val="auto"/>
        </w:rPr>
        <w:t>"Description of the Securities Being Distributed - Common Shares"</w:t>
      </w:r>
      <w:r>
        <w:rPr>
          <w:rFonts w:ascii="Times New Roman" w:cs="Times New Roman" w:eastAsia="Times New Roman" w:hAnsi="Times New Roman"/>
          <w:sz w:val="22"/>
          <w:szCs w:val="22"/>
          <w:color w:val="auto"/>
        </w:rPr>
        <w:t xml:space="preserve"> in the Base Shelf Prospectus.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THE CONVERTIBLE DEBENTURES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connection with the June 2025 Private Placement, the Corporation issued the Convertible Debentures for gross proceeds to the Corporation of US$50,000,000. The Convertible Debentures have a two-year term from the closing date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Corporation shall incur guaranteed interest equal to 5.5% of the principal per annum for the Term. Such interest was pre-paid on closing. Upon the occurrence of an event of default, interest shall increase to a rate of 18% per annum on the outstanding principal balance.</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Subject to the terms of the Securities Purchase Agreement and the Convertible Debentures, the Selling Shareholder will be entitled to convert the principal amount of, and accrued and unpaid interest, if any, on each Convertible Debenture, in whole or in part, from time to time, into Common Shares at a conversion price per Common Share equal to the lower of (a) US$10.92, or (b) the VWAP of the Common Shares during the five trading days immediately prior to the date of conversion (together, the "</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2357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59" w:lineRule="exact"/>
        <w:rPr>
          <w:sz w:val="20"/>
          <w:szCs w:val="20"/>
          <w:color w:val="auto"/>
        </w:rPr>
      </w:pPr>
    </w:p>
    <w:p>
      <w:pPr>
        <w:ind w:left="5480" w:right="5280" w:hanging="5472"/>
        <w:spacing w:after="0" w:line="310" w:lineRule="auto"/>
        <w:tabs>
          <w:tab w:leader="none" w:pos="158" w:val="left"/>
        </w:tabs>
        <w:numPr>
          <w:ilvl w:val="0"/>
          <w:numId w:val="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There is no assurance that this timeline will be met. See footnote 1. 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spacing w:after="0"/>
        <w:rPr>
          <w:sz w:val="20"/>
          <w:szCs w:val="20"/>
          <w:color w:val="auto"/>
        </w:rPr>
      </w:pPr>
      <w:r>
        <w:rPr>
          <w:rFonts w:ascii="Times New Roman" w:cs="Times New Roman" w:eastAsia="Times New Roman" w:hAnsi="Times New Roman"/>
          <w:sz w:val="22"/>
          <w:szCs w:val="22"/>
          <w:color w:val="auto"/>
        </w:rPr>
        <w:t>The Corporation, in its sole discretion, may prepay any outstanding amount under the Convertible Debentures, in whole or in part, in cash by providing the Selling Shareholder with advance written notice prior to such prepayment. The prepayment shall include, (i) if paid during the first year after closing, a 5% prepayment premium on the amount of the prepayment or (ii) if paid thereafter, a 3% prepayment premium on the amount of the prepayment.</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terms of the Convertible Debentures restrict the conversion of Convertible Debentures by the Selling Shareholder if such a conversion or exercise would cause the Selling Shareholder, together with any affiliate thereof, to beneficially own in excess of 4.99% of the number of Common Shares outstanding immediately after giving effect to such conversion.</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Particulars concerning the Common Shares underlying the Convertible Debentures are set out under </w:t>
      </w:r>
      <w:r>
        <w:rPr>
          <w:rFonts w:ascii="Times New Roman" w:cs="Times New Roman" w:eastAsia="Times New Roman" w:hAnsi="Times New Roman"/>
          <w:sz w:val="22"/>
          <w:szCs w:val="22"/>
          <w:i w:val="1"/>
          <w:iCs w:val="1"/>
          <w:color w:val="auto"/>
        </w:rPr>
        <w:t>"Description of the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Shares".</w:t>
      </w:r>
    </w:p>
    <w:p>
      <w:pPr>
        <w:spacing w:after="0" w:line="11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June 30, 2025, in connection with the Securities Purchase Agreement, the Corporation and the Selling Shareholder also entered into a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has agreed to file and declared effective with the SEC a registration statement registering under the U.S. Securities Act the resale by the Selling Shareholder of up to 20,000,000 Common Shares issuable upon the conversion of the Convertible Debentures, no later than 15 calendar days following the closing date. The Corporation also granted to the Selling Shareholder certain demand rights for piggyback registration rights with respect to the Registrable Common Shares issuable upon the conversion of the Convertible Debentures.</w:t>
      </w:r>
    </w:p>
    <w:p>
      <w:pPr>
        <w:spacing w:after="0" w:line="1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To satisfy its obligations under the Registration Rights Agreement with respect to registering the Registrable Common Shares issuable upon conversion of the Convertible Debentures, the Corporation filed the Previous Prospectus Supplement to the 2023 Base Prospectus on July 14, 2025 with the securities commission or similar regulatory in each of the provinces and territories of Canada, and, in connection therewith, filed the U.S. Previous Prospectus Supplement to its Prior Registration Statement with the SEC.</w:t>
      </w:r>
    </w:p>
    <w:p>
      <w:pPr>
        <w:spacing w:after="0" w:line="15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Given the expiration of the 2023 Base Prospectus on September 17, 2025, the Corporation has filed with the securities commission or similar regulatory authority in each of the provinces and territories of Canada, a notice of withdrawal withdrawing the 2023 Base Prospectus effective as of the date hereof. This Prospectus Supplement replaces the Previous Prospectus Supplement in order to maintain the registration of the Offering of the Registrable Common Shares under the U.S. Securities Act, beyond the expiry date of the 2023 Base Prospectus under Canadian rules.</w:t>
      </w:r>
    </w:p>
    <w:p>
      <w:pPr>
        <w:spacing w:after="0" w:line="1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number of Registrable Common Shares that may actually be issued by the Corporation upon conversion of the Convertible Debentures may be fewer or greater than the number of Registrable Common Shares being qualified by this Prospectus Supplement. The number of Registrable Common Shares that may actually be acquired by the Selling Shareholder pursuant to the Convertible Debentures is not currently known given the variable Conversion Price.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83"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22"/>
          <w:szCs w:val="22"/>
          <w:color w:val="auto"/>
        </w:rPr>
        <w:t xml:space="preserve">There have been no material changes in the Corporation’s share or loan capitalization on a consolidated basis since the date of the Interim Financial Statements, other than as described further below under </w:t>
      </w:r>
      <w:r>
        <w:rPr>
          <w:rFonts w:ascii="Times New Roman" w:cs="Times New Roman" w:eastAsia="Times New Roman" w:hAnsi="Times New Roman"/>
          <w:sz w:val="22"/>
          <w:szCs w:val="22"/>
          <w:i w:val="1"/>
          <w:iCs w:val="1"/>
          <w:color w:val="auto"/>
        </w:rPr>
        <w:t>“Prior Sales”</w:t>
      </w:r>
      <w:r>
        <w:rPr>
          <w:rFonts w:ascii="Times New Roman" w:cs="Times New Roman" w:eastAsia="Times New Roman" w:hAnsi="Times New Roman"/>
          <w:sz w:val="22"/>
          <w:szCs w:val="22"/>
          <w:color w:val="auto"/>
        </w:rPr>
        <w: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70" w:lineRule="exact"/>
        <w:rPr>
          <w:sz w:val="20"/>
          <w:szCs w:val="20"/>
          <w:color w:val="auto"/>
        </w:rPr>
      </w:pPr>
    </w:p>
    <w:p>
      <w:pPr>
        <w:jc w:val="both"/>
        <w:ind w:left="80"/>
        <w:spacing w:after="0" w:line="239" w:lineRule="auto"/>
        <w:rPr>
          <w:sz w:val="20"/>
          <w:szCs w:val="20"/>
          <w:color w:val="auto"/>
        </w:rPr>
      </w:pPr>
      <w:r>
        <w:rPr>
          <w:rFonts w:ascii="Times New Roman" w:cs="Times New Roman" w:eastAsia="Times New Roman" w:hAnsi="Times New Roman"/>
          <w:sz w:val="22"/>
          <w:szCs w:val="22"/>
          <w:color w:val="auto"/>
        </w:rPr>
        <w:t>The proceeds from the sale or other disposition of the Registrable Common Shares covered by this Prospectus Supplement are solely for the account of the Selling Shareholder. Accordingly, the Corporation will not receive any proceeds from the sale or other disposition of the Registrable Common Shares by the Selling Shareholder. The net proceeds received from the sale or other disposition of the Registrable Common Shares by the Selling Shareholder, if any, is unknown.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SELLING SHAREHOLDER</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Registrable Common Shares covered by this Prospectus Supplement are those issued to the selling shareholder identified in the table below (the "</w:t>
      </w:r>
      <w:r>
        <w:rPr>
          <w:rFonts w:ascii="Times New Roman" w:cs="Times New Roman" w:eastAsia="Times New Roman" w:hAnsi="Times New Roman"/>
          <w:sz w:val="22"/>
          <w:szCs w:val="22"/>
          <w:b w:val="1"/>
          <w:bCs w:val="1"/>
          <w:color w:val="auto"/>
        </w:rPr>
        <w:t>Selling Shareholder</w:t>
      </w:r>
      <w:r>
        <w:rPr>
          <w:rFonts w:ascii="Times New Roman" w:cs="Times New Roman" w:eastAsia="Times New Roman" w:hAnsi="Times New Roman"/>
          <w:sz w:val="22"/>
          <w:szCs w:val="22"/>
          <w:color w:val="auto"/>
        </w:rPr>
        <w:t xml:space="preserve">") upon conversion of the Convertible Debentures originally issued to the Selling Shareholder pursuant to the Securities Purchase Agreement, in connection with the June 2025 Private Placement. For additional information regarding the June 2025 Private Placement, see the information provided in the Corporation's material change report dated July 9, 2025, relating to the June 2025 Private Placement, which is available on SEDAR+ at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and on EDGAR at </w:t>
      </w:r>
      <w:r>
        <w:rPr>
          <w:rFonts w:ascii="Times New Roman" w:cs="Times New Roman" w:eastAsia="Times New Roman" w:hAnsi="Times New Roman"/>
          <w:sz w:val="22"/>
          <w:szCs w:val="22"/>
          <w:u w:val="single" w:color="auto"/>
          <w:color w:val="auto"/>
        </w:rPr>
        <w:t>www.sec.gov/edgar</w:t>
      </w:r>
      <w:r>
        <w:rPr>
          <w:rFonts w:ascii="Times New Roman" w:cs="Times New Roman" w:eastAsia="Times New Roman" w:hAnsi="Times New Roman"/>
          <w:sz w:val="22"/>
          <w:szCs w:val="22"/>
          <w:color w:val="auto"/>
        </w:rPr>
        <w:t>, and is incorporated by reference herein.</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 is registering the Registrable Common Shares, pursuant to its obligations under the Registration Rights Agreement, in order to permit the Selling Shareholder to offer up to 20,000,000 Registrable Common Shares for sale or other disposition from time to time in the United States. See </w:t>
      </w:r>
      <w:r>
        <w:rPr>
          <w:rFonts w:ascii="Times New Roman" w:cs="Times New Roman" w:eastAsia="Times New Roman" w:hAnsi="Times New Roman"/>
          <w:sz w:val="22"/>
          <w:szCs w:val="22"/>
          <w:i w:val="1"/>
          <w:iCs w:val="1"/>
          <w:color w:val="auto"/>
        </w:rPr>
        <w:t>"Description of the Convertible Debentures"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This Prospectus</w:t>
      </w: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Supplement has not been filed in respect of, and will not qualify, any distribution of the Registrable Common Shares, in Ontario or in any other province or territory of Canada at any time.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Except for the ownership of Registrable Common Shares, the Selling Shareholder has not had any material relationship with the Corporation or any associate or affiliate of a principal holder of voting securities of the Corporation within the past three years.</w:t>
      </w:r>
    </w:p>
    <w:p>
      <w:pPr>
        <w:spacing w:after="0" w:line="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following table is based in part on information supplied to the Corporation by the Selling Shareholder. The table and footnote assume that the Selling Shareholder will sell all of the Registrable Common Shares listed. However, because the Selling Shareholder may sell all or some of their Registrable Common Shares under this Prospectus Supplement from time to time, or in another permitted manner, the Corporation cannot assure the actual number of Registrable Common Shares that will be sold by the Selling Shareholder or that will be held by the Selling Shareholder after completion of any sales. The Corporation does not know how long the Selling Shareholder will hold the Registrable Common Shares before selling them.</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table below identifies the Selling Shareholder and provides other information regarding the beneficial ownership of the Registrable Common Shares by the Selling Shareholder, as provided to the Corporation by the Selling Shareholder. The second and third columns list the number of Common Shares beneficially owned, controlled or directed by the Selling Shareholder, on a non-diluted and fully diluted basis, as of September 16, 2025. The fifth column lists the Registrable Common Shares covered by this Prospectus Supplement that may be sold or otherwise disposed of by the Selling Shareholder.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8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Type of</w:t>
            </w:r>
          </w:p>
        </w:tc>
        <w:tc>
          <w:tcPr>
            <w:tcW w:w="22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1680" w:type="dxa"/>
            <w:vAlign w:val="bottom"/>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Number and</w:t>
            </w: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18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440" w:type="dxa"/>
            <w:vAlign w:val="bottom"/>
            <w:vMerge w:val="continue"/>
          </w:tcPr>
          <w:p>
            <w:pPr>
              <w:spacing w:after="0"/>
              <w:rPr>
                <w:sz w:val="10"/>
                <w:szCs w:val="10"/>
                <w:color w:val="auto"/>
              </w:rPr>
            </w:pPr>
          </w:p>
        </w:tc>
        <w:tc>
          <w:tcPr>
            <w:tcW w:w="22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Registrable Common</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95"/>
        </w:trPr>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Selling</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84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2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84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Owned on a Fully</w:t>
            </w:r>
          </w:p>
        </w:tc>
        <w:tc>
          <w:tcPr>
            <w:tcW w:w="1440" w:type="dxa"/>
            <w:vAlign w:val="bottom"/>
            <w:vMerge w:val="continue"/>
          </w:tcPr>
          <w:p>
            <w:pPr>
              <w:spacing w:after="0"/>
              <w:rPr>
                <w:sz w:val="10"/>
                <w:szCs w:val="10"/>
                <w:color w:val="auto"/>
              </w:rPr>
            </w:pPr>
          </w:p>
        </w:tc>
        <w:tc>
          <w:tcPr>
            <w:tcW w:w="22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to be Sold</w:t>
            </w:r>
          </w:p>
        </w:tc>
        <w:tc>
          <w:tcPr>
            <w:tcW w:w="168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0" w:type="dxa"/>
            <w:vAlign w:val="bottom"/>
          </w:tcPr>
          <w:p>
            <w:pPr>
              <w:spacing w:after="0"/>
              <w:rPr>
                <w:sz w:val="1"/>
                <w:szCs w:val="1"/>
                <w:color w:val="auto"/>
              </w:rPr>
            </w:pPr>
          </w:p>
        </w:tc>
      </w:tr>
      <w:tr>
        <w:trPr>
          <w:trHeight w:val="95"/>
        </w:trPr>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 to the</w:t>
            </w:r>
          </w:p>
        </w:tc>
        <w:tc>
          <w:tcPr>
            <w:tcW w:w="184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(Legal or</w:t>
            </w:r>
          </w:p>
        </w:tc>
        <w:tc>
          <w:tcPr>
            <w:tcW w:w="22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0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8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Diluted Basis Prior</w:t>
            </w:r>
          </w:p>
        </w:tc>
        <w:tc>
          <w:tcPr>
            <w:tcW w:w="1440" w:type="dxa"/>
            <w:vAlign w:val="bottom"/>
            <w:vMerge w:val="continue"/>
          </w:tcPr>
          <w:p>
            <w:pPr>
              <w:spacing w:after="0"/>
              <w:rPr>
                <w:sz w:val="10"/>
                <w:szCs w:val="10"/>
                <w:color w:val="auto"/>
              </w:rPr>
            </w:pPr>
          </w:p>
        </w:tc>
        <w:tc>
          <w:tcPr>
            <w:tcW w:w="224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Pursuant to this</w:t>
            </w:r>
          </w:p>
        </w:tc>
        <w:tc>
          <w:tcPr>
            <w:tcW w:w="168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Owned After the</w:t>
            </w: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840" w:type="dxa"/>
            <w:vAlign w:val="bottom"/>
            <w:vMerge w:val="continue"/>
          </w:tcPr>
          <w:p>
            <w:pPr>
              <w:spacing w:after="0"/>
              <w:rPr>
                <w:sz w:val="8"/>
                <w:szCs w:val="8"/>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224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8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the Offering</w:t>
            </w:r>
          </w:p>
        </w:tc>
        <w:tc>
          <w:tcPr>
            <w:tcW w:w="1440" w:type="dxa"/>
            <w:vAlign w:val="bottom"/>
            <w:vMerge w:val="continue"/>
          </w:tcPr>
          <w:p>
            <w:pPr>
              <w:spacing w:after="0"/>
              <w:rPr>
                <w:sz w:val="12"/>
                <w:szCs w:val="12"/>
                <w:color w:val="auto"/>
              </w:rPr>
            </w:pPr>
          </w:p>
        </w:tc>
        <w:tc>
          <w:tcPr>
            <w:tcW w:w="22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680" w:type="dxa"/>
            <w:vAlign w:val="bottom"/>
            <w:vMerge w:val="restart"/>
          </w:tcPr>
          <w:p>
            <w:pPr>
              <w:jc w:val="center"/>
              <w:spacing w:after="0" w:line="275" w:lineRule="exact"/>
              <w:rPr>
                <w:sz w:val="20"/>
                <w:szCs w:val="20"/>
                <w:color w:val="auto"/>
              </w:rPr>
            </w:pPr>
            <w:r>
              <w:rPr>
                <w:rFonts w:ascii="Times New Roman" w:cs="Times New Roman" w:eastAsia="Times New Roman" w:hAnsi="Times New Roman"/>
                <w:sz w:val="31"/>
                <w:szCs w:val="31"/>
                <w:b w:val="1"/>
                <w:bCs w:val="1"/>
                <w:color w:val="auto"/>
                <w:w w:val="94"/>
                <w:vertAlign w:val="subscript"/>
              </w:rPr>
              <w:t>Offering</w:t>
            </w:r>
            <w:r>
              <w:rPr>
                <w:rFonts w:ascii="Times New Roman" w:cs="Times New Roman" w:eastAsia="Times New Roman" w:hAnsi="Times New Roman"/>
                <w:sz w:val="14"/>
                <w:szCs w:val="14"/>
                <w:b w:val="1"/>
                <w:bCs w:val="1"/>
                <w:color w:val="auto"/>
                <w:w w:val="94"/>
              </w:rPr>
              <w:t>(1)(2)(3)</w:t>
            </w:r>
          </w:p>
        </w:tc>
        <w:tc>
          <w:tcPr>
            <w:tcW w:w="0" w:type="dxa"/>
            <w:vAlign w:val="bottom"/>
          </w:tcPr>
          <w:p>
            <w:pPr>
              <w:spacing w:after="0"/>
              <w:rPr>
                <w:sz w:val="1"/>
                <w:szCs w:val="1"/>
                <w:color w:val="auto"/>
              </w:rPr>
            </w:pPr>
          </w:p>
        </w:tc>
      </w:tr>
      <w:tr>
        <w:trPr>
          <w:trHeight w:val="135"/>
        </w:trPr>
        <w:tc>
          <w:tcPr>
            <w:tcW w:w="230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vMerge w:val="continue"/>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vMerge w:val="continue"/>
          </w:tcPr>
          <w:p>
            <w:pPr>
              <w:spacing w:after="0"/>
              <w:rPr>
                <w:sz w:val="11"/>
                <w:szCs w:val="11"/>
                <w:color w:val="auto"/>
              </w:rPr>
            </w:pPr>
          </w:p>
        </w:tc>
        <w:tc>
          <w:tcPr>
            <w:tcW w:w="1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300" w:type="dxa"/>
            <w:vAlign w:val="bottom"/>
            <w:shd w:val="clear" w:color="auto" w:fill="E6EF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High Trail Special Situations</w:t>
            </w:r>
          </w:p>
        </w:tc>
        <w:tc>
          <w:tcPr>
            <w:tcW w:w="174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1840" w:type="dxa"/>
            <w:vAlign w:val="bottom"/>
            <w:vMerge w:val="restart"/>
            <w:shd w:val="clear" w:color="auto" w:fill="E6EFFF"/>
          </w:tcPr>
          <w:p>
            <w:pPr>
              <w:jc w:val="center"/>
              <w:ind w:right="90"/>
              <w:spacing w:after="0"/>
              <w:rPr>
                <w:sz w:val="20"/>
                <w:szCs w:val="20"/>
                <w:color w:val="auto"/>
              </w:rPr>
            </w:pPr>
            <w:r>
              <w:rPr>
                <w:rFonts w:ascii="Times New Roman" w:cs="Times New Roman" w:eastAsia="Times New Roman" w:hAnsi="Times New Roman"/>
                <w:sz w:val="18"/>
                <w:szCs w:val="18"/>
                <w:color w:val="auto"/>
                <w:w w:val="95"/>
              </w:rPr>
              <w:t>Nil</w:t>
            </w:r>
          </w:p>
        </w:tc>
        <w:tc>
          <w:tcPr>
            <w:tcW w:w="144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Legal</w:t>
            </w:r>
          </w:p>
        </w:tc>
        <w:tc>
          <w:tcPr>
            <w:tcW w:w="2240" w:type="dxa"/>
            <w:vAlign w:val="bottom"/>
            <w:vMerge w:val="restart"/>
            <w:shd w:val="clear" w:color="auto" w:fill="E6EFFF"/>
          </w:tcPr>
          <w:p>
            <w:pPr>
              <w:jc w:val="center"/>
              <w:ind w:left="70"/>
              <w:spacing w:after="0"/>
              <w:rPr>
                <w:sz w:val="20"/>
                <w:szCs w:val="20"/>
                <w:color w:val="auto"/>
              </w:rPr>
            </w:pPr>
            <w:r>
              <w:rPr>
                <w:rFonts w:ascii="Times New Roman" w:cs="Times New Roman" w:eastAsia="Times New Roman" w:hAnsi="Times New Roman"/>
                <w:sz w:val="18"/>
                <w:szCs w:val="18"/>
                <w:color w:val="auto"/>
                <w:w w:val="98"/>
              </w:rPr>
              <w:t>20,000,000</w:t>
            </w:r>
          </w:p>
        </w:tc>
        <w:tc>
          <w:tcPr>
            <w:tcW w:w="1680" w:type="dxa"/>
            <w:vAlign w:val="bottom"/>
            <w:vMerge w:val="restart"/>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Nil</w:t>
            </w:r>
          </w:p>
        </w:tc>
        <w:tc>
          <w:tcPr>
            <w:tcW w:w="0" w:type="dxa"/>
            <w:vAlign w:val="bottom"/>
          </w:tcPr>
          <w:p>
            <w:pPr>
              <w:spacing w:after="0"/>
              <w:rPr>
                <w:sz w:val="1"/>
                <w:szCs w:val="1"/>
                <w:color w:val="auto"/>
              </w:rPr>
            </w:pPr>
          </w:p>
        </w:tc>
      </w:tr>
      <w:tr>
        <w:trPr>
          <w:trHeight w:val="136"/>
        </w:trPr>
        <w:tc>
          <w:tcPr>
            <w:tcW w:w="2300" w:type="dxa"/>
            <w:vAlign w:val="bottom"/>
            <w:vMerge w:val="restart"/>
            <w:shd w:val="clear" w:color="auto" w:fill="E6EFFF"/>
          </w:tcPr>
          <w:p>
            <w:pPr>
              <w:jc w:val="center"/>
              <w:spacing w:after="0" w:line="271" w:lineRule="exact"/>
              <w:rPr>
                <w:sz w:val="20"/>
                <w:szCs w:val="20"/>
                <w:color w:val="auto"/>
              </w:rPr>
            </w:pPr>
            <w:r>
              <w:rPr>
                <w:rFonts w:ascii="Times New Roman" w:cs="Times New Roman" w:eastAsia="Times New Roman" w:hAnsi="Times New Roman"/>
                <w:sz w:val="18"/>
                <w:szCs w:val="18"/>
                <w:color w:val="auto"/>
                <w:w w:val="91"/>
              </w:rPr>
              <w:t>LLC</w:t>
            </w:r>
            <w:r>
              <w:rPr>
                <w:rFonts w:ascii="Times New Roman" w:cs="Times New Roman" w:eastAsia="Times New Roman" w:hAnsi="Times New Roman"/>
                <w:sz w:val="29"/>
                <w:szCs w:val="29"/>
                <w:color w:val="auto"/>
                <w:w w:val="91"/>
                <w:vertAlign w:val="superscript"/>
              </w:rPr>
              <w:t>(3)</w:t>
            </w:r>
          </w:p>
        </w:tc>
        <w:tc>
          <w:tcPr>
            <w:tcW w:w="1740" w:type="dxa"/>
            <w:vAlign w:val="bottom"/>
            <w:vMerge w:val="continue"/>
            <w:shd w:val="clear" w:color="auto" w:fill="E6EFFF"/>
          </w:tcPr>
          <w:p>
            <w:pPr>
              <w:spacing w:after="0"/>
              <w:rPr>
                <w:sz w:val="11"/>
                <w:szCs w:val="11"/>
                <w:color w:val="auto"/>
              </w:rPr>
            </w:pPr>
          </w:p>
        </w:tc>
        <w:tc>
          <w:tcPr>
            <w:tcW w:w="1840" w:type="dxa"/>
            <w:vAlign w:val="bottom"/>
            <w:vMerge w:val="continue"/>
            <w:shd w:val="clear" w:color="auto" w:fill="E6EFFF"/>
          </w:tcPr>
          <w:p>
            <w:pPr>
              <w:spacing w:after="0"/>
              <w:rPr>
                <w:sz w:val="11"/>
                <w:szCs w:val="11"/>
                <w:color w:val="auto"/>
              </w:rPr>
            </w:pPr>
          </w:p>
        </w:tc>
        <w:tc>
          <w:tcPr>
            <w:tcW w:w="1440" w:type="dxa"/>
            <w:vAlign w:val="bottom"/>
            <w:vMerge w:val="continue"/>
            <w:shd w:val="clear" w:color="auto" w:fill="E6EFFF"/>
          </w:tcPr>
          <w:p>
            <w:pPr>
              <w:spacing w:after="0"/>
              <w:rPr>
                <w:sz w:val="11"/>
                <w:szCs w:val="11"/>
                <w:color w:val="auto"/>
              </w:rPr>
            </w:pPr>
          </w:p>
        </w:tc>
        <w:tc>
          <w:tcPr>
            <w:tcW w:w="2240" w:type="dxa"/>
            <w:vAlign w:val="bottom"/>
            <w:vMerge w:val="continue"/>
            <w:shd w:val="clear" w:color="auto" w:fill="E6EFFF"/>
          </w:tcPr>
          <w:p>
            <w:pPr>
              <w:spacing w:after="0"/>
              <w:rPr>
                <w:sz w:val="11"/>
                <w:szCs w:val="11"/>
                <w:color w:val="auto"/>
              </w:rPr>
            </w:pPr>
          </w:p>
        </w:tc>
        <w:tc>
          <w:tcPr>
            <w:tcW w:w="1680" w:type="dxa"/>
            <w:vAlign w:val="bottom"/>
            <w:vMerge w:val="continue"/>
            <w:shd w:val="clear" w:color="auto" w:fill="E6E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00" w:type="dxa"/>
            <w:vAlign w:val="bottom"/>
            <w:vMerge w:val="continue"/>
            <w:shd w:val="clear" w:color="auto" w:fill="E6EFFF"/>
          </w:tcPr>
          <w:p>
            <w:pPr>
              <w:spacing w:after="0"/>
              <w:rPr>
                <w:sz w:val="11"/>
                <w:szCs w:val="11"/>
                <w:color w:val="auto"/>
              </w:rPr>
            </w:pPr>
          </w:p>
        </w:tc>
        <w:tc>
          <w:tcPr>
            <w:tcW w:w="1740" w:type="dxa"/>
            <w:vAlign w:val="bottom"/>
            <w:shd w:val="clear" w:color="auto" w:fill="E6EFFF"/>
          </w:tcPr>
          <w:p>
            <w:pPr>
              <w:spacing w:after="0"/>
              <w:rPr>
                <w:sz w:val="11"/>
                <w:szCs w:val="11"/>
                <w:color w:val="auto"/>
              </w:rPr>
            </w:pPr>
          </w:p>
        </w:tc>
        <w:tc>
          <w:tcPr>
            <w:tcW w:w="1840" w:type="dxa"/>
            <w:vAlign w:val="bottom"/>
            <w:shd w:val="clear" w:color="auto" w:fill="E6EFFF"/>
          </w:tcPr>
          <w:p>
            <w:pPr>
              <w:spacing w:after="0"/>
              <w:rPr>
                <w:sz w:val="11"/>
                <w:szCs w:val="11"/>
                <w:color w:val="auto"/>
              </w:rPr>
            </w:pPr>
          </w:p>
        </w:tc>
        <w:tc>
          <w:tcPr>
            <w:tcW w:w="1440" w:type="dxa"/>
            <w:vAlign w:val="bottom"/>
            <w:shd w:val="clear" w:color="auto" w:fill="E6EFFF"/>
          </w:tcPr>
          <w:p>
            <w:pPr>
              <w:spacing w:after="0"/>
              <w:rPr>
                <w:sz w:val="11"/>
                <w:szCs w:val="11"/>
                <w:color w:val="auto"/>
              </w:rPr>
            </w:pPr>
          </w:p>
        </w:tc>
        <w:tc>
          <w:tcPr>
            <w:tcW w:w="2240" w:type="dxa"/>
            <w:vAlign w:val="bottom"/>
            <w:shd w:val="clear" w:color="auto" w:fill="E6EFFF"/>
          </w:tcPr>
          <w:p>
            <w:pPr>
              <w:spacing w:after="0"/>
              <w:rPr>
                <w:sz w:val="11"/>
                <w:szCs w:val="11"/>
                <w:color w:val="auto"/>
              </w:rPr>
            </w:pPr>
          </w:p>
        </w:tc>
        <w:tc>
          <w:tcPr>
            <w:tcW w:w="1680" w:type="dxa"/>
            <w:vAlign w:val="bottom"/>
            <w:shd w:val="clear" w:color="auto" w:fill="E6EFFF"/>
          </w:tcPr>
          <w:p>
            <w:pPr>
              <w:spacing w:after="0"/>
              <w:rPr>
                <w:sz w:val="11"/>
                <w:szCs w:val="1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840" w:hanging="400"/>
        <w:spacing w:after="0" w:line="241" w:lineRule="auto"/>
        <w:tabs>
          <w:tab w:leader="none" w:pos="87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Assuming the sale of all Registrable Common Shares by the Selling Shareholder during the 25-month period that the Base Shelf Prospectus, including any amendments thereto, remains effective.</w:t>
      </w:r>
    </w:p>
    <w:p>
      <w:pPr>
        <w:spacing w:after="0" w:line="1" w:lineRule="exact"/>
        <w:rPr>
          <w:rFonts w:ascii="Times New Roman" w:cs="Times New Roman" w:eastAsia="Times New Roman" w:hAnsi="Times New Roman"/>
          <w:sz w:val="22"/>
          <w:szCs w:val="22"/>
          <w:color w:val="auto"/>
        </w:rPr>
      </w:pPr>
    </w:p>
    <w:p>
      <w:pPr>
        <w:ind w:left="880" w:hanging="440"/>
        <w:spacing w:after="0" w:line="230" w:lineRule="auto"/>
        <w:tabs>
          <w:tab w:leader="none" w:pos="8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Also represents the number and percentage of Common Shares held on a fully diluted basis after the Offering.</w:t>
      </w:r>
    </w:p>
    <w:p>
      <w:pPr>
        <w:jc w:val="both"/>
        <w:ind w:left="840" w:hanging="400"/>
        <w:spacing w:after="0" w:line="242" w:lineRule="auto"/>
        <w:tabs>
          <w:tab w:leader="none" w:pos="87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 ownership includes an estimated 20,000,000 Registrable Common Shares issuable upon conversion of the Convertible Debentures, assuming (i) the conversion of all US$34,750,000 aggregate principal amount outstanding of the Convertible Debentures, pursuant to the terms of the Securities Purchase Agreement and the Convertible Debentures, and (ii) none of the limitations on conversion of the Convertible Debentures set forth in the Securities Purchase Agreement and the Convertible Debentures apply, and does not represent actual conversions. The number of Registrable Common Shares that may actually be acquired by the Selling Shareholder pursuant to the Convertible Debentures is not currently known given the variable Conversion Price. Pursuant to the terms of the Convertible Debentures, the Selling Shareholder may not convert Convertible Debentures into Common Shares in an amount that would result in Selling Shareholder (or its affiliates) beneficially owning more than 4.99% of the Common Shares outstanding immediately after giving effect to such conversion or receipt of shares. The number of Registrable Common Shares that may actually be issued by the Corporation upon conversion of the Convertible Debentures may be fewer or greater than the number of Registrable Common Shares being qualified by this Prospectus Supplement. Hudson Bay Capital Management LP, the investment manager of High Trail Special Situations LLC, has voting and investment power over the Convertible Debentures and the Registrable Common Shares issued upon conversion thereof. Sander Gerber is the managing member of Hudson Bay Capital GP LLC, which is the general partner of Hudson Bay Capital Management LP. Each of High Trail Special Situations LLC and Sander Gerber disclaims beneficial ownership over the Convertible Debentures and any Registrable Common Shares issued upon conversion thereof.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is registering the Registrable Common Shares in the United States to permit the resale of the Registrable Common Shares by the Selling Shareholder, from time to time in one or more transactions, after the date of this Prospectus Supplement. All costs, expenses and fees connected with the registration of the Registrable Common Shares will be borne by the Corporation. Any brokerage commissions, legal fees, and similar expenses connected with selling the Registrable Common Shares will be borne by the Selling Shareholder. The Corporation will not receive any of the proceeds from the sale by the Selling Shareholder of the Registrable Common Shares.</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Selling Shareholder, which, as used herein, includes donees, pledgees, transferees or other successors-in-interest, selling Registrable Common Shares or interests in Registrable Common Shares received after the date of this Prospectus Supplement from the Selling Shareholder as a gift, pledge, partnership distribution or other transfer, may, from time to time, sell, transfer or otherwise dispose of any or all of their Registrable Common Shares or interests in Registrable Common Shares on any stock exchange, market or trading facility on which the Registrable Common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Selling Shareholder may use any one or more of the following methods when disposing of Registrable Common Shares or interests therein:</w:t>
      </w:r>
    </w:p>
    <w:p>
      <w:pPr>
        <w:spacing w:after="0" w:line="158" w:lineRule="exact"/>
        <w:rPr>
          <w:sz w:val="20"/>
          <w:szCs w:val="20"/>
          <w:color w:val="auto"/>
        </w:rPr>
      </w:pPr>
    </w:p>
    <w:p>
      <w:pPr>
        <w:ind w:left="660" w:right="2360"/>
        <w:spacing w:after="0" w:line="241" w:lineRule="auto"/>
        <w:rPr>
          <w:sz w:val="20"/>
          <w:szCs w:val="20"/>
          <w:color w:val="auto"/>
        </w:rPr>
      </w:pPr>
      <w:r>
        <w:rPr>
          <w:rFonts w:ascii="Times New Roman" w:cs="Times New Roman" w:eastAsia="Times New Roman" w:hAnsi="Times New Roman"/>
          <w:sz w:val="22"/>
          <w:szCs w:val="22"/>
          <w:color w:val="auto"/>
        </w:rPr>
        <w:t>ordinary brokerage transactions and transactions in which the broker-dealer solicits purchasers; to or through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block trades in which the broker-dealer will attempt to sell the Registrable Common Shares as agent, but may position and resell a portion of the block as principal to facilitate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980"/>
        <w:spacing w:after="0" w:line="230" w:lineRule="auto"/>
        <w:rPr>
          <w:sz w:val="20"/>
          <w:szCs w:val="20"/>
          <w:color w:val="auto"/>
        </w:rPr>
      </w:pPr>
      <w:r>
        <w:rPr>
          <w:rFonts w:ascii="Times New Roman" w:cs="Times New Roman" w:eastAsia="Times New Roman" w:hAnsi="Times New Roman"/>
          <w:sz w:val="22"/>
          <w:szCs w:val="22"/>
          <w:color w:val="auto"/>
        </w:rPr>
        <w:t>purchases by a broker-dealer as principal and resale by the broker-dealer for its account; an exchange distribution in accordance with the rules of the applicable exchange; privately negotiated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2" w:lineRule="auto"/>
        <w:rPr>
          <w:sz w:val="20"/>
          <w:szCs w:val="20"/>
          <w:color w:val="auto"/>
        </w:rPr>
      </w:pPr>
      <w:r>
        <w:rPr>
          <w:rFonts w:ascii="Times New Roman" w:cs="Times New Roman" w:eastAsia="Times New Roman" w:hAnsi="Times New Roman"/>
          <w:sz w:val="22"/>
          <w:szCs w:val="22"/>
          <w:color w:val="auto"/>
        </w:rPr>
        <w:t>short sales effected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-104140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through the writing or settlement of options or other hedging transactions, whether through an options exchange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pursuant to agreements with broker-dealers to sell a specified number of such Registrable Common Shares at a stipulated price per Registrable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a combination of any such methods of sale;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any other method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Selling Shareholder may, from time to time, pledge or grant a security interest in some or all of the Registrable Common Shares owned by it and, if it defaults in the performance of its secured obligations, the pledgees or secured parties may offer and sell the Registrable Common Shares, from time to time, under this Prospectus Supplement, or under an amendment to this Prospectus Supplement. The Selling Shareholder may also transfer the Registrable Common Shares in other circumstances, in which case the transferees, pledgees or other successors in interest will be the selling beneficial owners for purposes of this Prospectus Supplement.</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 connection with the sale of the Registrable Common Shares or interests therein, the Selling Shareholder may enter into hedging transactions with broker-dealers or other financial institutions, which may in turn engage in short sales of the Registrable Common Shares in the course of hedging the positions they assume. The Selling Shareholder may also sell Registrable Common Shares short and deliver these securities to close out their short positions, or loan or pledge the Registrable Common Shares to broker-dealers that in turn may sell these securities. The Selling Shareholder may also enter into option or other transactions with broker-dealers or other financial institutions or the creation of one or more derivative securities which require the delivery to such broker-dealer or other financial institution of Registrable Common Shares offered by this Prospectus Supplement, which Registrable Common Shares such broker-dealer or other financial institution may resell pursuant to this Prospectus Supplement (as supplemented or amended, as necessary, to reflect such transaction).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jc w:val="both"/>
        <w:spacing w:after="0" w:line="238" w:lineRule="auto"/>
        <w:rPr>
          <w:sz w:val="20"/>
          <w:szCs w:val="20"/>
          <w:color w:val="auto"/>
        </w:rPr>
      </w:pPr>
      <w:r>
        <w:rPr>
          <w:rFonts w:ascii="Times New Roman" w:cs="Times New Roman" w:eastAsia="Times New Roman" w:hAnsi="Times New Roman"/>
          <w:sz w:val="22"/>
          <w:szCs w:val="22"/>
          <w:color w:val="auto"/>
        </w:rPr>
        <w:t>The aggregate proceeds to the Selling Shareholder from the sale of the Registrable Common Shares offered by it will be the purchase price of the Registrable Common Shares less discounts or commissions, if any. The Selling Shareholder reserves the right to accept and, together with their agents from time to time, to reject, in whole or in part, any proposed purchase of Registrable Common Shares to be made directly or through agents. The Corporation will not receive any of the proceeds from this Offering.</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Selling Shareholder may also resell all or a portion of the Registrable Common Shares in open market transactions in reliance upon Rule 144 or Rule 904 of Regulation S under the U.S. Securities Act, if available, provided that they meet the criteria and conform to the requirements of those rules, or pursuant to another available exemption under the U.S. Securities Act and applicable state securities laws.</w:t>
      </w:r>
    </w:p>
    <w:p>
      <w:pPr>
        <w:spacing w:after="0" w:line="15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Selling Shareholder and any underwriters, broker-dealers or agents that participate in the sale of the Registrable Common Shares or interests therein may be "underwriters" within the meaning of Section 2(a)(11) of the U.S. Securities Act. Any discounts, commissions, concessions or profit they earn on any resale of the Registrable Common Shares may be underwriting discounts or commissions under the U.S. Securities Act. If the Selling Shareholder is an "underwriter" within the meaning of Section 2(a)(11) of the U.S. Securities Act it will be subject to the prospectus delivery requirements of the U.S. Securities Act.</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required, the Registrable Common Shares to be sold, the name of the Selling Shareholder, the respective purchase prices and public offering prices, the names of any agent, dealer or underwriter, any applicable commissions or discounts with respect to a particular offer will be set forth in an amendment to this Prospectus Supplement.</w:t>
      </w:r>
    </w:p>
    <w:p>
      <w:pPr>
        <w:spacing w:after="0" w:line="1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order to comply with the securities laws of some states, if applicable, the Registrable Common Shares may be sold in these jurisdictions only through registered or licensed brokers or dealers. In addition, in some states the Registrable Common Shares may not be sold unless they have been registered or qualified for sale or an exemption from registration or qualification is available and is complied with.</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This Prospectus Supplement has not been filed in respect of, and will not qualify, any distribution of the Registrable Common Shares in, Ontario or in any other province or territory of Canada at any time.</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Corporation has advised the Selling Shareholder that the anti-manipulation rules of Regulation M under the Exchange Act, may apply to sales of Registrable Common Shares in the market and to the activities of the Selling Shareholder and its affiliates. In addition, to the extent applicable the Corporation will make copies of this Prospectus Supplement (as it may be amended from time to time) available to the Selling Shareholder for the purpose of satisfying the prospectus delivery requirements of the U.S. Securities Act. The Selling Shareholder may indemnify any broker-dealer that participates in transactions involving the sale of the Registrable Common Shares against certain liabilities, including liabilities arising under the U.S. Securities Act.</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agreed to indemnify the Selling Shareholder against liabilities, including liabilities under the U.S. Securities Act, the Exchange Act, or any other federal or state statutory law or regulation, or at common law or otherwise, relating to the registration of the Registrable Common Shares offered by this Prospectus Supplement.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There can be no assurance that the Selling Shareholder will sell any or all of the Registrable Common Shares registered pursuant to the Registration Statement, of which this Prospectus Supplement and the accompanying Prospectus form a part.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TRADING PRICE AND VOLUME</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for trading on Cboe Canada and the NYSE American under the symbol "CYBN". The following table sets forth the reported monthly range of high and low prices per Common Share and total monthly volumes traded on Cboe Canada and the NYSE American for each of the months indicated during the 12-month period prior to the date of this Prospectus Supplement.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2"/>
          <w:szCs w:val="22"/>
          <w:b w:val="1"/>
          <w:bCs w:val="1"/>
          <w:color w:val="auto"/>
        </w:rPr>
        <w:t>Cboe Canada Price Range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32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4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7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(C$)</w:t>
            </w:r>
            <w:r>
              <w:rPr>
                <w:rFonts w:ascii="Times New Roman" w:cs="Times New Roman" w:eastAsia="Times New Roman" w:hAnsi="Times New Roman"/>
                <w:sz w:val="29"/>
                <w:szCs w:val="29"/>
                <w:b w:val="1"/>
                <w:bCs w:val="1"/>
                <w:color w:val="auto"/>
                <w:vertAlign w:val="superscript"/>
              </w:rPr>
              <w:t>(1)</w:t>
            </w:r>
          </w:p>
        </w:tc>
        <w:tc>
          <w:tcPr>
            <w:tcW w:w="24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09"/>
        </w:trPr>
        <w:tc>
          <w:tcPr>
            <w:tcW w:w="15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40" w:type="dxa"/>
            <w:vAlign w:val="bottom"/>
            <w:tcBorders>
              <w:top w:val="single" w:sz="8" w:color="auto"/>
            </w:tcBorders>
          </w:tcPr>
          <w:p>
            <w:pPr>
              <w:spacing w:after="0"/>
              <w:rPr>
                <w:sz w:val="18"/>
                <w:szCs w:val="18"/>
                <w:color w:val="auto"/>
              </w:rPr>
            </w:pP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rPr>
              <w:t>September 2024</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14.43</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9.25</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622,414</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October 2024</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15.95</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11.25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234,904</w:t>
            </w:r>
          </w:p>
        </w:tc>
      </w:tr>
      <w:tr>
        <w:trPr>
          <w:trHeight w:val="216"/>
        </w:trPr>
        <w:tc>
          <w:tcPr>
            <w:tcW w:w="3320" w:type="dxa"/>
            <w:vAlign w:val="bottom"/>
            <w:gridSpan w:val="3"/>
            <w:shd w:val="clear" w:color="auto" w:fill="E6EF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19.46</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12.88</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658,562</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December 2024</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15.50</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272,739</w:t>
            </w:r>
          </w:p>
        </w:tc>
      </w:tr>
      <w:tr>
        <w:trPr>
          <w:trHeight w:val="216"/>
        </w:trPr>
        <w:tc>
          <w:tcPr>
            <w:tcW w:w="3320" w:type="dxa"/>
            <w:vAlign w:val="bottom"/>
            <w:gridSpan w:val="3"/>
            <w:shd w:val="clear" w:color="auto" w:fill="E6EF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January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15.55</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12.45</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204,121</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February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15.27</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11.15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302,579</w:t>
            </w:r>
          </w:p>
        </w:tc>
      </w:tr>
      <w:tr>
        <w:trPr>
          <w:trHeight w:val="216"/>
        </w:trPr>
        <w:tc>
          <w:tcPr>
            <w:tcW w:w="152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1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12.14</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8.91</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174,695</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April 2025</w:t>
            </w:r>
          </w:p>
        </w:tc>
        <w:tc>
          <w:tcPr>
            <w:tcW w:w="234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11.12</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6.95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223,736</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rPr>
              <w:t>May 2025</w:t>
            </w:r>
          </w:p>
        </w:tc>
        <w:tc>
          <w:tcPr>
            <w:tcW w:w="2340" w:type="dxa"/>
            <w:vAlign w:val="bottom"/>
            <w:shd w:val="clear" w:color="auto" w:fill="E6EFFF"/>
          </w:tcPr>
          <w:p>
            <w:pPr>
              <w:jc w:val="right"/>
              <w:ind w:right="890"/>
              <w:spacing w:after="0"/>
              <w:rPr>
                <w:sz w:val="20"/>
                <w:szCs w:val="20"/>
                <w:color w:val="auto"/>
              </w:rPr>
            </w:pPr>
            <w:r>
              <w:rPr>
                <w:rFonts w:ascii="Times New Roman" w:cs="Times New Roman" w:eastAsia="Times New Roman" w:hAnsi="Times New Roman"/>
                <w:sz w:val="18"/>
                <w:szCs w:val="18"/>
                <w:color w:val="auto"/>
              </w:rPr>
              <w:t>11.74</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8.40</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217,266</w:t>
            </w:r>
          </w:p>
        </w:tc>
      </w:tr>
      <w:tr>
        <w:trPr>
          <w:trHeight w:val="216"/>
        </w:trPr>
        <w:tc>
          <w:tcPr>
            <w:tcW w:w="33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June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12.56</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9.85</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189,178</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July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12.18</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9.98</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261,253</w:t>
            </w:r>
          </w:p>
        </w:tc>
      </w:tr>
      <w:tr>
        <w:trPr>
          <w:trHeight w:val="216"/>
        </w:trPr>
        <w:tc>
          <w:tcPr>
            <w:tcW w:w="3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August 2025</w:t>
            </w:r>
          </w:p>
        </w:tc>
        <w:tc>
          <w:tcPr>
            <w:tcW w:w="23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10.90</w:t>
            </w:r>
          </w:p>
        </w:tc>
        <w:tc>
          <w:tcPr>
            <w:tcW w:w="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8.80</w:t>
            </w:r>
          </w:p>
        </w:tc>
        <w:tc>
          <w:tcPr>
            <w:tcW w:w="400" w:type="dxa"/>
            <w:vAlign w:val="bottom"/>
          </w:tcPr>
          <w:p>
            <w:pPr>
              <w:spacing w:after="0"/>
              <w:rPr>
                <w:sz w:val="18"/>
                <w:szCs w:val="18"/>
                <w:color w:val="auto"/>
              </w:rPr>
            </w:pPr>
          </w:p>
        </w:tc>
        <w:tc>
          <w:tcPr>
            <w:tcW w:w="24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229,553</w:t>
            </w:r>
          </w:p>
        </w:tc>
      </w:tr>
      <w:tr>
        <w:trPr>
          <w:trHeight w:val="216"/>
        </w:trPr>
        <w:tc>
          <w:tcPr>
            <w:tcW w:w="3320" w:type="dxa"/>
            <w:vAlign w:val="bottom"/>
            <w:gridSpan w:val="3"/>
            <w:shd w:val="clear" w:color="auto" w:fill="E6EF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(1-16) 2025</w:t>
            </w:r>
          </w:p>
        </w:tc>
        <w:tc>
          <w:tcPr>
            <w:tcW w:w="2340" w:type="dxa"/>
            <w:vAlign w:val="bottom"/>
            <w:shd w:val="clear" w:color="auto" w:fill="E6EFFF"/>
          </w:tcPr>
          <w:p>
            <w:pPr>
              <w:jc w:val="right"/>
              <w:ind w:right="870"/>
              <w:spacing w:after="0"/>
              <w:rPr>
                <w:sz w:val="20"/>
                <w:szCs w:val="20"/>
                <w:color w:val="auto"/>
              </w:rPr>
            </w:pPr>
            <w:r>
              <w:rPr>
                <w:rFonts w:ascii="Times New Roman" w:cs="Times New Roman" w:eastAsia="Times New Roman" w:hAnsi="Times New Roman"/>
                <w:sz w:val="18"/>
                <w:szCs w:val="18"/>
                <w:color w:val="auto"/>
              </w:rPr>
              <w:t>10.33</w:t>
            </w:r>
          </w:p>
        </w:tc>
        <w:tc>
          <w:tcPr>
            <w:tcW w:w="40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8.04</w:t>
            </w:r>
          </w:p>
        </w:tc>
        <w:tc>
          <w:tcPr>
            <w:tcW w:w="400" w:type="dxa"/>
            <w:vAlign w:val="bottom"/>
            <w:shd w:val="clear" w:color="auto" w:fill="E6EFFF"/>
          </w:tcPr>
          <w:p>
            <w:pPr>
              <w:spacing w:after="0"/>
              <w:rPr>
                <w:sz w:val="18"/>
                <w:szCs w:val="18"/>
                <w:color w:val="auto"/>
              </w:rPr>
            </w:pPr>
          </w:p>
        </w:tc>
        <w:tc>
          <w:tcPr>
            <w:tcW w:w="2440" w:type="dxa"/>
            <w:vAlign w:val="bottom"/>
            <w:shd w:val="clear" w:color="auto" w:fill="E6EFFF"/>
          </w:tcPr>
          <w:p>
            <w:pPr>
              <w:jc w:val="right"/>
              <w:ind w:right="830"/>
              <w:spacing w:after="0"/>
              <w:rPr>
                <w:sz w:val="20"/>
                <w:szCs w:val="20"/>
                <w:color w:val="auto"/>
              </w:rPr>
            </w:pPr>
            <w:r>
              <w:rPr>
                <w:rFonts w:ascii="Times New Roman" w:cs="Times New Roman" w:eastAsia="Times New Roman" w:hAnsi="Times New Roman"/>
                <w:sz w:val="18"/>
                <w:szCs w:val="18"/>
                <w:color w:val="auto"/>
              </w:rPr>
              <w:t>251,663</w:t>
            </w:r>
          </w:p>
        </w:tc>
      </w:tr>
    </w:tbl>
    <w:p>
      <w:pPr>
        <w:spacing w:after="0" w:line="14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left="660" w:hanging="269"/>
        <w:spacing w:after="0" w:line="258" w:lineRule="auto"/>
        <w:tabs>
          <w:tab w:leader="none" w:pos="74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Cboe Canada as of the date of this Prospectus Supplement. All figures related to securities are represented on a post-Consolidation basis.</w:t>
      </w:r>
    </w:p>
    <w:p>
      <w:pPr>
        <w:spacing w:after="0" w:line="13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On September 16, 2025, being the last day on which the Common Shares traded prior to the date of this Prospectus Supplement, the closing price of the Common Shares as reported on Cboe Canada was C$8.32.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NYSE American Price Range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3360" w:type="dxa"/>
            <w:vAlign w:val="bottom"/>
            <w:gridSpan w:val="3"/>
          </w:tcPr>
          <w:p>
            <w:pPr>
              <w:ind w:left="126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27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High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7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Low </w:t>
            </w:r>
            <w:r>
              <w:rPr>
                <w:rFonts w:ascii="Times New Roman" w:cs="Times New Roman" w:eastAsia="Times New Roman" w:hAnsi="Times New Roman"/>
                <w:sz w:val="18"/>
                <w:szCs w:val="18"/>
                <w:color w:val="auto"/>
              </w:rPr>
              <w:t>(US$)</w:t>
            </w:r>
            <w:r>
              <w:rPr>
                <w:rFonts w:ascii="Times New Roman" w:cs="Times New Roman" w:eastAsia="Times New Roman" w:hAnsi="Times New Roman"/>
                <w:sz w:val="29"/>
                <w:szCs w:val="29"/>
                <w:b w:val="1"/>
                <w:bCs w:val="1"/>
                <w:color w:val="auto"/>
                <w:vertAlign w:val="superscript"/>
              </w:rPr>
              <w:t>(1)</w:t>
            </w:r>
          </w:p>
        </w:tc>
        <w:tc>
          <w:tcPr>
            <w:tcW w:w="24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(1)</w:t>
            </w:r>
          </w:p>
        </w:tc>
      </w:tr>
      <w:tr>
        <w:trPr>
          <w:trHeight w:val="210"/>
        </w:trPr>
        <w:tc>
          <w:tcPr>
            <w:tcW w:w="15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8"/>
              </w:rPr>
              <w:t>September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10.628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6.50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5,478,558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October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11.6597</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8.2852</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3,140,648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November 2024</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13.88</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9.1612</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12,981,742</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December 2024</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11.08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8.386</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4,976,111</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January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10.73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8.625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3,926,388</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8"/>
              </w:rPr>
              <w:t>February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10.7199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7.8001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8,083,405</w:t>
            </w:r>
          </w:p>
        </w:tc>
      </w:tr>
      <w:tr>
        <w:trPr>
          <w:trHeight w:val="216"/>
        </w:trPr>
        <w:tc>
          <w:tcPr>
            <w:tcW w:w="1540" w:type="dxa"/>
            <w:vAlign w:val="bottom"/>
            <w:shd w:val="clear" w:color="auto" w:fill="E6EFFF"/>
          </w:tcPr>
          <w:p>
            <w:pPr>
              <w:ind w:left="102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shd w:val="clear" w:color="auto" w:fill="E6EFFF"/>
          </w:tcPr>
          <w:p>
            <w:pPr>
              <w:jc w:val="right"/>
              <w:ind w:right="93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E6EFFF"/>
          </w:tcPr>
          <w:p>
            <w:pPr>
              <w:spacing w:after="0"/>
              <w:rPr>
                <w:sz w:val="18"/>
                <w:szCs w:val="18"/>
                <w:color w:val="auto"/>
              </w:rPr>
            </w:pP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8.4747</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6.20</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3,701,307</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April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4.81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6,401,818</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w w:val="97"/>
              </w:rPr>
              <w:t>May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8.50</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6.05</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6,742,091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7"/>
              </w:rPr>
              <w:t>June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9.20</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7.11</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5,711,894</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July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7.26</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11,021,801</w:t>
            </w:r>
          </w:p>
        </w:tc>
      </w:tr>
      <w:tr>
        <w:trPr>
          <w:trHeight w:val="216"/>
        </w:trPr>
        <w:tc>
          <w:tcPr>
            <w:tcW w:w="33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August 2025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7.88</w:t>
            </w:r>
          </w:p>
        </w:tc>
        <w:tc>
          <w:tcPr>
            <w:tcW w:w="3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6.3637</w:t>
            </w:r>
          </w:p>
        </w:tc>
        <w:tc>
          <w:tcPr>
            <w:tcW w:w="3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7,812,206</w:t>
            </w:r>
          </w:p>
        </w:tc>
      </w:tr>
      <w:tr>
        <w:trPr>
          <w:trHeight w:val="216"/>
        </w:trPr>
        <w:tc>
          <w:tcPr>
            <w:tcW w:w="3360" w:type="dxa"/>
            <w:vAlign w:val="bottom"/>
            <w:gridSpan w:val="3"/>
            <w:shd w:val="clear" w:color="auto" w:fill="E6EFFF"/>
          </w:tcPr>
          <w:p>
            <w:pPr>
              <w:jc w:val="center"/>
              <w:ind w:right="400"/>
              <w:spacing w:after="0"/>
              <w:rPr>
                <w:sz w:val="20"/>
                <w:szCs w:val="20"/>
                <w:color w:val="auto"/>
              </w:rPr>
            </w:pPr>
            <w:r>
              <w:rPr>
                <w:rFonts w:ascii="Times New Roman" w:cs="Times New Roman" w:eastAsia="Times New Roman" w:hAnsi="Times New Roman"/>
                <w:sz w:val="18"/>
                <w:szCs w:val="18"/>
                <w:color w:val="auto"/>
              </w:rPr>
              <w:t>September (1-16) 2025</w:t>
            </w:r>
          </w:p>
        </w:tc>
        <w:tc>
          <w:tcPr>
            <w:tcW w:w="232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380" w:type="dxa"/>
            <w:vAlign w:val="bottom"/>
            <w:shd w:val="clear" w:color="auto" w:fill="E6EFFF"/>
          </w:tcPr>
          <w:p>
            <w:pPr>
              <w:spacing w:after="0"/>
              <w:rPr>
                <w:sz w:val="18"/>
                <w:szCs w:val="18"/>
                <w:color w:val="auto"/>
              </w:rPr>
            </w:pPr>
          </w:p>
        </w:tc>
        <w:tc>
          <w:tcPr>
            <w:tcW w:w="23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5"/>
              </w:rPr>
              <w:t>5.81</w:t>
            </w:r>
          </w:p>
        </w:tc>
        <w:tc>
          <w:tcPr>
            <w:tcW w:w="380" w:type="dxa"/>
            <w:vAlign w:val="bottom"/>
            <w:shd w:val="clear" w:color="auto" w:fill="E6EFFF"/>
          </w:tcPr>
          <w:p>
            <w:pPr>
              <w:spacing w:after="0"/>
              <w:rPr>
                <w:sz w:val="18"/>
                <w:szCs w:val="18"/>
                <w:color w:val="auto"/>
              </w:rPr>
            </w:pPr>
          </w:p>
        </w:tc>
        <w:tc>
          <w:tcPr>
            <w:tcW w:w="24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8,649,057</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Note</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ind w:left="660" w:right="40" w:hanging="269"/>
        <w:spacing w:after="0" w:line="258" w:lineRule="auto"/>
        <w:tabs>
          <w:tab w:leader="none" w:pos="744"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NYSE American as of the date of this Prospectus Supplement. All figures related to securities are represented on a post-Consolidation basis.</w:t>
      </w:r>
    </w:p>
    <w:p>
      <w:pPr>
        <w:spacing w:after="0" w:line="13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On September 16, 2025, being the last day on which the Common Shares traded prior to the date of this Prospectus Supplement, the closing price of the Common Shares as reported on the NYSE American was US$6.04.</w:t>
      </w:r>
    </w:p>
    <w:p>
      <w:pPr>
        <w:spacing w:after="0" w:line="1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PRIOR SALES</w:t>
      </w:r>
    </w:p>
    <w:p>
      <w:pPr>
        <w:spacing w:after="0" w:line="1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details regarding all issuances of Common Shares, including issuances of all securities convertible or exchangeable into Common Shares, during the 12-month period before the date of this Prospectus Supplement: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 Principal</w:t>
            </w:r>
          </w:p>
        </w:tc>
        <w:tc>
          <w:tcPr>
            <w:tcW w:w="2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0"/>
        </w:trPr>
        <w:tc>
          <w:tcPr>
            <w:tcW w:w="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300" w:type="dxa"/>
            <w:vAlign w:val="bottom"/>
          </w:tcPr>
          <w:p>
            <w:pPr>
              <w:spacing w:after="0"/>
              <w:rPr>
                <w:sz w:val="19"/>
                <w:szCs w:val="19"/>
                <w:color w:val="auto"/>
              </w:rPr>
            </w:pPr>
          </w:p>
        </w:tc>
        <w:tc>
          <w:tcPr>
            <w:tcW w:w="3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Issuance / Exercise / Conversion</w:t>
            </w:r>
          </w:p>
        </w:tc>
        <w:tc>
          <w:tcPr>
            <w:tcW w:w="600" w:type="dxa"/>
            <w:vAlign w:val="bottom"/>
          </w:tcPr>
          <w:p>
            <w:pPr>
              <w:spacing w:after="0"/>
              <w:rPr>
                <w:sz w:val="19"/>
                <w:szCs w:val="19"/>
                <w:color w:val="auto"/>
              </w:rPr>
            </w:pPr>
          </w:p>
        </w:tc>
      </w:tr>
      <w:tr>
        <w:trPr>
          <w:trHeight w:val="275"/>
        </w:trPr>
        <w:tc>
          <w:tcPr>
            <w:tcW w:w="580" w:type="dxa"/>
            <w:vAlign w:val="bottom"/>
          </w:tcPr>
          <w:p>
            <w:pPr>
              <w:spacing w:after="0"/>
              <w:rPr>
                <w:sz w:val="23"/>
                <w:szCs w:val="23"/>
                <w:color w:val="auto"/>
              </w:rPr>
            </w:pPr>
          </w:p>
        </w:tc>
        <w:tc>
          <w:tcPr>
            <w:tcW w:w="22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26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6"/>
              </w:rPr>
              <w:t>Securities Issued</w:t>
            </w:r>
            <w:r>
              <w:rPr>
                <w:rFonts w:ascii="Times New Roman" w:cs="Times New Roman" w:eastAsia="Times New Roman" w:hAnsi="Times New Roman"/>
                <w:sz w:val="29"/>
                <w:szCs w:val="29"/>
                <w:b w:val="1"/>
                <w:bCs w:val="1"/>
                <w:color w:val="auto"/>
                <w:w w:val="96"/>
                <w:vertAlign w:val="superscript"/>
              </w:rPr>
              <w:t>(1)</w:t>
            </w:r>
          </w:p>
        </w:tc>
        <w:tc>
          <w:tcPr>
            <w:tcW w:w="230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Type</w:t>
            </w:r>
          </w:p>
        </w:tc>
        <w:tc>
          <w:tcPr>
            <w:tcW w:w="3300" w:type="dxa"/>
            <w:vAlign w:val="bottom"/>
            <w:tcBorders>
              <w:bottom w:val="single" w:sz="8" w:color="auto"/>
            </w:tcBorders>
          </w:tcPr>
          <w:p>
            <w:pPr>
              <w:jc w:val="right"/>
              <w:ind w:right="310"/>
              <w:spacing w:after="0" w:line="276" w:lineRule="exact"/>
              <w:rPr>
                <w:sz w:val="20"/>
                <w:szCs w:val="20"/>
                <w:color w:val="auto"/>
              </w:rPr>
            </w:pPr>
            <w:r>
              <w:rPr>
                <w:rFonts w:ascii="Times New Roman" w:cs="Times New Roman" w:eastAsia="Times New Roman" w:hAnsi="Times New Roman"/>
                <w:sz w:val="18"/>
                <w:szCs w:val="18"/>
                <w:b w:val="1"/>
                <w:bCs w:val="1"/>
                <w:color w:val="auto"/>
              </w:rPr>
              <w:t>Price Per Security (CAD)</w:t>
            </w:r>
            <w:r>
              <w:rPr>
                <w:rFonts w:ascii="Times New Roman" w:cs="Times New Roman" w:eastAsia="Times New Roman" w:hAnsi="Times New Roman"/>
                <w:sz w:val="29"/>
                <w:szCs w:val="29"/>
                <w:b w:val="1"/>
                <w:bCs w:val="1"/>
                <w:color w:val="auto"/>
                <w:vertAlign w:val="superscript"/>
              </w:rPr>
              <w:t>(1)(2)</w:t>
            </w:r>
          </w:p>
        </w:tc>
        <w:tc>
          <w:tcPr>
            <w:tcW w:w="600" w:type="dxa"/>
            <w:vAlign w:val="bottom"/>
          </w:tcPr>
          <w:p>
            <w:pPr>
              <w:spacing w:after="0"/>
              <w:rPr>
                <w:sz w:val="23"/>
                <w:szCs w:val="23"/>
                <w:color w:val="auto"/>
              </w:rPr>
            </w:pPr>
          </w:p>
        </w:tc>
      </w:tr>
      <w:tr>
        <w:trPr>
          <w:trHeight w:val="209"/>
        </w:trPr>
        <w:tc>
          <w:tcPr>
            <w:tcW w:w="580" w:type="dxa"/>
            <w:vAlign w:val="bottom"/>
          </w:tcPr>
          <w:p>
            <w:pPr>
              <w:spacing w:after="0"/>
              <w:rPr>
                <w:sz w:val="18"/>
                <w:szCs w:val="18"/>
                <w:color w:val="auto"/>
              </w:rPr>
            </w:pPr>
          </w:p>
        </w:tc>
        <w:tc>
          <w:tcPr>
            <w:tcW w:w="224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November 27, 2024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80,100</w:t>
            </w:r>
          </w:p>
        </w:tc>
        <w:tc>
          <w:tcPr>
            <w:tcW w:w="2300" w:type="dxa"/>
            <w:vAlign w:val="bottom"/>
            <w:shd w:val="clear" w:color="auto" w:fill="E6EFFF"/>
          </w:tcPr>
          <w:p>
            <w:pPr>
              <w:jc w:val="center"/>
              <w:ind w:left="29"/>
              <w:spacing w:after="0"/>
              <w:rPr>
                <w:sz w:val="20"/>
                <w:szCs w:val="20"/>
                <w:color w:val="auto"/>
              </w:rPr>
            </w:pPr>
            <w:r>
              <w:rPr>
                <w:rFonts w:ascii="Times New Roman" w:cs="Times New Roman" w:eastAsia="Times New Roman" w:hAnsi="Times New Roman"/>
                <w:sz w:val="18"/>
                <w:szCs w:val="18"/>
                <w:color w:val="auto"/>
              </w:rPr>
              <w:t>Options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$14.37</w:t>
            </w:r>
          </w:p>
        </w:tc>
        <w:tc>
          <w:tcPr>
            <w:tcW w:w="600" w:type="dxa"/>
            <w:vAlign w:val="bottom"/>
          </w:tcPr>
          <w:p>
            <w:pPr>
              <w:spacing w:after="0"/>
              <w:rPr>
                <w:sz w:val="18"/>
                <w:szCs w:val="18"/>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21, 2025</w:t>
            </w:r>
            <w:r>
              <w:rPr>
                <w:rFonts w:ascii="Times New Roman" w:cs="Times New Roman" w:eastAsia="Times New Roman" w:hAnsi="Times New Roman"/>
                <w:sz w:val="29"/>
                <w:szCs w:val="29"/>
                <w:color w:val="auto"/>
                <w:w w:val="95"/>
                <w:vertAlign w:val="superscript"/>
              </w:rPr>
              <w:t>(3)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17,100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$12.71</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22, 2025</w:t>
            </w:r>
            <w:r>
              <w:rPr>
                <w:rFonts w:ascii="Times New Roman" w:cs="Times New Roman" w:eastAsia="Times New Roman" w:hAnsi="Times New Roman"/>
                <w:sz w:val="29"/>
                <w:szCs w:val="29"/>
                <w:color w:val="auto"/>
                <w:w w:val="95"/>
                <w:vertAlign w:val="superscript"/>
              </w:rPr>
              <w:t>(3)</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50,000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$13.08</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23, 2025</w:t>
            </w:r>
            <w:r>
              <w:rPr>
                <w:rFonts w:ascii="Times New Roman" w:cs="Times New Roman" w:eastAsia="Times New Roman" w:hAnsi="Times New Roman"/>
                <w:sz w:val="29"/>
                <w:szCs w:val="29"/>
                <w:color w:val="auto"/>
                <w:w w:val="95"/>
                <w:vertAlign w:val="superscript"/>
              </w:rPr>
              <w:t>(3)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$13.33</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24, 2025</w:t>
            </w:r>
            <w:r>
              <w:rPr>
                <w:rFonts w:ascii="Times New Roman" w:cs="Times New Roman" w:eastAsia="Times New Roman" w:hAnsi="Times New Roman"/>
                <w:sz w:val="29"/>
                <w:szCs w:val="29"/>
                <w:color w:val="auto"/>
                <w:w w:val="95"/>
                <w:vertAlign w:val="superscript"/>
              </w:rPr>
              <w:t>(3)</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34,000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$14.11</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27, 2025</w:t>
            </w:r>
            <w:r>
              <w:rPr>
                <w:rFonts w:ascii="Times New Roman" w:cs="Times New Roman" w:eastAsia="Times New Roman" w:hAnsi="Times New Roman"/>
                <w:sz w:val="29"/>
                <w:szCs w:val="29"/>
                <w:color w:val="auto"/>
                <w:w w:val="95"/>
                <w:vertAlign w:val="superscript"/>
              </w:rPr>
              <w:t>(3)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15,082</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$14.16</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29, 2025</w:t>
            </w:r>
            <w:r>
              <w:rPr>
                <w:rFonts w:ascii="Times New Roman" w:cs="Times New Roman" w:eastAsia="Times New Roman" w:hAnsi="Times New Roman"/>
                <w:sz w:val="29"/>
                <w:szCs w:val="29"/>
                <w:color w:val="auto"/>
                <w:w w:val="95"/>
                <w:vertAlign w:val="superscript"/>
              </w:rPr>
              <w:t>(3)</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31,738</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$13.48</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30, 2025</w:t>
            </w:r>
            <w:r>
              <w:rPr>
                <w:rFonts w:ascii="Times New Roman" w:cs="Times New Roman" w:eastAsia="Times New Roman" w:hAnsi="Times New Roman"/>
                <w:sz w:val="29"/>
                <w:szCs w:val="29"/>
                <w:color w:val="auto"/>
                <w:w w:val="95"/>
                <w:vertAlign w:val="superscript"/>
              </w:rPr>
              <w:t>(3)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$13.69</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January 31, 2025</w:t>
            </w:r>
            <w:r>
              <w:rPr>
                <w:rFonts w:ascii="Times New Roman" w:cs="Times New Roman" w:eastAsia="Times New Roman" w:hAnsi="Times New Roman"/>
                <w:sz w:val="29"/>
                <w:szCs w:val="29"/>
                <w:color w:val="auto"/>
                <w:w w:val="95"/>
                <w:vertAlign w:val="superscript"/>
              </w:rPr>
              <w:t>(3)</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49,496</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$13.80</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3, 2025</w:t>
            </w:r>
            <w:r>
              <w:rPr>
                <w:rFonts w:ascii="Times New Roman" w:cs="Times New Roman" w:eastAsia="Times New Roman" w:hAnsi="Times New Roman"/>
                <w:sz w:val="29"/>
                <w:szCs w:val="29"/>
                <w:color w:val="auto"/>
                <w:w w:val="95"/>
                <w:vertAlign w:val="superscript"/>
              </w:rPr>
              <w:t>(3)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$13.79</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4, 2025</w:t>
            </w:r>
            <w:r>
              <w:rPr>
                <w:rFonts w:ascii="Times New Roman" w:cs="Times New Roman" w:eastAsia="Times New Roman" w:hAnsi="Times New Roman"/>
                <w:sz w:val="29"/>
                <w:szCs w:val="29"/>
                <w:color w:val="auto"/>
                <w:w w:val="95"/>
                <w:vertAlign w:val="superscript"/>
              </w:rPr>
              <w:t>(3)</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25,500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$13.74</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5, 2025</w:t>
            </w:r>
            <w:r>
              <w:rPr>
                <w:rFonts w:ascii="Times New Roman" w:cs="Times New Roman" w:eastAsia="Times New Roman" w:hAnsi="Times New Roman"/>
                <w:sz w:val="29"/>
                <w:szCs w:val="29"/>
                <w:color w:val="auto"/>
                <w:w w:val="95"/>
                <w:vertAlign w:val="superscript"/>
              </w:rPr>
              <w:t>(3)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326,800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$13.86</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6, 2025</w:t>
            </w:r>
            <w:r>
              <w:rPr>
                <w:rFonts w:ascii="Times New Roman" w:cs="Times New Roman" w:eastAsia="Times New Roman" w:hAnsi="Times New Roman"/>
                <w:sz w:val="29"/>
                <w:szCs w:val="29"/>
                <w:color w:val="auto"/>
                <w:w w:val="95"/>
                <w:vertAlign w:val="superscript"/>
              </w:rPr>
              <w:t>(3)</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280,800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$13.72</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February 7, 2025</w:t>
            </w:r>
            <w:r>
              <w:rPr>
                <w:rFonts w:ascii="Times New Roman" w:cs="Times New Roman" w:eastAsia="Times New Roman" w:hAnsi="Times New Roman"/>
                <w:sz w:val="29"/>
                <w:szCs w:val="29"/>
                <w:color w:val="auto"/>
                <w:w w:val="95"/>
                <w:vertAlign w:val="superscript"/>
              </w:rPr>
              <w:t>(3)</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$13.48</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6"/>
              </w:rPr>
              <w:t>February 10, 2025</w:t>
            </w:r>
            <w:r>
              <w:rPr>
                <w:rFonts w:ascii="Times New Roman" w:cs="Times New Roman" w:eastAsia="Times New Roman" w:hAnsi="Times New Roman"/>
                <w:sz w:val="29"/>
                <w:szCs w:val="29"/>
                <w:color w:val="auto"/>
                <w:w w:val="96"/>
                <w:vertAlign w:val="superscript"/>
              </w:rPr>
              <w:t>(4)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57,000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$12.74</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6"/>
              </w:rPr>
              <w:t>February 14, 2025</w:t>
            </w:r>
            <w:r>
              <w:rPr>
                <w:rFonts w:ascii="Times New Roman" w:cs="Times New Roman" w:eastAsia="Times New Roman" w:hAnsi="Times New Roman"/>
                <w:sz w:val="29"/>
                <w:szCs w:val="29"/>
                <w:color w:val="auto"/>
                <w:w w:val="96"/>
                <w:vertAlign w:val="superscript"/>
              </w:rPr>
              <w:t>(4)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$13.20</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6"/>
              </w:rPr>
              <w:t>February 18, 2025</w:t>
            </w:r>
            <w:r>
              <w:rPr>
                <w:rFonts w:ascii="Times New Roman" w:cs="Times New Roman" w:eastAsia="Times New Roman" w:hAnsi="Times New Roman"/>
                <w:sz w:val="29"/>
                <w:szCs w:val="29"/>
                <w:color w:val="auto"/>
                <w:w w:val="96"/>
                <w:vertAlign w:val="superscript"/>
              </w:rPr>
              <w:t>(4)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9"/>
              </w:rPr>
              <w:t>125,100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$13.66</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6"/>
              </w:rPr>
              <w:t>February 19, 2025</w:t>
            </w:r>
            <w:r>
              <w:rPr>
                <w:rFonts w:ascii="Times New Roman" w:cs="Times New Roman" w:eastAsia="Times New Roman" w:hAnsi="Times New Roman"/>
                <w:sz w:val="29"/>
                <w:szCs w:val="29"/>
                <w:color w:val="auto"/>
                <w:w w:val="96"/>
                <w:vertAlign w:val="superscript"/>
              </w:rPr>
              <w:t>(4)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$13.15</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shd w:val="clear" w:color="auto" w:fill="E6EFFF"/>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6"/>
              </w:rPr>
              <w:t>February 20, 2025</w:t>
            </w:r>
            <w:r>
              <w:rPr>
                <w:rFonts w:ascii="Times New Roman" w:cs="Times New Roman" w:eastAsia="Times New Roman" w:hAnsi="Times New Roman"/>
                <w:sz w:val="29"/>
                <w:szCs w:val="29"/>
                <w:color w:val="auto"/>
                <w:w w:val="96"/>
                <w:vertAlign w:val="superscript"/>
              </w:rPr>
              <w:t>(4)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33,550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$12.97</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6"/>
              </w:rPr>
              <w:t>February 21, 2025</w:t>
            </w:r>
            <w:r>
              <w:rPr>
                <w:rFonts w:ascii="Times New Roman" w:cs="Times New Roman" w:eastAsia="Times New Roman" w:hAnsi="Times New Roman"/>
                <w:sz w:val="29"/>
                <w:szCs w:val="29"/>
                <w:color w:val="auto"/>
                <w:w w:val="96"/>
                <w:vertAlign w:val="superscript"/>
              </w:rPr>
              <w:t>(4)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21,994</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$12.98</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shd w:val="clear" w:color="auto" w:fill="E6EFFF"/>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6"/>
              </w:rPr>
              <w:t>February 24, 2025</w:t>
            </w:r>
            <w:r>
              <w:rPr>
                <w:rFonts w:ascii="Times New Roman" w:cs="Times New Roman" w:eastAsia="Times New Roman" w:hAnsi="Times New Roman"/>
                <w:sz w:val="29"/>
                <w:szCs w:val="29"/>
                <w:color w:val="auto"/>
                <w:w w:val="96"/>
                <w:vertAlign w:val="superscript"/>
              </w:rPr>
              <w:t>(4)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36,999</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$12.94</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ind w:right="10"/>
              <w:spacing w:after="0" w:line="256" w:lineRule="exact"/>
              <w:rPr>
                <w:sz w:val="20"/>
                <w:szCs w:val="20"/>
                <w:color w:val="auto"/>
              </w:rPr>
            </w:pPr>
            <w:r>
              <w:rPr>
                <w:rFonts w:ascii="Times New Roman" w:cs="Times New Roman" w:eastAsia="Times New Roman" w:hAnsi="Times New Roman"/>
                <w:sz w:val="18"/>
                <w:szCs w:val="18"/>
                <w:color w:val="auto"/>
                <w:w w:val="96"/>
              </w:rPr>
              <w:t>February 26, 2025</w:t>
            </w:r>
            <w:r>
              <w:rPr>
                <w:rFonts w:ascii="Times New Roman" w:cs="Times New Roman" w:eastAsia="Times New Roman" w:hAnsi="Times New Roman"/>
                <w:sz w:val="29"/>
                <w:szCs w:val="29"/>
                <w:color w:val="auto"/>
                <w:w w:val="96"/>
                <w:vertAlign w:val="superscript"/>
              </w:rPr>
              <w:t>(4)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60,868</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$12.20</w:t>
            </w:r>
          </w:p>
        </w:tc>
        <w:tc>
          <w:tcPr>
            <w:tcW w:w="600" w:type="dxa"/>
            <w:vAlign w:val="bottom"/>
          </w:tcPr>
          <w:p>
            <w:pPr>
              <w:spacing w:after="0"/>
              <w:rPr>
                <w:sz w:val="22"/>
                <w:szCs w:val="22"/>
                <w:color w:val="auto"/>
              </w:rPr>
            </w:pPr>
          </w:p>
        </w:tc>
      </w:tr>
      <w:tr>
        <w:trPr>
          <w:trHeight w:val="216"/>
        </w:trPr>
        <w:tc>
          <w:tcPr>
            <w:tcW w:w="580" w:type="dxa"/>
            <w:vAlign w:val="bottom"/>
          </w:tcPr>
          <w:p>
            <w:pPr>
              <w:spacing w:after="0"/>
              <w:rPr>
                <w:sz w:val="18"/>
                <w:szCs w:val="18"/>
                <w:color w:val="auto"/>
              </w:rPr>
            </w:pPr>
          </w:p>
        </w:tc>
        <w:tc>
          <w:tcPr>
            <w:tcW w:w="2240" w:type="dxa"/>
            <w:vAlign w:val="bottom"/>
            <w:shd w:val="clear" w:color="auto" w:fill="E6EFFF"/>
          </w:tcPr>
          <w:p>
            <w:pPr>
              <w:jc w:val="center"/>
              <w:ind w:right="10"/>
              <w:spacing w:after="0"/>
              <w:rPr>
                <w:sz w:val="20"/>
                <w:szCs w:val="20"/>
                <w:color w:val="auto"/>
              </w:rPr>
            </w:pPr>
            <w:r>
              <w:rPr>
                <w:rFonts w:ascii="Times New Roman" w:cs="Times New Roman" w:eastAsia="Times New Roman" w:hAnsi="Times New Roman"/>
                <w:sz w:val="18"/>
                <w:szCs w:val="18"/>
                <w:color w:val="auto"/>
              </w:rPr>
              <w:t>March 7, 2025</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35,000</w:t>
            </w:r>
          </w:p>
        </w:tc>
        <w:tc>
          <w:tcPr>
            <w:tcW w:w="2300" w:type="dxa"/>
            <w:vAlign w:val="bottom"/>
            <w:shd w:val="clear" w:color="auto" w:fill="E6EFFF"/>
          </w:tcPr>
          <w:p>
            <w:pPr>
              <w:jc w:val="center"/>
              <w:ind w:left="29"/>
              <w:spacing w:after="0"/>
              <w:rPr>
                <w:sz w:val="20"/>
                <w:szCs w:val="20"/>
                <w:color w:val="auto"/>
              </w:rPr>
            </w:pPr>
            <w:r>
              <w:rPr>
                <w:rFonts w:ascii="Times New Roman" w:cs="Times New Roman" w:eastAsia="Times New Roman" w:hAnsi="Times New Roman"/>
                <w:sz w:val="18"/>
                <w:szCs w:val="18"/>
                <w:color w:val="auto"/>
              </w:rPr>
              <w:t>Options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$10.45</w:t>
            </w:r>
          </w:p>
        </w:tc>
        <w:tc>
          <w:tcPr>
            <w:tcW w:w="600" w:type="dxa"/>
            <w:vAlign w:val="bottom"/>
          </w:tcPr>
          <w:p>
            <w:pPr>
              <w:spacing w:after="0"/>
              <w:rPr>
                <w:sz w:val="18"/>
                <w:szCs w:val="18"/>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13, 2024</w:t>
            </w:r>
            <w:r>
              <w:rPr>
                <w:rFonts w:ascii="Times New Roman" w:cs="Times New Roman" w:eastAsia="Times New Roman" w:hAnsi="Times New Roman"/>
                <w:sz w:val="29"/>
                <w:szCs w:val="29"/>
                <w:color w:val="auto"/>
                <w:w w:val="96"/>
                <w:vertAlign w:val="superscript"/>
              </w:rPr>
              <w:t>(4)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14, 2025</w:t>
            </w:r>
            <w:r>
              <w:rPr>
                <w:rFonts w:ascii="Times New Roman" w:cs="Times New Roman" w:eastAsia="Times New Roman" w:hAnsi="Times New Roman"/>
                <w:sz w:val="29"/>
                <w:szCs w:val="29"/>
                <w:color w:val="auto"/>
                <w:w w:val="96"/>
                <w:vertAlign w:val="superscript"/>
              </w:rPr>
              <w:t>(4)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13,400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$10.39</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17, 2025</w:t>
            </w:r>
            <w:r>
              <w:rPr>
                <w:rFonts w:ascii="Times New Roman" w:cs="Times New Roman" w:eastAsia="Times New Roman" w:hAnsi="Times New Roman"/>
                <w:sz w:val="29"/>
                <w:szCs w:val="29"/>
                <w:color w:val="auto"/>
                <w:w w:val="96"/>
                <w:vertAlign w:val="superscript"/>
              </w:rPr>
              <w:t>(4)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$10.43</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19, 2025</w:t>
            </w:r>
            <w:r>
              <w:rPr>
                <w:rFonts w:ascii="Times New Roman" w:cs="Times New Roman" w:eastAsia="Times New Roman" w:hAnsi="Times New Roman"/>
                <w:sz w:val="29"/>
                <w:szCs w:val="29"/>
                <w:color w:val="auto"/>
                <w:w w:val="96"/>
                <w:vertAlign w:val="superscript"/>
              </w:rPr>
              <w:t>(4)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13,000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$10.44</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20, 2025</w:t>
            </w:r>
            <w:r>
              <w:rPr>
                <w:rFonts w:ascii="Times New Roman" w:cs="Times New Roman" w:eastAsia="Times New Roman" w:hAnsi="Times New Roman"/>
                <w:sz w:val="29"/>
                <w:szCs w:val="29"/>
                <w:color w:val="auto"/>
                <w:w w:val="96"/>
                <w:vertAlign w:val="superscript"/>
              </w:rPr>
              <w:t>(4)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$10.34</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21, 2025</w:t>
            </w:r>
            <w:r>
              <w:rPr>
                <w:rFonts w:ascii="Times New Roman" w:cs="Times New Roman" w:eastAsia="Times New Roman" w:hAnsi="Times New Roman"/>
                <w:sz w:val="29"/>
                <w:szCs w:val="29"/>
                <w:color w:val="auto"/>
                <w:w w:val="96"/>
                <w:vertAlign w:val="superscript"/>
              </w:rPr>
              <w:t>(4)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w w:val="98"/>
              </w:rPr>
              <w:t>9,000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$10.28</w:t>
            </w:r>
          </w:p>
        </w:tc>
        <w:tc>
          <w:tcPr>
            <w:tcW w:w="600" w:type="dxa"/>
            <w:vAlign w:val="bottom"/>
          </w:tcPr>
          <w:p>
            <w:pPr>
              <w:spacing w:after="0"/>
              <w:rPr>
                <w:sz w:val="22"/>
                <w:szCs w:val="22"/>
                <w:color w:val="auto"/>
              </w:rPr>
            </w:pPr>
          </w:p>
        </w:tc>
      </w:tr>
      <w:tr>
        <w:trPr>
          <w:trHeight w:val="257"/>
        </w:trPr>
        <w:tc>
          <w:tcPr>
            <w:tcW w:w="580" w:type="dxa"/>
            <w:vAlign w:val="bottom"/>
          </w:tcPr>
          <w:p>
            <w:pPr>
              <w:spacing w:after="0"/>
              <w:rPr>
                <w:sz w:val="22"/>
                <w:szCs w:val="22"/>
                <w:color w:val="auto"/>
              </w:rPr>
            </w:pPr>
          </w:p>
        </w:tc>
        <w:tc>
          <w:tcPr>
            <w:tcW w:w="22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24, 2025</w:t>
            </w:r>
            <w:r>
              <w:rPr>
                <w:rFonts w:ascii="Times New Roman" w:cs="Times New Roman" w:eastAsia="Times New Roman" w:hAnsi="Times New Roman"/>
                <w:sz w:val="29"/>
                <w:szCs w:val="29"/>
                <w:color w:val="auto"/>
                <w:w w:val="96"/>
                <w:vertAlign w:val="superscript"/>
              </w:rPr>
              <w:t>(4)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13,000</w:t>
            </w:r>
          </w:p>
        </w:tc>
        <w:tc>
          <w:tcPr>
            <w:tcW w:w="23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$10.14</w:t>
            </w:r>
          </w:p>
        </w:tc>
        <w:tc>
          <w:tcPr>
            <w:tcW w:w="600" w:type="dxa"/>
            <w:vAlign w:val="bottom"/>
          </w:tcPr>
          <w:p>
            <w:pPr>
              <w:spacing w:after="0"/>
              <w:rPr>
                <w:sz w:val="22"/>
                <w:szCs w:val="22"/>
                <w:color w:val="auto"/>
              </w:rPr>
            </w:pPr>
          </w:p>
        </w:tc>
      </w:tr>
      <w:tr>
        <w:trPr>
          <w:trHeight w:val="256"/>
        </w:trPr>
        <w:tc>
          <w:tcPr>
            <w:tcW w:w="580" w:type="dxa"/>
            <w:vAlign w:val="bottom"/>
          </w:tcPr>
          <w:p>
            <w:pPr>
              <w:spacing w:after="0"/>
              <w:rPr>
                <w:sz w:val="22"/>
                <w:szCs w:val="22"/>
                <w:color w:val="auto"/>
              </w:rPr>
            </w:pPr>
          </w:p>
        </w:tc>
        <w:tc>
          <w:tcPr>
            <w:tcW w:w="224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6"/>
              </w:rPr>
              <w:t>March 25, 2025</w:t>
            </w:r>
            <w:r>
              <w:rPr>
                <w:rFonts w:ascii="Times New Roman" w:cs="Times New Roman" w:eastAsia="Times New Roman" w:hAnsi="Times New Roman"/>
                <w:sz w:val="29"/>
                <w:szCs w:val="29"/>
                <w:color w:val="auto"/>
                <w:w w:val="96"/>
                <w:vertAlign w:val="superscript"/>
              </w:rPr>
              <w:t>(4)</w:t>
            </w:r>
          </w:p>
        </w:tc>
        <w:tc>
          <w:tcPr>
            <w:tcW w:w="22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13,000</w:t>
            </w:r>
          </w:p>
        </w:tc>
        <w:tc>
          <w:tcPr>
            <w:tcW w:w="2300" w:type="dxa"/>
            <w:vAlign w:val="bottom"/>
            <w:shd w:val="clear" w:color="auto" w:fill="E6EFFF"/>
          </w:tcPr>
          <w:p>
            <w:pPr>
              <w:jc w:val="center"/>
              <w:ind w:left="9"/>
              <w:spacing w:after="0"/>
              <w:rPr>
                <w:sz w:val="20"/>
                <w:szCs w:val="20"/>
                <w:color w:val="auto"/>
              </w:rPr>
            </w:pPr>
            <w:r>
              <w:rPr>
                <w:rFonts w:ascii="Times New Roman" w:cs="Times New Roman" w:eastAsia="Times New Roman" w:hAnsi="Times New Roman"/>
                <w:sz w:val="18"/>
                <w:szCs w:val="18"/>
                <w:color w:val="auto"/>
              </w:rPr>
              <w:t>Common Shares</w:t>
            </w:r>
          </w:p>
        </w:tc>
        <w:tc>
          <w:tcPr>
            <w:tcW w:w="3300" w:type="dxa"/>
            <w:vAlign w:val="bottom"/>
            <w:shd w:val="clear" w:color="auto" w:fill="E6EFFF"/>
          </w:tcPr>
          <w:p>
            <w:pPr>
              <w:jc w:val="right"/>
              <w:ind w:right="1270"/>
              <w:spacing w:after="0"/>
              <w:rPr>
                <w:sz w:val="20"/>
                <w:szCs w:val="20"/>
                <w:color w:val="auto"/>
              </w:rPr>
            </w:pPr>
            <w:r>
              <w:rPr>
                <w:rFonts w:ascii="Times New Roman" w:cs="Times New Roman" w:eastAsia="Times New Roman" w:hAnsi="Times New Roman"/>
                <w:sz w:val="18"/>
                <w:szCs w:val="18"/>
                <w:color w:val="auto"/>
              </w:rPr>
              <w:t>$10.36</w:t>
            </w:r>
          </w:p>
        </w:tc>
        <w:tc>
          <w:tcPr>
            <w:tcW w:w="600" w:type="dxa"/>
            <w:vAlign w:val="bottom"/>
          </w:tcPr>
          <w:p>
            <w:pPr>
              <w:spacing w:after="0"/>
              <w:rPr>
                <w:sz w:val="22"/>
                <w:szCs w:val="22"/>
                <w:color w:val="auto"/>
              </w:rPr>
            </w:pPr>
          </w:p>
        </w:tc>
      </w:tr>
      <w:tr>
        <w:trPr>
          <w:trHeight w:val="674"/>
        </w:trPr>
        <w:tc>
          <w:tcPr>
            <w:tcW w:w="5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S-15</w:t>
            </w:r>
          </w:p>
        </w:tc>
        <w:tc>
          <w:tcPr>
            <w:tcW w:w="33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0"/>
        </w:trPr>
        <w:tc>
          <w:tcPr>
            <w:tcW w:w="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74"/>
        </w:trPr>
        <w:tc>
          <w:tcPr>
            <w:tcW w:w="580" w:type="dxa"/>
            <w:vAlign w:val="bottom"/>
            <w:shd w:val="clear" w:color="auto" w:fill="000000"/>
          </w:tcPr>
          <w:p>
            <w:pPr>
              <w:spacing w:after="0"/>
              <w:rPr>
                <w:sz w:val="6"/>
                <w:szCs w:val="6"/>
                <w:color w:val="auto"/>
              </w:rPr>
            </w:pPr>
          </w:p>
        </w:tc>
        <w:tc>
          <w:tcPr>
            <w:tcW w:w="2240" w:type="dxa"/>
            <w:vAlign w:val="bottom"/>
            <w:shd w:val="clear" w:color="auto" w:fill="000000"/>
          </w:tcPr>
          <w:p>
            <w:pPr>
              <w:spacing w:after="0"/>
              <w:rPr>
                <w:sz w:val="6"/>
                <w:szCs w:val="6"/>
                <w:color w:val="auto"/>
              </w:rPr>
            </w:pPr>
          </w:p>
        </w:tc>
        <w:tc>
          <w:tcPr>
            <w:tcW w:w="2260" w:type="dxa"/>
            <w:vAlign w:val="bottom"/>
            <w:shd w:val="clear" w:color="auto" w:fill="000000"/>
          </w:tcPr>
          <w:p>
            <w:pPr>
              <w:spacing w:after="0"/>
              <w:rPr>
                <w:sz w:val="6"/>
                <w:szCs w:val="6"/>
                <w:color w:val="auto"/>
              </w:rPr>
            </w:pPr>
          </w:p>
        </w:tc>
        <w:tc>
          <w:tcPr>
            <w:tcW w:w="2300" w:type="dxa"/>
            <w:vAlign w:val="bottom"/>
            <w:shd w:val="clear" w:color="auto" w:fill="000000"/>
          </w:tcPr>
          <w:p>
            <w:pPr>
              <w:spacing w:after="0"/>
              <w:rPr>
                <w:sz w:val="6"/>
                <w:szCs w:val="6"/>
                <w:color w:val="auto"/>
              </w:rPr>
            </w:pPr>
          </w:p>
        </w:tc>
        <w:tc>
          <w:tcPr>
            <w:tcW w:w="3300" w:type="dxa"/>
            <w:vAlign w:val="bottom"/>
            <w:shd w:val="clear" w:color="auto" w:fill="000000"/>
          </w:tcPr>
          <w:p>
            <w:pPr>
              <w:spacing w:after="0"/>
              <w:rPr>
                <w:sz w:val="6"/>
                <w:szCs w:val="6"/>
                <w:color w:val="auto"/>
              </w:rPr>
            </w:pPr>
          </w:p>
        </w:tc>
        <w:tc>
          <w:tcPr>
            <w:tcW w:w="60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18" w:name="page19"/>
    <w:bookmarkEnd w:id="18"/>
    <w:p>
      <w:pPr>
        <w:jc w:val="right"/>
        <w:ind w:right="320"/>
        <w:spacing w:after="0"/>
        <w:rPr>
          <w:sz w:val="20"/>
          <w:szCs w:val="20"/>
          <w:color w:val="auto"/>
        </w:rPr>
      </w:pPr>
      <w:r>
        <w:rPr>
          <w:rFonts w:ascii="Times New Roman" w:cs="Times New Roman" w:eastAsia="Times New Roman" w:hAnsi="Times New Roman"/>
          <w:sz w:val="18"/>
          <w:szCs w:val="18"/>
          <w:color w:val="auto"/>
        </w:rPr>
        <w:t>March 26, 2025</w:t>
      </w:r>
      <w:r>
        <w:rPr>
          <w:rFonts w:ascii="Times New Roman" w:cs="Times New Roman" w:eastAsia="Times New Roman" w:hAnsi="Times New Roman"/>
          <w:sz w:val="29"/>
          <w:szCs w:val="29"/>
          <w:color w:val="auto"/>
          <w:vertAlign w:val="superscript"/>
        </w:rPr>
        <w:t>(4)</w:t>
      </w:r>
    </w:p>
    <w:p>
      <w:pPr>
        <w:ind w:left="540"/>
        <w:spacing w:after="0" w:line="184" w:lineRule="auto"/>
        <w:rPr>
          <w:sz w:val="20"/>
          <w:szCs w:val="20"/>
          <w:color w:val="auto"/>
        </w:rPr>
      </w:pPr>
      <w:r>
        <w:rPr>
          <w:rFonts w:ascii="Times New Roman" w:cs="Times New Roman" w:eastAsia="Times New Roman" w:hAnsi="Times New Roman"/>
          <w:sz w:val="18"/>
          <w:szCs w:val="18"/>
          <w:color w:val="auto"/>
        </w:rPr>
        <w:t>March 27, 2025</w:t>
      </w:r>
      <w:r>
        <w:rPr>
          <w:rFonts w:ascii="Times New Roman" w:cs="Times New Roman" w:eastAsia="Times New Roman" w:hAnsi="Times New Roman"/>
          <w:sz w:val="29"/>
          <w:szCs w:val="29"/>
          <w:color w:val="auto"/>
          <w:vertAlign w:val="superscript"/>
        </w:rPr>
        <w:t>(4)</w:t>
      </w:r>
    </w:p>
    <w:p>
      <w:pPr>
        <w:ind w:left="540"/>
        <w:spacing w:after="0" w:line="185" w:lineRule="auto"/>
        <w:rPr>
          <w:sz w:val="20"/>
          <w:szCs w:val="20"/>
          <w:color w:val="auto"/>
        </w:rPr>
      </w:pPr>
      <w:r>
        <w:rPr>
          <w:rFonts w:ascii="Times New Roman" w:cs="Times New Roman" w:eastAsia="Times New Roman" w:hAnsi="Times New Roman"/>
          <w:sz w:val="18"/>
          <w:szCs w:val="18"/>
          <w:color w:val="auto"/>
        </w:rPr>
        <w:t>March 28, 2025</w:t>
      </w:r>
      <w:r>
        <w:rPr>
          <w:rFonts w:ascii="Times New Roman" w:cs="Times New Roman" w:eastAsia="Times New Roman" w:hAnsi="Times New Roman"/>
          <w:sz w:val="29"/>
          <w:szCs w:val="29"/>
          <w:color w:val="auto"/>
          <w:vertAlign w:val="superscript"/>
        </w:rPr>
        <w:t>(4)</w:t>
      </w:r>
    </w:p>
    <w:p>
      <w:pPr>
        <w:ind w:left="540"/>
        <w:spacing w:after="0" w:line="184" w:lineRule="auto"/>
        <w:rPr>
          <w:sz w:val="20"/>
          <w:szCs w:val="20"/>
          <w:color w:val="auto"/>
        </w:rPr>
      </w:pPr>
      <w:r>
        <w:rPr>
          <w:rFonts w:ascii="Times New Roman" w:cs="Times New Roman" w:eastAsia="Times New Roman" w:hAnsi="Times New Roman"/>
          <w:sz w:val="18"/>
          <w:szCs w:val="18"/>
          <w:color w:val="auto"/>
        </w:rPr>
        <w:t>March 31, 2025</w:t>
      </w:r>
      <w:r>
        <w:rPr>
          <w:rFonts w:ascii="Times New Roman" w:cs="Times New Roman" w:eastAsia="Times New Roman" w:hAnsi="Times New Roman"/>
          <w:sz w:val="29"/>
          <w:szCs w:val="29"/>
          <w:color w:val="auto"/>
          <w:vertAlign w:val="superscript"/>
        </w:rPr>
        <w:t>(4)</w:t>
      </w:r>
    </w:p>
    <w:p>
      <w:pPr>
        <w:ind w:left="580"/>
        <w:spacing w:after="0" w:line="185" w:lineRule="auto"/>
        <w:rPr>
          <w:sz w:val="20"/>
          <w:szCs w:val="20"/>
          <w:color w:val="auto"/>
        </w:rPr>
      </w:pPr>
      <w:r>
        <w:rPr>
          <w:rFonts w:ascii="Times New Roman" w:cs="Times New Roman" w:eastAsia="Times New Roman" w:hAnsi="Times New Roman"/>
          <w:sz w:val="18"/>
          <w:szCs w:val="18"/>
          <w:color w:val="auto"/>
        </w:rPr>
        <w:t>April 14, 2025</w:t>
      </w:r>
      <w:r>
        <w:rPr>
          <w:rFonts w:ascii="Times New Roman" w:cs="Times New Roman" w:eastAsia="Times New Roman" w:hAnsi="Times New Roman"/>
          <w:sz w:val="29"/>
          <w:szCs w:val="29"/>
          <w:color w:val="auto"/>
          <w:vertAlign w:val="superscript"/>
        </w:rPr>
        <w:t>(4)</w:t>
      </w:r>
    </w:p>
    <w:p>
      <w:pPr>
        <w:ind w:left="580"/>
        <w:spacing w:after="0" w:line="185" w:lineRule="auto"/>
        <w:rPr>
          <w:sz w:val="20"/>
          <w:szCs w:val="20"/>
          <w:color w:val="auto"/>
        </w:rPr>
      </w:pPr>
      <w:r>
        <w:rPr>
          <w:rFonts w:ascii="Times New Roman" w:cs="Times New Roman" w:eastAsia="Times New Roman" w:hAnsi="Times New Roman"/>
          <w:sz w:val="18"/>
          <w:szCs w:val="18"/>
          <w:color w:val="auto"/>
        </w:rPr>
        <w:t>April 15, 2025</w:t>
      </w:r>
      <w:r>
        <w:rPr>
          <w:rFonts w:ascii="Times New Roman" w:cs="Times New Roman" w:eastAsia="Times New Roman" w:hAnsi="Times New Roman"/>
          <w:sz w:val="29"/>
          <w:szCs w:val="29"/>
          <w:color w:val="auto"/>
          <w:vertAlign w:val="superscript"/>
        </w:rPr>
        <w:t>(4)</w:t>
      </w:r>
    </w:p>
    <w:p>
      <w:pPr>
        <w:ind w:left="580"/>
        <w:spacing w:after="0" w:line="184" w:lineRule="auto"/>
        <w:rPr>
          <w:sz w:val="20"/>
          <w:szCs w:val="20"/>
          <w:color w:val="auto"/>
        </w:rPr>
      </w:pPr>
      <w:r>
        <w:rPr>
          <w:rFonts w:ascii="Times New Roman" w:cs="Times New Roman" w:eastAsia="Times New Roman" w:hAnsi="Times New Roman"/>
          <w:sz w:val="18"/>
          <w:szCs w:val="18"/>
          <w:color w:val="auto"/>
        </w:rPr>
        <w:t>April 16, 2025</w:t>
      </w:r>
      <w:r>
        <w:rPr>
          <w:rFonts w:ascii="Times New Roman" w:cs="Times New Roman" w:eastAsia="Times New Roman" w:hAnsi="Times New Roman"/>
          <w:sz w:val="29"/>
          <w:szCs w:val="29"/>
          <w:color w:val="auto"/>
          <w:vertAlign w:val="superscript"/>
        </w:rPr>
        <w:t>(4)</w:t>
      </w:r>
    </w:p>
    <w:p>
      <w:pPr>
        <w:ind w:left="580"/>
        <w:spacing w:after="0" w:line="185" w:lineRule="auto"/>
        <w:rPr>
          <w:sz w:val="20"/>
          <w:szCs w:val="20"/>
          <w:color w:val="auto"/>
        </w:rPr>
      </w:pPr>
      <w:r>
        <w:rPr>
          <w:rFonts w:ascii="Times New Roman" w:cs="Times New Roman" w:eastAsia="Times New Roman" w:hAnsi="Times New Roman"/>
          <w:sz w:val="18"/>
          <w:szCs w:val="18"/>
          <w:color w:val="auto"/>
        </w:rPr>
        <w:t>April 17, 2025</w:t>
      </w:r>
      <w:r>
        <w:rPr>
          <w:rFonts w:ascii="Times New Roman" w:cs="Times New Roman" w:eastAsia="Times New Roman" w:hAnsi="Times New Roman"/>
          <w:sz w:val="29"/>
          <w:szCs w:val="29"/>
          <w:color w:val="auto"/>
          <w:vertAlign w:val="superscript"/>
        </w:rPr>
        <w:t>(4)</w:t>
      </w:r>
    </w:p>
    <w:p>
      <w:pPr>
        <w:ind w:left="580"/>
        <w:spacing w:after="0" w:line="184" w:lineRule="auto"/>
        <w:rPr>
          <w:sz w:val="20"/>
          <w:szCs w:val="20"/>
          <w:color w:val="auto"/>
        </w:rPr>
      </w:pPr>
      <w:r>
        <w:rPr>
          <w:rFonts w:ascii="Times New Roman" w:cs="Times New Roman" w:eastAsia="Times New Roman" w:hAnsi="Times New Roman"/>
          <w:sz w:val="18"/>
          <w:szCs w:val="18"/>
          <w:color w:val="auto"/>
        </w:rPr>
        <w:t>April 21, 2025</w:t>
      </w:r>
      <w:r>
        <w:rPr>
          <w:rFonts w:ascii="Times New Roman" w:cs="Times New Roman" w:eastAsia="Times New Roman" w:hAnsi="Times New Roman"/>
          <w:sz w:val="29"/>
          <w:szCs w:val="29"/>
          <w:color w:val="auto"/>
          <w:vertAlign w:val="superscript"/>
        </w:rPr>
        <w:t>(4)</w:t>
      </w:r>
    </w:p>
    <w:p>
      <w:pPr>
        <w:ind w:left="580"/>
        <w:spacing w:after="0" w:line="185" w:lineRule="auto"/>
        <w:rPr>
          <w:sz w:val="20"/>
          <w:szCs w:val="20"/>
          <w:color w:val="auto"/>
        </w:rPr>
      </w:pPr>
      <w:r>
        <w:rPr>
          <w:rFonts w:ascii="Times New Roman" w:cs="Times New Roman" w:eastAsia="Times New Roman" w:hAnsi="Times New Roman"/>
          <w:sz w:val="18"/>
          <w:szCs w:val="18"/>
          <w:color w:val="auto"/>
        </w:rPr>
        <w:t>April 22, 2025</w:t>
      </w:r>
      <w:r>
        <w:rPr>
          <w:rFonts w:ascii="Times New Roman" w:cs="Times New Roman" w:eastAsia="Times New Roman" w:hAnsi="Times New Roman"/>
          <w:sz w:val="29"/>
          <w:szCs w:val="29"/>
          <w:color w:val="auto"/>
          <w:vertAlign w:val="superscript"/>
        </w:rPr>
        <w:t>(4)</w:t>
      </w:r>
    </w:p>
    <w:p>
      <w:pPr>
        <w:ind w:left="580"/>
        <w:spacing w:after="0" w:line="185" w:lineRule="auto"/>
        <w:rPr>
          <w:sz w:val="20"/>
          <w:szCs w:val="20"/>
          <w:color w:val="auto"/>
        </w:rPr>
      </w:pPr>
      <w:r>
        <w:rPr>
          <w:rFonts w:ascii="Times New Roman" w:cs="Times New Roman" w:eastAsia="Times New Roman" w:hAnsi="Times New Roman"/>
          <w:sz w:val="18"/>
          <w:szCs w:val="18"/>
          <w:color w:val="auto"/>
        </w:rPr>
        <w:t>April 23, 2025</w:t>
      </w:r>
      <w:r>
        <w:rPr>
          <w:rFonts w:ascii="Times New Roman" w:cs="Times New Roman" w:eastAsia="Times New Roman" w:hAnsi="Times New Roman"/>
          <w:sz w:val="29"/>
          <w:szCs w:val="29"/>
          <w:color w:val="auto"/>
          <w:vertAlign w:val="superscript"/>
        </w:rPr>
        <w:t>(4)</w:t>
      </w:r>
    </w:p>
    <w:p>
      <w:pPr>
        <w:ind w:left="580"/>
        <w:spacing w:after="0" w:line="184" w:lineRule="auto"/>
        <w:rPr>
          <w:sz w:val="20"/>
          <w:szCs w:val="20"/>
          <w:color w:val="auto"/>
        </w:rPr>
      </w:pPr>
      <w:r>
        <w:rPr>
          <w:rFonts w:ascii="Times New Roman" w:cs="Times New Roman" w:eastAsia="Times New Roman" w:hAnsi="Times New Roman"/>
          <w:sz w:val="18"/>
          <w:szCs w:val="18"/>
          <w:color w:val="auto"/>
        </w:rPr>
        <w:t>April 24, 2025</w:t>
      </w:r>
      <w:r>
        <w:rPr>
          <w:rFonts w:ascii="Times New Roman" w:cs="Times New Roman" w:eastAsia="Times New Roman" w:hAnsi="Times New Roman"/>
          <w:sz w:val="29"/>
          <w:szCs w:val="29"/>
          <w:color w:val="auto"/>
          <w:vertAlign w:val="superscript"/>
        </w:rPr>
        <w:t>(4)</w:t>
      </w:r>
    </w:p>
    <w:p>
      <w:pPr>
        <w:ind w:left="580"/>
        <w:spacing w:after="0" w:line="185" w:lineRule="auto"/>
        <w:rPr>
          <w:sz w:val="20"/>
          <w:szCs w:val="20"/>
          <w:color w:val="auto"/>
        </w:rPr>
      </w:pPr>
      <w:r>
        <w:rPr>
          <w:rFonts w:ascii="Times New Roman" w:cs="Times New Roman" w:eastAsia="Times New Roman" w:hAnsi="Times New Roman"/>
          <w:sz w:val="18"/>
          <w:szCs w:val="18"/>
          <w:color w:val="auto"/>
        </w:rPr>
        <w:t>April 25, 2025</w:t>
      </w:r>
      <w:r>
        <w:rPr>
          <w:rFonts w:ascii="Times New Roman" w:cs="Times New Roman" w:eastAsia="Times New Roman" w:hAnsi="Times New Roman"/>
          <w:sz w:val="29"/>
          <w:szCs w:val="29"/>
          <w:color w:val="auto"/>
          <w:vertAlign w:val="superscript"/>
        </w:rPr>
        <w:t>(4)</w:t>
      </w:r>
    </w:p>
    <w:p>
      <w:pPr>
        <w:ind w:left="660"/>
        <w:spacing w:after="0" w:line="184" w:lineRule="auto"/>
        <w:rPr>
          <w:sz w:val="20"/>
          <w:szCs w:val="20"/>
          <w:color w:val="auto"/>
        </w:rPr>
      </w:pPr>
      <w:r>
        <w:rPr>
          <w:rFonts w:ascii="Times New Roman" w:cs="Times New Roman" w:eastAsia="Times New Roman" w:hAnsi="Times New Roman"/>
          <w:sz w:val="18"/>
          <w:szCs w:val="18"/>
          <w:color w:val="auto"/>
        </w:rPr>
        <w:t>May 1, 2025</w:t>
      </w:r>
      <w:r>
        <w:rPr>
          <w:rFonts w:ascii="Times New Roman" w:cs="Times New Roman" w:eastAsia="Times New Roman" w:hAnsi="Times New Roman"/>
          <w:sz w:val="29"/>
          <w:szCs w:val="29"/>
          <w:color w:val="auto"/>
          <w:vertAlign w:val="superscript"/>
        </w:rPr>
        <w:t>(4)</w:t>
      </w:r>
    </w:p>
    <w:p>
      <w:pPr>
        <w:ind w:left="660"/>
        <w:spacing w:after="0" w:line="185" w:lineRule="auto"/>
        <w:rPr>
          <w:sz w:val="20"/>
          <w:szCs w:val="20"/>
          <w:color w:val="auto"/>
        </w:rPr>
      </w:pPr>
      <w:r>
        <w:rPr>
          <w:rFonts w:ascii="Times New Roman" w:cs="Times New Roman" w:eastAsia="Times New Roman" w:hAnsi="Times New Roman"/>
          <w:sz w:val="18"/>
          <w:szCs w:val="18"/>
          <w:color w:val="auto"/>
        </w:rPr>
        <w:t>May 2, 2025</w:t>
      </w:r>
      <w:r>
        <w:rPr>
          <w:rFonts w:ascii="Times New Roman" w:cs="Times New Roman" w:eastAsia="Times New Roman" w:hAnsi="Times New Roman"/>
          <w:sz w:val="29"/>
          <w:szCs w:val="29"/>
          <w:color w:val="auto"/>
          <w:vertAlign w:val="superscript"/>
        </w:rPr>
        <w:t>(4)</w:t>
      </w:r>
    </w:p>
    <w:p>
      <w:pPr>
        <w:ind w:left="660"/>
        <w:spacing w:after="0" w:line="185" w:lineRule="auto"/>
        <w:rPr>
          <w:sz w:val="20"/>
          <w:szCs w:val="20"/>
          <w:color w:val="auto"/>
        </w:rPr>
      </w:pPr>
      <w:r>
        <w:rPr>
          <w:rFonts w:ascii="Times New Roman" w:cs="Times New Roman" w:eastAsia="Times New Roman" w:hAnsi="Times New Roman"/>
          <w:sz w:val="18"/>
          <w:szCs w:val="18"/>
          <w:color w:val="auto"/>
        </w:rPr>
        <w:t>May 5, 2025</w:t>
      </w:r>
      <w:r>
        <w:rPr>
          <w:rFonts w:ascii="Times New Roman" w:cs="Times New Roman" w:eastAsia="Times New Roman" w:hAnsi="Times New Roman"/>
          <w:sz w:val="29"/>
          <w:szCs w:val="29"/>
          <w:color w:val="auto"/>
          <w:vertAlign w:val="superscript"/>
        </w:rPr>
        <w:t>(4)</w:t>
      </w:r>
    </w:p>
    <w:p>
      <w:pPr>
        <w:ind w:left="620"/>
        <w:spacing w:after="0" w:line="184" w:lineRule="auto"/>
        <w:rPr>
          <w:sz w:val="20"/>
          <w:szCs w:val="20"/>
          <w:color w:val="auto"/>
        </w:rPr>
      </w:pPr>
      <w:r>
        <w:rPr>
          <w:rFonts w:ascii="Times New Roman" w:cs="Times New Roman" w:eastAsia="Times New Roman" w:hAnsi="Times New Roman"/>
          <w:sz w:val="18"/>
          <w:szCs w:val="18"/>
          <w:color w:val="auto"/>
        </w:rPr>
        <w:t>May 15, 2025</w:t>
      </w:r>
      <w:r>
        <w:rPr>
          <w:rFonts w:ascii="Times New Roman" w:cs="Times New Roman" w:eastAsia="Times New Roman" w:hAnsi="Times New Roman"/>
          <w:sz w:val="29"/>
          <w:szCs w:val="29"/>
          <w:color w:val="auto"/>
          <w:vertAlign w:val="superscript"/>
        </w:rPr>
        <w:t>(4)</w:t>
      </w:r>
    </w:p>
    <w:p>
      <w:pPr>
        <w:ind w:left="620"/>
        <w:spacing w:after="0" w:line="185" w:lineRule="auto"/>
        <w:rPr>
          <w:sz w:val="20"/>
          <w:szCs w:val="20"/>
          <w:color w:val="auto"/>
        </w:rPr>
      </w:pPr>
      <w:r>
        <w:rPr>
          <w:rFonts w:ascii="Times New Roman" w:cs="Times New Roman" w:eastAsia="Times New Roman" w:hAnsi="Times New Roman"/>
          <w:sz w:val="18"/>
          <w:szCs w:val="18"/>
          <w:color w:val="auto"/>
        </w:rPr>
        <w:t>May 16, 2025</w:t>
      </w:r>
      <w:r>
        <w:rPr>
          <w:rFonts w:ascii="Times New Roman" w:cs="Times New Roman" w:eastAsia="Times New Roman" w:hAnsi="Times New Roman"/>
          <w:sz w:val="29"/>
          <w:szCs w:val="29"/>
          <w:color w:val="auto"/>
          <w:vertAlign w:val="superscript"/>
        </w:rPr>
        <w:t>(4)</w:t>
      </w:r>
    </w:p>
    <w:p>
      <w:pPr>
        <w:ind w:left="620"/>
        <w:spacing w:after="0" w:line="184" w:lineRule="auto"/>
        <w:rPr>
          <w:sz w:val="20"/>
          <w:szCs w:val="20"/>
          <w:color w:val="auto"/>
        </w:rPr>
      </w:pPr>
      <w:r>
        <w:rPr>
          <w:rFonts w:ascii="Times New Roman" w:cs="Times New Roman" w:eastAsia="Times New Roman" w:hAnsi="Times New Roman"/>
          <w:sz w:val="18"/>
          <w:szCs w:val="18"/>
          <w:color w:val="auto"/>
        </w:rPr>
        <w:t>May 19, 2025</w:t>
      </w:r>
      <w:r>
        <w:rPr>
          <w:rFonts w:ascii="Times New Roman" w:cs="Times New Roman" w:eastAsia="Times New Roman" w:hAnsi="Times New Roman"/>
          <w:sz w:val="29"/>
          <w:szCs w:val="29"/>
          <w:color w:val="auto"/>
          <w:vertAlign w:val="superscript"/>
        </w:rPr>
        <w:t>(4)</w:t>
      </w:r>
    </w:p>
    <w:p>
      <w:pPr>
        <w:ind w:left="620"/>
        <w:spacing w:after="0" w:line="185" w:lineRule="auto"/>
        <w:rPr>
          <w:sz w:val="20"/>
          <w:szCs w:val="20"/>
          <w:color w:val="auto"/>
        </w:rPr>
      </w:pPr>
      <w:r>
        <w:rPr>
          <w:rFonts w:ascii="Times New Roman" w:cs="Times New Roman" w:eastAsia="Times New Roman" w:hAnsi="Times New Roman"/>
          <w:sz w:val="18"/>
          <w:szCs w:val="18"/>
          <w:color w:val="auto"/>
        </w:rPr>
        <w:t>May 20, 2025</w:t>
      </w:r>
      <w:r>
        <w:rPr>
          <w:rFonts w:ascii="Times New Roman" w:cs="Times New Roman" w:eastAsia="Times New Roman" w:hAnsi="Times New Roman"/>
          <w:sz w:val="29"/>
          <w:szCs w:val="29"/>
          <w:color w:val="auto"/>
          <w:vertAlign w:val="superscript"/>
        </w:rPr>
        <w:t>(4)</w:t>
      </w:r>
    </w:p>
    <w:p>
      <w:pPr>
        <w:ind w:left="620"/>
        <w:spacing w:after="0" w:line="184" w:lineRule="auto"/>
        <w:rPr>
          <w:sz w:val="20"/>
          <w:szCs w:val="20"/>
          <w:color w:val="auto"/>
        </w:rPr>
      </w:pPr>
      <w:r>
        <w:rPr>
          <w:rFonts w:ascii="Times New Roman" w:cs="Times New Roman" w:eastAsia="Times New Roman" w:hAnsi="Times New Roman"/>
          <w:sz w:val="18"/>
          <w:szCs w:val="18"/>
          <w:color w:val="auto"/>
        </w:rPr>
        <w:t>May 21, 2025</w:t>
      </w:r>
      <w:r>
        <w:rPr>
          <w:rFonts w:ascii="Times New Roman" w:cs="Times New Roman" w:eastAsia="Times New Roman" w:hAnsi="Times New Roman"/>
          <w:sz w:val="29"/>
          <w:szCs w:val="29"/>
          <w:color w:val="auto"/>
          <w:vertAlign w:val="superscript"/>
        </w:rPr>
        <w:t>(4)</w:t>
      </w:r>
    </w:p>
    <w:p>
      <w:pPr>
        <w:ind w:left="620"/>
        <w:spacing w:after="0" w:line="185" w:lineRule="auto"/>
        <w:rPr>
          <w:sz w:val="20"/>
          <w:szCs w:val="20"/>
          <w:color w:val="auto"/>
        </w:rPr>
      </w:pPr>
      <w:r>
        <w:rPr>
          <w:rFonts w:ascii="Times New Roman" w:cs="Times New Roman" w:eastAsia="Times New Roman" w:hAnsi="Times New Roman"/>
          <w:sz w:val="18"/>
          <w:szCs w:val="18"/>
          <w:color w:val="auto"/>
        </w:rPr>
        <w:t>May 22, 2025</w:t>
      </w:r>
      <w:r>
        <w:rPr>
          <w:rFonts w:ascii="Times New Roman" w:cs="Times New Roman" w:eastAsia="Times New Roman" w:hAnsi="Times New Roman"/>
          <w:sz w:val="29"/>
          <w:szCs w:val="29"/>
          <w:color w:val="auto"/>
          <w:vertAlign w:val="superscript"/>
        </w:rPr>
        <w:t>(4)</w:t>
      </w:r>
    </w:p>
    <w:p>
      <w:pPr>
        <w:ind w:left="620"/>
        <w:spacing w:after="0" w:line="185" w:lineRule="auto"/>
        <w:rPr>
          <w:sz w:val="20"/>
          <w:szCs w:val="20"/>
          <w:color w:val="auto"/>
        </w:rPr>
      </w:pPr>
      <w:r>
        <w:rPr>
          <w:rFonts w:ascii="Times New Roman" w:cs="Times New Roman" w:eastAsia="Times New Roman" w:hAnsi="Times New Roman"/>
          <w:sz w:val="18"/>
          <w:szCs w:val="18"/>
          <w:color w:val="auto"/>
        </w:rPr>
        <w:t>May 29, 2025</w:t>
      </w:r>
      <w:r>
        <w:rPr>
          <w:rFonts w:ascii="Times New Roman" w:cs="Times New Roman" w:eastAsia="Times New Roman" w:hAnsi="Times New Roman"/>
          <w:sz w:val="29"/>
          <w:szCs w:val="29"/>
          <w:color w:val="auto"/>
          <w:vertAlign w:val="superscript"/>
        </w:rPr>
        <w:t>(4)</w:t>
      </w:r>
    </w:p>
    <w:p>
      <w:pPr>
        <w:ind w:left="660"/>
        <w:spacing w:after="0" w:line="184" w:lineRule="auto"/>
        <w:rPr>
          <w:sz w:val="20"/>
          <w:szCs w:val="20"/>
          <w:color w:val="auto"/>
        </w:rPr>
      </w:pPr>
      <w:r>
        <w:rPr>
          <w:rFonts w:ascii="Times New Roman" w:cs="Times New Roman" w:eastAsia="Times New Roman" w:hAnsi="Times New Roman"/>
          <w:sz w:val="18"/>
          <w:szCs w:val="18"/>
          <w:color w:val="auto"/>
        </w:rPr>
        <w:t>June 4, 2025</w:t>
      </w:r>
      <w:r>
        <w:rPr>
          <w:rFonts w:ascii="Times New Roman" w:cs="Times New Roman" w:eastAsia="Times New Roman" w:hAnsi="Times New Roman"/>
          <w:sz w:val="29"/>
          <w:szCs w:val="29"/>
          <w:color w:val="auto"/>
          <w:vertAlign w:val="superscript"/>
        </w:rPr>
        <w:t>(4)</w:t>
      </w:r>
    </w:p>
    <w:p>
      <w:pPr>
        <w:ind w:left="660"/>
        <w:spacing w:after="0" w:line="185" w:lineRule="auto"/>
        <w:rPr>
          <w:sz w:val="20"/>
          <w:szCs w:val="20"/>
          <w:color w:val="auto"/>
        </w:rPr>
      </w:pPr>
      <w:r>
        <w:rPr>
          <w:rFonts w:ascii="Times New Roman" w:cs="Times New Roman" w:eastAsia="Times New Roman" w:hAnsi="Times New Roman"/>
          <w:sz w:val="18"/>
          <w:szCs w:val="18"/>
          <w:color w:val="auto"/>
        </w:rPr>
        <w:t>June 6, 2025</w:t>
      </w:r>
      <w:r>
        <w:rPr>
          <w:rFonts w:ascii="Times New Roman" w:cs="Times New Roman" w:eastAsia="Times New Roman" w:hAnsi="Times New Roman"/>
          <w:sz w:val="29"/>
          <w:szCs w:val="29"/>
          <w:color w:val="auto"/>
          <w:vertAlign w:val="superscript"/>
        </w:rPr>
        <w:t>(4)</w:t>
      </w:r>
    </w:p>
    <w:p>
      <w:pPr>
        <w:ind w:left="660"/>
        <w:spacing w:after="0" w:line="184" w:lineRule="auto"/>
        <w:rPr>
          <w:sz w:val="20"/>
          <w:szCs w:val="20"/>
          <w:color w:val="auto"/>
        </w:rPr>
      </w:pPr>
      <w:r>
        <w:rPr>
          <w:rFonts w:ascii="Times New Roman" w:cs="Times New Roman" w:eastAsia="Times New Roman" w:hAnsi="Times New Roman"/>
          <w:sz w:val="18"/>
          <w:szCs w:val="18"/>
          <w:color w:val="auto"/>
        </w:rPr>
        <w:t>June 9, 2025</w:t>
      </w:r>
      <w:r>
        <w:rPr>
          <w:rFonts w:ascii="Times New Roman" w:cs="Times New Roman" w:eastAsia="Times New Roman" w:hAnsi="Times New Roman"/>
          <w:sz w:val="29"/>
          <w:szCs w:val="29"/>
          <w:color w:val="auto"/>
          <w:vertAlign w:val="superscript"/>
        </w:rPr>
        <w:t>(4)</w:t>
      </w:r>
    </w:p>
    <w:p>
      <w:pPr>
        <w:ind w:left="620"/>
        <w:spacing w:after="0" w:line="185" w:lineRule="auto"/>
        <w:rPr>
          <w:sz w:val="20"/>
          <w:szCs w:val="20"/>
          <w:color w:val="auto"/>
        </w:rPr>
      </w:pPr>
      <w:r>
        <w:rPr>
          <w:rFonts w:ascii="Times New Roman" w:cs="Times New Roman" w:eastAsia="Times New Roman" w:hAnsi="Times New Roman"/>
          <w:sz w:val="18"/>
          <w:szCs w:val="18"/>
          <w:color w:val="auto"/>
        </w:rPr>
        <w:t>June 11, 2025</w:t>
      </w:r>
      <w:r>
        <w:rPr>
          <w:rFonts w:ascii="Times New Roman" w:cs="Times New Roman" w:eastAsia="Times New Roman" w:hAnsi="Times New Roman"/>
          <w:sz w:val="29"/>
          <w:szCs w:val="29"/>
          <w:color w:val="auto"/>
          <w:vertAlign w:val="superscript"/>
        </w:rPr>
        <w:t>(4)</w:t>
      </w:r>
    </w:p>
    <w:p>
      <w:pPr>
        <w:ind w:left="620"/>
        <w:spacing w:after="0" w:line="185" w:lineRule="auto"/>
        <w:rPr>
          <w:sz w:val="20"/>
          <w:szCs w:val="20"/>
          <w:color w:val="auto"/>
        </w:rPr>
      </w:pPr>
      <w:r>
        <w:rPr>
          <w:rFonts w:ascii="Times New Roman" w:cs="Times New Roman" w:eastAsia="Times New Roman" w:hAnsi="Times New Roman"/>
          <w:sz w:val="18"/>
          <w:szCs w:val="18"/>
          <w:color w:val="auto"/>
        </w:rPr>
        <w:t>June 12, 2025</w:t>
      </w:r>
      <w:r>
        <w:rPr>
          <w:rFonts w:ascii="Times New Roman" w:cs="Times New Roman" w:eastAsia="Times New Roman" w:hAnsi="Times New Roman"/>
          <w:sz w:val="29"/>
          <w:szCs w:val="29"/>
          <w:color w:val="auto"/>
          <w:vertAlign w:val="superscript"/>
        </w:rPr>
        <w:t>(4)</w:t>
      </w:r>
    </w:p>
    <w:p>
      <w:pPr>
        <w:ind w:left="620"/>
        <w:spacing w:after="0" w:line="184" w:lineRule="auto"/>
        <w:rPr>
          <w:sz w:val="20"/>
          <w:szCs w:val="20"/>
          <w:color w:val="auto"/>
        </w:rPr>
      </w:pPr>
      <w:r>
        <w:rPr>
          <w:rFonts w:ascii="Times New Roman" w:cs="Times New Roman" w:eastAsia="Times New Roman" w:hAnsi="Times New Roman"/>
          <w:sz w:val="18"/>
          <w:szCs w:val="18"/>
          <w:color w:val="auto"/>
        </w:rPr>
        <w:t>June 16, 2025</w:t>
      </w:r>
      <w:r>
        <w:rPr>
          <w:rFonts w:ascii="Times New Roman" w:cs="Times New Roman" w:eastAsia="Times New Roman" w:hAnsi="Times New Roman"/>
          <w:sz w:val="29"/>
          <w:szCs w:val="29"/>
          <w:color w:val="auto"/>
          <w:vertAlign w:val="superscript"/>
        </w:rPr>
        <w:t>(4)</w:t>
      </w:r>
    </w:p>
    <w:p>
      <w:pPr>
        <w:ind w:left="620"/>
        <w:spacing w:after="0" w:line="185" w:lineRule="auto"/>
        <w:rPr>
          <w:sz w:val="20"/>
          <w:szCs w:val="20"/>
          <w:color w:val="auto"/>
        </w:rPr>
      </w:pPr>
      <w:r>
        <w:rPr>
          <w:rFonts w:ascii="Times New Roman" w:cs="Times New Roman" w:eastAsia="Times New Roman" w:hAnsi="Times New Roman"/>
          <w:sz w:val="18"/>
          <w:szCs w:val="18"/>
          <w:color w:val="auto"/>
        </w:rPr>
        <w:t>June 18, 2025</w:t>
      </w:r>
      <w:r>
        <w:rPr>
          <w:rFonts w:ascii="Times New Roman" w:cs="Times New Roman" w:eastAsia="Times New Roman" w:hAnsi="Times New Roman"/>
          <w:sz w:val="29"/>
          <w:szCs w:val="29"/>
          <w:color w:val="auto"/>
          <w:vertAlign w:val="superscript"/>
        </w:rPr>
        <w:t>(4)</w:t>
      </w:r>
    </w:p>
    <w:p>
      <w:pPr>
        <w:ind w:left="620"/>
        <w:spacing w:after="0" w:line="185" w:lineRule="auto"/>
        <w:rPr>
          <w:sz w:val="20"/>
          <w:szCs w:val="20"/>
          <w:color w:val="auto"/>
        </w:rPr>
      </w:pPr>
      <w:r>
        <w:rPr>
          <w:rFonts w:ascii="Times New Roman" w:cs="Times New Roman" w:eastAsia="Times New Roman" w:hAnsi="Times New Roman"/>
          <w:sz w:val="18"/>
          <w:szCs w:val="18"/>
          <w:color w:val="auto"/>
        </w:rPr>
        <w:t>June 30, 2025</w:t>
      </w:r>
      <w:r>
        <w:rPr>
          <w:rFonts w:ascii="Times New Roman" w:cs="Times New Roman" w:eastAsia="Times New Roman" w:hAnsi="Times New Roman"/>
          <w:sz w:val="29"/>
          <w:szCs w:val="29"/>
          <w:color w:val="auto"/>
          <w:vertAlign w:val="superscript"/>
        </w:rPr>
        <w:t>(5)</w:t>
      </w:r>
    </w:p>
    <w:p>
      <w:pPr>
        <w:ind w:left="620"/>
        <w:spacing w:after="0" w:line="184" w:lineRule="auto"/>
        <w:rPr>
          <w:sz w:val="20"/>
          <w:szCs w:val="20"/>
          <w:color w:val="auto"/>
        </w:rPr>
      </w:pPr>
      <w:r>
        <w:rPr>
          <w:rFonts w:ascii="Times New Roman" w:cs="Times New Roman" w:eastAsia="Times New Roman" w:hAnsi="Times New Roman"/>
          <w:sz w:val="18"/>
          <w:szCs w:val="18"/>
          <w:color w:val="auto"/>
        </w:rPr>
        <w:t>July 17, 2025</w:t>
      </w:r>
      <w:r>
        <w:rPr>
          <w:rFonts w:ascii="Times New Roman" w:cs="Times New Roman" w:eastAsia="Times New Roman" w:hAnsi="Times New Roman"/>
          <w:sz w:val="29"/>
          <w:szCs w:val="29"/>
          <w:color w:val="auto"/>
          <w:vertAlign w:val="superscript"/>
        </w:rPr>
        <w:t>(7)</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August 15, 2025</w:t>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August 15, 2025</w:t>
      </w:r>
    </w:p>
    <w:p>
      <w:pPr>
        <w:ind w:left="520"/>
        <w:spacing w:after="0" w:line="198" w:lineRule="auto"/>
        <w:rPr>
          <w:sz w:val="20"/>
          <w:szCs w:val="20"/>
          <w:color w:val="auto"/>
        </w:rPr>
      </w:pPr>
      <w:r>
        <w:rPr>
          <w:rFonts w:ascii="Times New Roman" w:cs="Times New Roman" w:eastAsia="Times New Roman" w:hAnsi="Times New Roman"/>
          <w:sz w:val="17"/>
          <w:szCs w:val="17"/>
          <w:color w:val="auto"/>
        </w:rPr>
        <w:t>August 25, 2025</w:t>
      </w:r>
      <w:r>
        <w:rPr>
          <w:rFonts w:ascii="Times New Roman" w:cs="Times New Roman" w:eastAsia="Times New Roman" w:hAnsi="Times New Roman"/>
          <w:sz w:val="28"/>
          <w:szCs w:val="28"/>
          <w:color w:val="auto"/>
          <w:vertAlign w:val="superscript"/>
        </w:rPr>
        <w:t>(7)</w:t>
      </w:r>
    </w:p>
    <w:p>
      <w:pPr>
        <w:ind w:left="520"/>
        <w:spacing w:after="0" w:line="192" w:lineRule="auto"/>
        <w:rPr>
          <w:sz w:val="20"/>
          <w:szCs w:val="20"/>
          <w:color w:val="auto"/>
        </w:rPr>
      </w:pPr>
      <w:r>
        <w:rPr>
          <w:rFonts w:ascii="Times New Roman" w:cs="Times New Roman" w:eastAsia="Times New Roman" w:hAnsi="Times New Roman"/>
          <w:sz w:val="17"/>
          <w:szCs w:val="17"/>
          <w:color w:val="auto"/>
        </w:rPr>
        <w:t>August 28, 2025</w:t>
      </w:r>
      <w:r>
        <w:rPr>
          <w:rFonts w:ascii="Times New Roman" w:cs="Times New Roman" w:eastAsia="Times New Roman" w:hAnsi="Times New Roman"/>
          <w:sz w:val="28"/>
          <w:szCs w:val="28"/>
          <w:color w:val="auto"/>
          <w:vertAlign w:val="superscript"/>
        </w:rPr>
        <w:t>(7)</w:t>
      </w:r>
    </w:p>
    <w:p>
      <w:pPr>
        <w:ind w:left="520"/>
        <w:spacing w:after="0" w:line="191" w:lineRule="auto"/>
        <w:rPr>
          <w:sz w:val="20"/>
          <w:szCs w:val="20"/>
          <w:color w:val="auto"/>
        </w:rPr>
      </w:pPr>
      <w:r>
        <w:rPr>
          <w:rFonts w:ascii="Times New Roman" w:cs="Times New Roman" w:eastAsia="Times New Roman" w:hAnsi="Times New Roman"/>
          <w:sz w:val="17"/>
          <w:szCs w:val="17"/>
          <w:color w:val="auto"/>
        </w:rPr>
        <w:t>August 28, 2025</w:t>
      </w:r>
      <w:r>
        <w:rPr>
          <w:rFonts w:ascii="Times New Roman" w:cs="Times New Roman" w:eastAsia="Times New Roman" w:hAnsi="Times New Roman"/>
          <w:sz w:val="28"/>
          <w:szCs w:val="28"/>
          <w:color w:val="auto"/>
          <w:vertAlign w:val="superscript"/>
        </w:rPr>
        <w:t>(8)</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August 29,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14,500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$10.03</w:t>
            </w:r>
          </w:p>
        </w:tc>
      </w:tr>
      <w:tr>
        <w:trPr>
          <w:trHeight w:val="256"/>
        </w:trPr>
        <w:tc>
          <w:tcPr>
            <w:tcW w:w="16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7,500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$9.75</w:t>
            </w:r>
          </w:p>
        </w:tc>
      </w:tr>
      <w:tr>
        <w:trPr>
          <w:trHeight w:val="257"/>
        </w:trPr>
        <w:tc>
          <w:tcPr>
            <w:tcW w:w="16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4,600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$9.74</w:t>
            </w:r>
          </w:p>
        </w:tc>
      </w:tr>
      <w:tr>
        <w:trPr>
          <w:trHeight w:val="257"/>
        </w:trPr>
        <w:tc>
          <w:tcPr>
            <w:tcW w:w="16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1,271</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25,500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$8.95</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87,500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$10.64</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16,336</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$10.89</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17,000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$10.29</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107,700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$10.37</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55,000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$10.41</w:t>
            </w:r>
          </w:p>
        </w:tc>
      </w:tr>
      <w:tr>
        <w:trPr>
          <w:trHeight w:val="256"/>
        </w:trPr>
        <w:tc>
          <w:tcPr>
            <w:tcW w:w="16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9,000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$10.13</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55,849</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$9.83</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20,000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$9.76</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35,700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$9.43</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37,000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$9.37</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33,000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$9.34</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36,400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$9.00</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45,000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$8.95</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43,500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$9.31</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221,311</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$10.22</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316,800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$10.01</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34,000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$9.88</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112,413</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$11.38</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13,000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$11.45</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13,000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$12.19</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13,600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$12.53</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15,000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$12.40</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10,578</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$12.59</w:t>
            </w:r>
          </w:p>
        </w:tc>
      </w:tr>
      <w:tr>
        <w:trPr>
          <w:trHeight w:val="257"/>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18,236</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$11.92</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30,000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$11.07</w:t>
            </w:r>
          </w:p>
        </w:tc>
      </w:tr>
      <w:tr>
        <w:trPr>
          <w:trHeight w:val="257"/>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US$50,000,000</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Convertible Debentures</w:t>
            </w:r>
          </w:p>
        </w:tc>
        <w:tc>
          <w:tcPr>
            <w:tcW w:w="16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6"/>
              </w:rPr>
              <w:t>See note (6)</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566,394</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$10.44</w:t>
            </w:r>
          </w:p>
        </w:tc>
      </w:tr>
      <w:tr>
        <w:trPr>
          <w:trHeight w:val="238"/>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53,800</w:t>
            </w:r>
          </w:p>
        </w:tc>
        <w:tc>
          <w:tcPr>
            <w:tcW w:w="2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80,000</w:t>
            </w:r>
          </w:p>
        </w:tc>
        <w:tc>
          <w:tcPr>
            <w:tcW w:w="2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$11.00</w:t>
            </w:r>
          </w:p>
        </w:tc>
      </w:tr>
      <w:tr>
        <w:trPr>
          <w:trHeight w:val="234"/>
        </w:trPr>
        <w:tc>
          <w:tcPr>
            <w:tcW w:w="16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1,166,486</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$9.54</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423,812</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$9.85</w:t>
            </w:r>
          </w:p>
        </w:tc>
      </w:tr>
      <w:tr>
        <w:trPr>
          <w:trHeight w:val="257"/>
        </w:trPr>
        <w:tc>
          <w:tcPr>
            <w:tcW w:w="16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7,894</w:t>
            </w:r>
          </w:p>
        </w:tc>
        <w:tc>
          <w:tcPr>
            <w:tcW w:w="29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Common Shares</w:t>
            </w:r>
          </w:p>
        </w:tc>
        <w:tc>
          <w:tcPr>
            <w:tcW w:w="16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$9.50</w:t>
            </w:r>
          </w:p>
        </w:tc>
      </w:tr>
      <w:tr>
        <w:trPr>
          <w:trHeight w:val="256"/>
        </w:trPr>
        <w:tc>
          <w:tcPr>
            <w:tcW w:w="1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15,000</w:t>
            </w:r>
          </w:p>
        </w:tc>
        <w:tc>
          <w:tcPr>
            <w:tcW w:w="2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-1767840</wp:posOffset>
            </wp:positionH>
            <wp:positionV relativeFrom="paragraph">
              <wp:posOffset>-5948680</wp:posOffset>
            </wp:positionV>
            <wp:extent cx="641223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-5622925</wp:posOffset>
            </wp:positionV>
            <wp:extent cx="641223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-5297170</wp:posOffset>
            </wp:positionV>
            <wp:extent cx="641223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-4971415</wp:posOffset>
            </wp:positionV>
            <wp:extent cx="641223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-4645660</wp:posOffset>
            </wp:positionV>
            <wp:extent cx="641223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-4319905</wp:posOffset>
            </wp:positionV>
            <wp:extent cx="641223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-3994150</wp:posOffset>
            </wp:positionV>
            <wp:extent cx="641223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-3668395</wp:posOffset>
            </wp:positionV>
            <wp:extent cx="641223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-3342640</wp:posOffset>
            </wp:positionV>
            <wp:extent cx="641223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-3016885</wp:posOffset>
            </wp:positionV>
            <wp:extent cx="641223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-2691130</wp:posOffset>
            </wp:positionV>
            <wp:extent cx="641223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-2365375</wp:posOffset>
            </wp:positionV>
            <wp:extent cx="641223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-2039620</wp:posOffset>
            </wp:positionV>
            <wp:extent cx="641223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-1713865</wp:posOffset>
            </wp:positionV>
            <wp:extent cx="641223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-1388110</wp:posOffset>
            </wp:positionV>
            <wp:extent cx="641223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-1062355</wp:posOffset>
            </wp:positionV>
            <wp:extent cx="641223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-762635</wp:posOffset>
            </wp:positionV>
            <wp:extent cx="641223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-462280</wp:posOffset>
            </wp:positionV>
            <wp:extent cx="641223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-1767840</wp:posOffset>
            </wp:positionH>
            <wp:positionV relativeFrom="paragraph">
              <wp:posOffset>-136525</wp:posOffset>
            </wp:positionV>
            <wp:extent cx="641223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580" w:lineRule="exact"/>
        <w:rPr>
          <w:sz w:val="20"/>
          <w:szCs w:val="20"/>
          <w:color w:val="auto"/>
        </w:rPr>
      </w:pPr>
    </w:p>
    <w:p>
      <w:pPr>
        <w:sectPr>
          <w:pgSz w:w="11900" w:h="16838" w:orient="portrait"/>
          <w:cols w:equalWidth="0" w:num="2">
            <w:col w:w="2240" w:space="720"/>
            <w:col w:w="7880"/>
          </w:cols>
          <w:pgMar w:left="720" w:top="307" w:right="339" w:bottom="1440" w:gutter="0" w:footer="0" w:header="0"/>
        </w:sectPr>
      </w:pPr>
    </w:p>
    <w:p>
      <w:pPr>
        <w:ind w:left="480" w:hanging="440"/>
        <w:spacing w:after="0"/>
        <w:tabs>
          <w:tab w:leader="none" w:pos="4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figures related to securities are represented on a post-Consolidation basis.</w:t>
      </w:r>
    </w:p>
    <w:p>
      <w:pPr>
        <w:spacing w:after="0" w:line="14" w:lineRule="exact"/>
        <w:rPr>
          <w:rFonts w:ascii="Times New Roman" w:cs="Times New Roman" w:eastAsia="Times New Roman" w:hAnsi="Times New Roman"/>
          <w:sz w:val="22"/>
          <w:szCs w:val="22"/>
          <w:color w:val="auto"/>
        </w:rPr>
      </w:pPr>
    </w:p>
    <w:p>
      <w:pPr>
        <w:ind w:left="440" w:hanging="400"/>
        <w:spacing w:after="0" w:line="230" w:lineRule="auto"/>
        <w:tabs>
          <w:tab w:leader="none" w:pos="47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amounts have been converted from USD to CAD based on the average exchange rate posted by the Bank of Canada for the year ended March 31, 2025, being US$1.00 = C$1.3913.</w:t>
      </w:r>
    </w:p>
    <w:p>
      <w:pPr>
        <w:spacing w:after="0" w:line="1" w:lineRule="exact"/>
        <w:rPr>
          <w:rFonts w:ascii="Times New Roman" w:cs="Times New Roman" w:eastAsia="Times New Roman" w:hAnsi="Times New Roman"/>
          <w:sz w:val="22"/>
          <w:szCs w:val="22"/>
          <w:color w:val="auto"/>
        </w:rPr>
      </w:pPr>
    </w:p>
    <w:p>
      <w:pPr>
        <w:jc w:val="both"/>
        <w:ind w:left="440" w:hanging="400"/>
        <w:spacing w:after="0" w:line="234" w:lineRule="auto"/>
        <w:tabs>
          <w:tab w:leader="none" w:pos="47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prior at-the-market equity program (the "</w:t>
      </w:r>
      <w:r>
        <w:rPr>
          <w:rFonts w:ascii="Times New Roman" w:cs="Times New Roman" w:eastAsia="Times New Roman" w:hAnsi="Times New Roman"/>
          <w:sz w:val="22"/>
          <w:szCs w:val="22"/>
          <w:b w:val="1"/>
          <w:bCs w:val="1"/>
          <w:color w:val="auto"/>
        </w:rPr>
        <w:t>2023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allowed the Corporation to issue and sell up to US$35,000,000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2023 ATM Program was qualified by the prospectus supplement dated August 23, 2023.</w:t>
      </w:r>
    </w:p>
    <w:p>
      <w:pPr>
        <w:spacing w:after="0" w:line="13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120650</wp:posOffset>
            </wp:positionV>
            <wp:extent cx="71532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840"/>
          </w:cols>
          <w:pgMar w:left="720" w:top="307" w:right="339" w:bottom="1440" w:gutter="0" w:footer="0" w:header="0"/>
          <w:type w:val="continuous"/>
        </w:sectPr>
      </w:pPr>
    </w:p>
    <w:bookmarkStart w:id="19" w:name="page20"/>
    <w:bookmarkEnd w:id="19"/>
    <w:p>
      <w:pPr>
        <w:jc w:val="both"/>
        <w:ind w:left="840" w:hanging="400"/>
        <w:spacing w:after="0" w:line="237" w:lineRule="auto"/>
        <w:tabs>
          <w:tab w:leader="none" w:pos="87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in connection with the Corporation's current at-the-market equity program (the "</w:t>
      </w:r>
      <w:r>
        <w:rPr>
          <w:rFonts w:ascii="Times New Roman" w:cs="Times New Roman" w:eastAsia="Times New Roman" w:hAnsi="Times New Roman"/>
          <w:sz w:val="22"/>
          <w:szCs w:val="22"/>
          <w:b w:val="1"/>
          <w:bCs w:val="1"/>
          <w:color w:val="auto"/>
        </w:rPr>
        <w:t>2025 ATM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Program</w:t>
      </w:r>
      <w:r>
        <w:rPr>
          <w:rFonts w:ascii="Times New Roman" w:cs="Times New Roman" w:eastAsia="Times New Roman" w:hAnsi="Times New Roman"/>
          <w:sz w:val="22"/>
          <w:szCs w:val="22"/>
          <w:color w:val="auto"/>
        </w:rPr>
        <w:t>") under the Base Shelf Prospectus which allows the Corporation to issue and sell up to US$100,000,000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Shares to the public, from time to time, at its discretion. The 2025 ATM Program is qualified by the prospectus supplement dated February 10, 2025.</w:t>
      </w:r>
    </w:p>
    <w:p>
      <w:pPr>
        <w:spacing w:after="0" w:line="1" w:lineRule="exact"/>
        <w:rPr>
          <w:rFonts w:ascii="Times New Roman" w:cs="Times New Roman" w:eastAsia="Times New Roman" w:hAnsi="Times New Roman"/>
          <w:sz w:val="22"/>
          <w:szCs w:val="22"/>
          <w:color w:val="auto"/>
        </w:rPr>
      </w:pPr>
    </w:p>
    <w:p>
      <w:pPr>
        <w:ind w:left="880" w:hanging="440"/>
        <w:spacing w:after="0" w:line="230" w:lineRule="auto"/>
        <w:tabs>
          <w:tab w:leader="none" w:pos="8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Convertible Debentures issued in connection with the June 2025 Private Placement.</w:t>
      </w:r>
    </w:p>
    <w:p>
      <w:pPr>
        <w:ind w:left="840" w:hanging="400"/>
        <w:spacing w:after="0" w:line="230" w:lineRule="auto"/>
        <w:tabs>
          <w:tab w:leader="none" w:pos="87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and accrued and unpaid interest, if any, on the Convertible Debentures is convertible into Common Shares at the Conversion Price.</w:t>
      </w:r>
    </w:p>
    <w:p>
      <w:pPr>
        <w:spacing w:after="0" w:line="1" w:lineRule="exact"/>
        <w:rPr>
          <w:rFonts w:ascii="Times New Roman" w:cs="Times New Roman" w:eastAsia="Times New Roman" w:hAnsi="Times New Roman"/>
          <w:sz w:val="22"/>
          <w:szCs w:val="22"/>
          <w:color w:val="auto"/>
        </w:rPr>
      </w:pPr>
    </w:p>
    <w:p>
      <w:pPr>
        <w:ind w:left="880" w:hanging="440"/>
        <w:spacing w:after="0" w:line="230" w:lineRule="auto"/>
        <w:tabs>
          <w:tab w:leader="none" w:pos="8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on conversion of the Convertible Debentures.</w:t>
      </w:r>
    </w:p>
    <w:p>
      <w:pPr>
        <w:ind w:left="880" w:hanging="440"/>
        <w:spacing w:after="0"/>
        <w:tabs>
          <w:tab w:leader="none" w:pos="8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Shares issued upon exercise of certain options to purchase Common Shares.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CANADIAN INCOME TAX CONSIDERATIONS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following is, as at the date of this Prospectus Supplement, a summary of the principal Canadian federal income tax considerations under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 and the regulations thereunder (collectively, the “</w:t>
      </w:r>
      <w:r>
        <w:rPr>
          <w:rFonts w:ascii="Times New Roman" w:cs="Times New Roman" w:eastAsia="Times New Roman" w:hAnsi="Times New Roman"/>
          <w:sz w:val="22"/>
          <w:szCs w:val="22"/>
          <w:b w:val="1"/>
          <w:bCs w:val="1"/>
          <w:color w:val="auto"/>
        </w:rPr>
        <w:t>Tax Act</w:t>
      </w:r>
      <w:r>
        <w:rPr>
          <w:rFonts w:ascii="Times New Roman" w:cs="Times New Roman" w:eastAsia="Times New Roman" w:hAnsi="Times New Roman"/>
          <w:sz w:val="22"/>
          <w:szCs w:val="22"/>
          <w:color w:val="auto"/>
        </w:rPr>
        <w:t>”) generally applicable to an investor who acquires, as beneficial owner, Common Shares pursuant to the Offering and who, at all relevant times, for the purposes of the Tax Act and any applicable income tax treaty and convention: (i) is not, and is not deemed to be, resident in Canada; (ii) does not and will not use or hold and is not and will not be deemed to use or hold its Common Shares in, or in the course of carrying on, a business in Canada; (iii) deals at arm’s length with the Corporation; (iv) is not affiliated with the Corporation; and (v) acquires and holds the Common Shares as capital property (a “</w:t>
      </w:r>
      <w:r>
        <w:rPr>
          <w:rFonts w:ascii="Times New Roman" w:cs="Times New Roman" w:eastAsia="Times New Roman" w:hAnsi="Times New Roman"/>
          <w:sz w:val="22"/>
          <w:szCs w:val="22"/>
          <w:b w:val="1"/>
          <w:bCs w:val="1"/>
          <w:color w:val="auto"/>
        </w:rPr>
        <w:t>Non-Resident Holder</w:t>
      </w:r>
      <w:r>
        <w:rPr>
          <w:rFonts w:ascii="Times New Roman" w:cs="Times New Roman" w:eastAsia="Times New Roman" w:hAnsi="Times New Roman"/>
          <w:sz w:val="22"/>
          <w:szCs w:val="22"/>
          <w:color w:val="auto"/>
        </w:rPr>
        <w:t>”). For purposes of this summary, and for greater certainty, references to “Common Shares” shall include Registrable Common Shares. Generally, the Common Shares will be considered to be capital property to a Non-Resident Holder thereof provided that (i) the Non-Resident Holder does not use the Common Shares in the course of carrying on a business of trading or dealing in securities and (ii) such Non-Resident Holder has not acquired them in one or more transactions considered to be an adventure or concern in the nature of trade.</w:t>
      </w:r>
    </w:p>
    <w:p>
      <w:pPr>
        <w:spacing w:after="0" w:line="14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summary does not apply to a Non-Resident Holder: (i) that is a "financial institution", as defined in the Tax Act, for the purposes of the mark-to-market rules in the Tax Act; (ii) that is a "specified financial institution", as defined in the Tax Act; (iii), an interest in which would be a "tax shelter investment" as defined in the Tax Act; (iv) that has elected to determine its Canadian tax results in a "functional currency" other than the Canadian dollar; (v) that has entered into or will enter into a "derivative forward agreement" or "synthetic disposition arrangement", as those terms are defined in the Tax Act, with respect to the Common Shares; or (vi) that receives dividends on the Common Shares under or as part of a "dividend rental arrangement", as defined in the Tax Act. Such Non-Resident Holders should consult their own tax advisors with respect to an investment in Common Shares. In addition, this summary does not address the deductibility of interest by a Non-Resident Holder who has borrowed money or otherwise incurred debt in connection with the acquisition of the Common Shares.</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Special rules, which are not discussed in this summary, may apply to a Non-Resident Holder that is an insurer carrying on, or deemed to carry on, business in Canada and elsewhere or is an "authorized foreign bank" (as defined in the Tax Act). Such Non-Resident Holders should consult their own tax advisors.</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term "U.S. Holder," for the purposes of this summary, means a Non-Resident Holder who, for purposes of the Canada-United States Tax Convention (1980), as amended (the "</w:t>
      </w:r>
      <w:r>
        <w:rPr>
          <w:rFonts w:ascii="Times New Roman" w:cs="Times New Roman" w:eastAsia="Times New Roman" w:hAnsi="Times New Roman"/>
          <w:sz w:val="22"/>
          <w:szCs w:val="22"/>
          <w:b w:val="1"/>
          <w:bCs w:val="1"/>
          <w:color w:val="auto"/>
        </w:rPr>
        <w:t>Canada-U.S. Tax Treaty</w:t>
      </w:r>
      <w:r>
        <w:rPr>
          <w:rFonts w:ascii="Times New Roman" w:cs="Times New Roman" w:eastAsia="Times New Roman" w:hAnsi="Times New Roman"/>
          <w:sz w:val="22"/>
          <w:szCs w:val="22"/>
          <w:color w:val="auto"/>
        </w:rPr>
        <w:t>"), is at all relevant times a resident of the United States and is a "qualifying person" (within the meaning of the Canada-U.S. Tax Treaty) eligible for the full benefits of the Canada-U.S. Tax Treaty. In some circumstances, persons deriving amounts through fiscally transparent entities (including limited liability companies) may be entitled to benefits under the Canada-U.S. Tax Treaty. Non-Resident Holders are urged to consult their own tax advisors to determine their entitlement to benefits under the Canada-U.S. Tax Treaty and related compliance requirements based on their particular circumstances.</w:t>
      </w:r>
    </w:p>
    <w:p>
      <w:pPr>
        <w:spacing w:after="0" w:line="1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This summary is based upon the current provisions of the Tax Act and the regulations thereunder in force as of the date hereof and counsel's understanding of the current published administrative policies and assessing practices of the Canada Revenue Agency (the "</w:t>
      </w:r>
      <w:r>
        <w:rPr>
          <w:rFonts w:ascii="Times New Roman" w:cs="Times New Roman" w:eastAsia="Times New Roman" w:hAnsi="Times New Roman"/>
          <w:sz w:val="21"/>
          <w:szCs w:val="21"/>
          <w:b w:val="1"/>
          <w:bCs w:val="1"/>
          <w:color w:val="auto"/>
        </w:rPr>
        <w:t>CRA</w:t>
      </w:r>
      <w:r>
        <w:rPr>
          <w:rFonts w:ascii="Times New Roman" w:cs="Times New Roman" w:eastAsia="Times New Roman" w:hAnsi="Times New Roman"/>
          <w:sz w:val="21"/>
          <w:szCs w:val="21"/>
          <w:color w:val="auto"/>
        </w:rPr>
        <w:t xml:space="preserve">"). This summary takes into account all specific proposals to amend the Tax Act and the regulations thereunder publicly announced by or on behalf of the </w:t>
      </w:r>
      <w:r>
        <w:rPr>
          <w:rFonts w:ascii="Times New Roman" w:cs="Times New Roman" w:eastAsia="Times New Roman" w:hAnsi="Times New Roman"/>
          <w:sz w:val="21"/>
          <w:szCs w:val="21"/>
          <w:i w:val="1"/>
          <w:iCs w:val="1"/>
          <w:color w:val="auto"/>
        </w:rPr>
        <w:t>Minister of Finance</w:t>
      </w:r>
      <w:r>
        <w:rPr>
          <w:rFonts w:ascii="Times New Roman" w:cs="Times New Roman" w:eastAsia="Times New Roman" w:hAnsi="Times New Roman"/>
          <w:sz w:val="21"/>
          <w:szCs w:val="21"/>
          <w:color w:val="auto"/>
        </w:rPr>
        <w:t xml:space="preserve"> (Canada) prior to the date hereof (the "</w:t>
      </w:r>
      <w:r>
        <w:rPr>
          <w:rFonts w:ascii="Times New Roman" w:cs="Times New Roman" w:eastAsia="Times New Roman" w:hAnsi="Times New Roman"/>
          <w:sz w:val="21"/>
          <w:szCs w:val="21"/>
          <w:b w:val="1"/>
          <w:bCs w:val="1"/>
          <w:color w:val="auto"/>
        </w:rPr>
        <w:t>Tax Proposals</w:t>
      </w:r>
      <w:r>
        <w:rPr>
          <w:rFonts w:ascii="Times New Roman" w:cs="Times New Roman" w:eastAsia="Times New Roman" w:hAnsi="Times New Roman"/>
          <w:sz w:val="21"/>
          <w:szCs w:val="21"/>
          <w:color w:val="auto"/>
        </w:rPr>
        <w:t>") and assumes that the Tax Proposals will be enacted in the form proposed, although no assurance can be given that the Tax Proposals will be enacted in their current form or at all. This summary does not otherwise take into account any changes in law or in the administrative policies or assessing practices of the CRA, whether by legislative, governmental or judicial decision or action, nor does it take into account or consider other federal or any provincial, territorial or foreign income tax considerations, which considerations may differ significantly from the Canadian federal income tax considerations discussed in this summary.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This summary is not exhaustive of all possible Canadian federal income tax considerations applicable to a Non-Resident Holder in respect of the transactions described herein. The income or other tax consequences will vary depending on the particular circumstances of the Non-Resident Holder. Accordingly, this summary is of a general nature only and is not intended to be, nor should it be construed to be, legal or tax advice or representations to any particular Non-Resident Holder. Moreover, no advance income tax ruling has been applied for or obtained from the CRA to confirm the tax consequences of any of the transactions described herein. Non-Resident Holders should consult their own legal and tax advisors for advice with respect to the tax consequences of an investment in the Common Shares based on their particular circumstances.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Currency Conversion</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Subject to certain exceptions that are not discussed herein, for the purposes of the Tax Act, all amounts relating to the acquisition, holding or disposition of Common Shares (including dividends, adjusted cost base and proceeds of disposition) must be expressed in Canadian dollars. Amounts denominated in U.S. dollars must generally be converted into Canadian dollars based on the single daily exchange rate as quoted by the Bank of Canada on the date such amounts arise or such other rate of exchange as is acceptable to the </w:t>
      </w:r>
      <w:r>
        <w:rPr>
          <w:rFonts w:ascii="Times New Roman" w:cs="Times New Roman" w:eastAsia="Times New Roman" w:hAnsi="Times New Roman"/>
          <w:sz w:val="22"/>
          <w:szCs w:val="22"/>
          <w:i w:val="1"/>
          <w:iCs w:val="1"/>
          <w:color w:val="auto"/>
        </w:rPr>
        <w:t>Minister of National Revenue</w:t>
      </w:r>
      <w:r>
        <w:rPr>
          <w:rFonts w:ascii="Times New Roman" w:cs="Times New Roman" w:eastAsia="Times New Roman" w:hAnsi="Times New Roman"/>
          <w:sz w:val="22"/>
          <w:szCs w:val="22"/>
          <w:color w:val="auto"/>
        </w:rPr>
        <w:t xml:space="preserve"> (Canada).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Dividends paid or credited or deemed under the Tax Act to be paid or credited to a Non-Resident Holder by the Corporation on the Common Shares will be subject to Canadian withholding tax at the rate of 25% on the gross amount of the dividend, unless such rate is reduced by the terms of an applicable income tax treaty or convention between Canada and the country in which the Non-Resident Holder is resident. For example, under the Canada-U.S. Tax Treaty, the withholding tax rate on any such dividend beneficially owned by a U.S. Holder is generally reduced to 15% of the gross amount of the dividend, and to 5% if such U.S. Holder is a company that beneficially owns at least 10% of the voting stock of the Corporation. Non-Resident Holders should consult their own tax advisors to determine their entitlement to benefits under any applicable tax treaty or convention based on their particular circumstances.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Dispositions of Common Shares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Non-Resident Holder generally will not be subject to tax under the Tax Act in respect of a capital gain realized on the disposition or deemed disposition of a Common Share, unless the Common Share constitutes (or is deemed to constitute) "taxable Canadian property" (as defined in the Tax Act) of the Non-Resident Holder at the time of disposition, and the Non-Resident Holder is not entitled to relief under the terms of an applicable tax treaty. In addition, capital losses arising on the disposition or deemed disposition of a Common Share will not be recognized under the Tax Act, unless the Common Share constitutes (or is deemed to constitute) "taxable Canadian property" to the Non-Resident Holder thereof for purposes of the Tax Act, and the Non-Resident Holder is not entitled to relief under the terms of an applicable tax treaty.</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Provided the Common Shares are listed on a "designated stock exchange", as defined in the Tax Act (which currently includes Cboe Canada and the NYSE American), at the time of disposition, the Common Shares generally will not constitute taxable Canadian property of a Non-Resident Holder at that time unless, at any time during the 60-month period immediately preceding the disposition, the following two conditions are satisfied concurrently: (i) one or any combination of (a) the Non-Resident Holder, (b) persons with whom the Non-Resident Holder did not deal at arm's length, or (c) partnerships in which the Non-Resident Holder or a person with whom the Non-Resident Holder did not deal at arm's length held a membership interest directly or indirectly through one or more partnerships owned 25% or more of the issued shares of any class or series of shares of the Corporation; and (ii) more than 50% of the fair market value of the shares of the Corporation was derived directly or indirectly from one or any combination of: real or immovable property situated in Canada, "Canadian resource properties", "timber resource properties" (each as defined in the Tax Act) and options in respect of, or interests in, or for civil law, rights in, such properties (whether or not such property exists). Notwithstanding the foregoing, a Common Share may otherwise be deemed to be taxable Canadian property to a Non-Resident Holder for purposes of the Tax Act.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jc w:val="both"/>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should consult their own tax advisors as to whether their Common Shares constitute "taxable Canadian property".</w:t>
      </w:r>
    </w:p>
    <w:p>
      <w:pPr>
        <w:spacing w:after="0" w:line="11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event that the Common Shares are taxable Canadian property of a Non-Resident Holder, such Non-Resident Holder may be exempt from tax under the Tax Act in respect of any capital gain arising on the disposition of such Common Shares by virtue of an applicable income tax treaty or convention.</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Non-Resident Holders who may hold Common Shares as taxable Canadian property should consult their own tax advisors.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UNITED STATES FEDERAL INCOME TAX CONSIDERATIONS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following is a general summary of certain material U.S. federal income tax considerations applicable to a U.S. Holder (as defined below) arising from and relating to the acquisition, ownership and disposition of Registrable Common Shares acquired pursuant to this Offering. This summary is for general information purposes only and does not purport to be a complete analysis or listing of all potential U.S. federal income tax considerations that may apply to a U.S. Holder arising from and relating to the acquisition, ownership and disposition of Registrable Common Shares. In addition, this summary does not take into account the individual facts and circumstances of any particular U.S. Holder that may affect the U.S. federal income tax considerations relevant to such U.S. Holder, including, without limitation, specific tax consequences to a U.S. Holder under an applicable income tax treaty. Accordingly, this summary is not intended to be, and should not be construed as, legal or U.S. federal income tax advice with respect to any particular U.S. Holder. This summary does not address the U.S. federal alternative minimum tax, U.S. federal net investment income tax, U.S. federal estate and gift tax, U.S. state and local tax, and non-U.S. tax consequences to U.S. Holders of the acquisition, ownership and disposition of Registrable Common Shares. In addition, except as specifically set forth below, this summary does not discuss applicable income tax reporting requirements. Each prospective U.S. Holder should consult its own tax advisors regarding the U.S. federal, U.S. state and local, and non-U.S. tax consequences relating to the acquisition, ownership and disposition of Registrable Common Shares.</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No opinion from legal counsel or ruling from the Internal Revenue Service (the "</w:t>
      </w:r>
      <w:r>
        <w:rPr>
          <w:rFonts w:ascii="Times New Roman" w:cs="Times New Roman" w:eastAsia="Times New Roman" w:hAnsi="Times New Roman"/>
          <w:sz w:val="21"/>
          <w:szCs w:val="21"/>
          <w:b w:val="1"/>
          <w:bCs w:val="1"/>
          <w:color w:val="auto"/>
        </w:rPr>
        <w:t>IRS</w:t>
      </w:r>
      <w:r>
        <w:rPr>
          <w:rFonts w:ascii="Times New Roman" w:cs="Times New Roman" w:eastAsia="Times New Roman" w:hAnsi="Times New Roman"/>
          <w:sz w:val="21"/>
          <w:szCs w:val="21"/>
          <w:color w:val="auto"/>
        </w:rPr>
        <w:t>") has been requested, or will be obtained, regarding the U.S. federal income tax consequences of the acquisition, ownership and disposition of Registrable Common Shares. This summary is not binding on the IRS, and the IRS is not precluded from taking a position that is different from, or contrary to, the positions taken in this summary. In addition, because the authorities on which this summary is based are subject to various interpretations, the IRS and the U.S. courts could disagree with one or more of the conclusions described in this summary. There can be no assurance that the IRS will not challenge one or more of the tax consequences described in this summary.</w:t>
      </w:r>
    </w:p>
    <w:p>
      <w:pPr>
        <w:spacing w:after="0" w:line="1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summary is based on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Treasury Regulations (whether final, temporary, or proposed) promulgated under the Code, published rulings of the IRS, published administrative positions of the IRS, the current provisions of the Canada-U.S. Tax Treaty, and U.S. court decisions that are applicable, and, in each case, as in effect and available, as of the date of this document. Any of the authorities on which this summary is based could be changed in a material and adverse manner at any time, and any such change could be applied retroactively. This summary does not discuss the potential effects, whether adverse or beneficial, of any proposed legislation that, if enacted, could be applied on a retroactive or prospective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 Holders</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For purposes of this summary, the term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 means a beneficial owner of Registrable Common Shares acquired pursuant to this Offering that is for U.S. federal income tax purposes: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individual who is a citizen or resident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a corporation (or other entity treated as a corporation for U.S. federal income tax purposes) organized under the laws of the United States, any state thereof or the District of Columbia;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estate the income of which is subject to U.S. federal income taxation regardless of its source;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a trust that (1) is subject to the primary supervision of a court within the United States and the control of one or more U.S. persons for all substantial decisions or (2) has a valid election in effect under applicable Treasury Regulations to be treated as a U.S.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-424815</wp:posOffset>
            </wp:positionV>
            <wp:extent cx="6858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Non-U.S. Holders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For purposes of this summary, a "</w:t>
      </w:r>
      <w:r>
        <w:rPr>
          <w:rFonts w:ascii="Times New Roman" w:cs="Times New Roman" w:eastAsia="Times New Roman" w:hAnsi="Times New Roman"/>
          <w:sz w:val="22"/>
          <w:szCs w:val="22"/>
          <w:b w:val="1"/>
          <w:bCs w:val="1"/>
          <w:color w:val="auto"/>
        </w:rPr>
        <w:t>non-U.S. Holder</w:t>
      </w:r>
      <w:r>
        <w:rPr>
          <w:rFonts w:ascii="Times New Roman" w:cs="Times New Roman" w:eastAsia="Times New Roman" w:hAnsi="Times New Roman"/>
          <w:sz w:val="22"/>
          <w:szCs w:val="22"/>
          <w:color w:val="auto"/>
        </w:rPr>
        <w:t>" is a beneficial owner of Registrable Common Shares acquired pursuant to this Offering that is not a U.S. Holder and is not a partnership for U.S. federal income tax purposes. This summary does not address the U.S. federal income tax considerations applicable to non-U.S. Holders. Accordingly, a non-U.S. Holder should consult its own tax advisors regarding the U.S. federal, U.S. state and local and non-U.S. tax consequences (including the potential application and operation of any income tax treaties) relating to the acquisition, ownership and disposition of Registrable Common Shares acquired pursuant to this Offering.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 Holders Subject to Special U.S. Federal Income Tax Rules Not Addressed</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This summary does not address the U.S. federal income tax considerations applicable to U.S. Holders that are subject to special provisions under the Code, including, but not limited to U.S. Holders that: (a) are tax-exempt organizations, qualified retirement plans, individual retirement accounts, or other tax-deferred accounts; (b) are banks, financial institutions, underwriters, insurance companies, real estate investment trusts, or regulated investment companies; (c) are broker-dealers, dealers, or traders in securities or currencies that elect to apply a mark-to-market accounting method; (d) have a "functional currency" other than the U.S. dollar; (e) own Registrable Common Shares as part of a straddle, hedge, conversion transaction, constructive sale, or other integrated transaction; (f) acquire Registrable Common Shares in connection with the exercise or cancellation of employee stock options or otherwise as compensation for services; (g) hold Registrable Common Shares other than as a capital asset within the meaning of Section 1221 of the Code (generally, property held for investment purposes); (h) are subject to the alternative minimum tax; (i) are subject to special tax accounting rules with respect to Registrable Common Shares; (j) are partnerships or other pass-through entities (and partners or investors in such partnerships and entities); (k) are S corporations (and shareholders thereof); (l) are U.S. expatriates or former long-term residents of the United States; (m) hold Registrable Common Shares in connection with a trade or business, permanent establishment, or fixed base outside the United States; (n) own, have owned or will own (directly, indirectly, or by attribution) 10% or more of the total combined voting power or value of the outstanding shares of the Corporation; or (o) are deemed to sell Registrable Common Shares under the constructive sale provisions of the Code. U.S. Holders that are subject to special provisions under the Code, including, but not limited to, U.S. Holders described immediately above, should consult their own tax advisor regarding the U.S. federal, U.S. state and local, and non-U.S. tax consequences relating to the acquisition, ownership and disposition of Registrable Common Shares.</w:t>
      </w:r>
    </w:p>
    <w:p>
      <w:pPr>
        <w:spacing w:after="0" w:line="14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an entity or arrangement that is classified as a partnership (or other "pass-through" entity) for U.S. federal income tax purposes holds Registrable Common Shares, the U.S. federal income tax consequences to such entity or arrangement and the partners (or other owners or participants) of such entity or arrangement generally will depend on the activities of the entity or arrangement and the status of such partners (or owners or participants). This summary does not address the tax consequences to any such partner (or owner or participant). Partners (or other owners or participants) of entities or arrangements that are classified as partnerships or as "pass-through" entities for U.S. federal income tax purposes should consult their own tax advisors regarding the U.S. federal income tax consequences arising from and relating to the acquisition, ownership and disposition of Registrable Common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Passive Foreign Investment Company Rules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PFIC Status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If the Corporation were to constitute a "passive foreign investment company" within the meaning of Section 1297(a) of the Code (a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as defined below) for any year during a U.S. Holder's holding period, then certain potentially adverse rules would affect the U.S. federal income tax consequences to a U.S. Holder as a result of the acquisition, ownership and disposition of Registrable Common Shares. Based on current business plans and financial expectations, the Corporation expects to be a PFIC for its current tax year, and may be a PFIC in future tax years. No opinion of legal counsel or ruling from the IRS concerning the status of the Corporation as a PFIC has been obtained or is currently planned to be requested. The determination of whether any corporation was, or will be, a PFIC for a tax year depends, in part, on the application of complex U.S. federal income tax rules, which are subject to differing interpretations. In addition, whether any corporation will be a PFIC for any tax year is made following the end of the tax year and depends on the assets and income of such corporation over the course of each such tax year and, as a result, the Corporation's status as a PFIC and the status of any of the Corporation's subsidiaries as a PFIC for the current tax year cannot be predicted with certainty as of the date of this document. Accordingly, there can be no assurance that the IRS will not challenge any determination made by the Corporation (or any subsidiary of the Corporation) concerning its PFIC status. Each U.S. Holder should consult its own tax advisors regarding the PFIC status of the Corporation and each subsidiary of the 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jc w:val="both"/>
        <w:spacing w:after="0" w:line="238" w:lineRule="auto"/>
        <w:rPr>
          <w:sz w:val="20"/>
          <w:szCs w:val="20"/>
          <w:color w:val="auto"/>
        </w:rPr>
      </w:pPr>
      <w:r>
        <w:rPr>
          <w:rFonts w:ascii="Times New Roman" w:cs="Times New Roman" w:eastAsia="Times New Roman" w:hAnsi="Times New Roman"/>
          <w:sz w:val="22"/>
          <w:szCs w:val="22"/>
          <w:color w:val="auto"/>
        </w:rPr>
        <w:t>In any year in which the Corporation is classified as a PFIC, a U.S. Holder will be required to file an annual report with the IRS containing such information as Treasury Regulations and/or other IRS guidance may require.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spacing w:after="0" w:line="1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generally will be a PFIC if, for a tax year, (a) 75% or more of the gross income of the Corporation is passive income (the "</w:t>
      </w:r>
      <w:r>
        <w:rPr>
          <w:rFonts w:ascii="Times New Roman" w:cs="Times New Roman" w:eastAsia="Times New Roman" w:hAnsi="Times New Roman"/>
          <w:sz w:val="22"/>
          <w:szCs w:val="22"/>
          <w:b w:val="1"/>
          <w:bCs w:val="1"/>
          <w:color w:val="auto"/>
        </w:rPr>
        <w:t>PFIC income test</w:t>
      </w:r>
      <w:r>
        <w:rPr>
          <w:rFonts w:ascii="Times New Roman" w:cs="Times New Roman" w:eastAsia="Times New Roman" w:hAnsi="Times New Roman"/>
          <w:sz w:val="22"/>
          <w:szCs w:val="22"/>
          <w:color w:val="auto"/>
        </w:rPr>
        <w:t>") or (b) 50% or more of the value of the Corporation's assets either produce passive income or are held for the production of passive income, based on the quarterly average of the fair market value of such assets (the "</w:t>
      </w:r>
      <w:r>
        <w:rPr>
          <w:rFonts w:ascii="Times New Roman" w:cs="Times New Roman" w:eastAsia="Times New Roman" w:hAnsi="Times New Roman"/>
          <w:sz w:val="22"/>
          <w:szCs w:val="22"/>
          <w:b w:val="1"/>
          <w:bCs w:val="1"/>
          <w:color w:val="auto"/>
        </w:rPr>
        <w:t>PFIC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asset test</w:t>
      </w:r>
      <w:r>
        <w:rPr>
          <w:rFonts w:ascii="Times New Roman" w:cs="Times New Roman" w:eastAsia="Times New Roman" w:hAnsi="Times New Roman"/>
          <w:sz w:val="22"/>
          <w:szCs w:val="22"/>
          <w:color w:val="auto"/>
        </w:rPr>
        <w:t>"). "Gross income" generally includes all sales revenues less the cost of goods sold, plus income from investments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incidental or outside operations or sources, and "passive income" generally includes, for example, dividends, interest, certain rents and royalties, certain gains from the sale of stock and securities, and certain gains from commodities transactions.</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purposes of the PFIC income test and PFIC asset test described above, if the Corporation owns, directly or indirectly, 25% or more of the total value of the outstanding shares of another corporation, the Corporation will be treated as if the Corporation (a) held a proportionate share of the assets of such other corporation and (b) received directly a proportionate share of the income of such other corporation. In addition, for purposes of the PFIC income test and PFIC asset test described above, and assuming certain other requirements are met, "passive income" does not include certain interest, dividends, rents, or royalties that are received or accrued by the Corporation from certain "related persons" (as defined in Section 954(d)(3) of the Code) also organized in Canada, to the extent such items are properly allocable to the income of such related person that is not passive income.</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certain attribution rules, if the Corporation is a PFIC, U.S. Holders will generally be deemed to own their proportionate share of the Corporation's direct or indirect equity interest in any company that is also a PFIC (a "</w:t>
      </w:r>
      <w:r>
        <w:rPr>
          <w:rFonts w:ascii="Times New Roman" w:cs="Times New Roman" w:eastAsia="Times New Roman" w:hAnsi="Times New Roman"/>
          <w:sz w:val="22"/>
          <w:szCs w:val="22"/>
          <w:b w:val="1"/>
          <w:bCs w:val="1"/>
          <w:color w:val="auto"/>
        </w:rPr>
        <w:t>Subsidiary PFIC</w:t>
      </w:r>
      <w:r>
        <w:rPr>
          <w:rFonts w:ascii="Times New Roman" w:cs="Times New Roman" w:eastAsia="Times New Roman" w:hAnsi="Times New Roman"/>
          <w:sz w:val="22"/>
          <w:szCs w:val="22"/>
          <w:color w:val="auto"/>
        </w:rPr>
        <w:t>"), and will generally be subject to U.S. federal income tax on their proportionate share of (a) any "excess distributions," as described below, on the stock of a Subsidiary PFIC and (b) a disposition or deemed disposition of the stock of a Subsidiary PFIC by the Corporation or another Subsidiary PFIC, both as if such U.S. Holders directly held the shares of such Subsidiary PFIC. In addition, U.S. Holders may be subject to U.S. federal income tax on any indirect gain realized on the stock of a Subsidiary PFIC on the sale or disposition of Registrable Common Shares. Accordingly, U.S. Holders should be aware that they could be subject to tax under the PFIC rules even if no distributions are received and no redemptions or other dispositions of Registrable Common Shares are made.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Default PFIC Rules Under Section 1291 of the Code</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U.S. Holder owns Registrable Common Shares, the U.S. federal income tax consequences to such U.S. Holder of the acquisition, ownership, and disposition of Registrable Common Shares will depend on whether and when such U.S. Holder makes an election to treat the Corporation and each Subsidiary PFIC, if any, as a "qualified electing fund" or "QEF" under Section 1295 of the Code (a "</w:t>
      </w:r>
      <w:r>
        <w:rPr>
          <w:rFonts w:ascii="Times New Roman" w:cs="Times New Roman" w:eastAsia="Times New Roman" w:hAnsi="Times New Roman"/>
          <w:sz w:val="22"/>
          <w:szCs w:val="22"/>
          <w:b w:val="1"/>
          <w:bCs w:val="1"/>
          <w:color w:val="auto"/>
        </w:rPr>
        <w:t>QEF Election</w:t>
      </w:r>
      <w:r>
        <w:rPr>
          <w:rFonts w:ascii="Times New Roman" w:cs="Times New Roman" w:eastAsia="Times New Roman" w:hAnsi="Times New Roman"/>
          <w:sz w:val="22"/>
          <w:szCs w:val="22"/>
          <w:color w:val="auto"/>
        </w:rPr>
        <w:t>") or makes a mark-to-market election under Section 1296 of the Code with respect to the Registrable Common Shares (a "</w:t>
      </w:r>
      <w:r>
        <w:rPr>
          <w:rFonts w:ascii="Times New Roman" w:cs="Times New Roman" w:eastAsia="Times New Roman" w:hAnsi="Times New Roman"/>
          <w:sz w:val="22"/>
          <w:szCs w:val="22"/>
          <w:b w:val="1"/>
          <w:bCs w:val="1"/>
          <w:color w:val="auto"/>
        </w:rPr>
        <w:t>Mark-to-Market Election</w:t>
      </w:r>
      <w:r>
        <w:rPr>
          <w:rFonts w:ascii="Times New Roman" w:cs="Times New Roman" w:eastAsia="Times New Roman" w:hAnsi="Times New Roman"/>
          <w:sz w:val="22"/>
          <w:szCs w:val="22"/>
          <w:color w:val="auto"/>
        </w:rPr>
        <w:t>"). A U.S. Holder that does not make either a QEF Election or a Mark-to-Market Election will be referred to in this summary as a "</w:t>
      </w:r>
      <w:r>
        <w:rPr>
          <w:rFonts w:ascii="Times New Roman" w:cs="Times New Roman" w:eastAsia="Times New Roman" w:hAnsi="Times New Roman"/>
          <w:sz w:val="22"/>
          <w:szCs w:val="22"/>
          <w:b w:val="1"/>
          <w:bCs w:val="1"/>
          <w:color w:val="auto"/>
        </w:rPr>
        <w:t>Non-Electing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U.S. Holder</w:t>
      </w:r>
      <w:r>
        <w:rPr>
          <w:rFonts w:ascii="Times New Roman" w:cs="Times New Roman" w:eastAsia="Times New Roman" w:hAnsi="Times New Roman"/>
          <w:sz w:val="22"/>
          <w:szCs w:val="22"/>
          <w:color w:val="auto"/>
        </w:rPr>
        <w:t>".</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Non-Electing U.S. Holder will be subject to the default rules of Section 1291 of the Code (described below) with respect to: (a) any gain recognized on the sale or other taxable disposition of Registrable Common Shares; and (b) any "excess distribution" received on the Registrable Common Shares. A distribution generally will be an "excess distribution" to the extent that such distribution (together with all other distributions received in the current tax year) exceeds 125% of the average distributions received during the three preceding tax years (or during a U.S. Holder's holding period for the Registrable Common Shares, if shorter).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both"/>
        <w:spacing w:after="0" w:line="234" w:lineRule="auto"/>
        <w:rPr>
          <w:sz w:val="20"/>
          <w:szCs w:val="20"/>
          <w:color w:val="auto"/>
        </w:rPr>
      </w:pPr>
      <w:r>
        <w:rPr>
          <w:rFonts w:ascii="Times New Roman" w:cs="Times New Roman" w:eastAsia="Times New Roman" w:hAnsi="Times New Roman"/>
          <w:sz w:val="22"/>
          <w:szCs w:val="22"/>
          <w:color w:val="auto"/>
        </w:rPr>
        <w:t>Under Section 1291 of the Code, if the Corporation is a PFIC, any gain recognized on the sale or other taxable disposition of Registrable Common Shares (including an indirect disposition of the stock of any Subsidiary PFIC), and any "excess distribution" received on the Registrable Common Shares or with respect to the stock of a Subsidiary PFIC, must be ratably allocated to each day in a Non-Electing U.S. Holder's holding period for the respective Registrable Common Shares. The amount of any such gain or excess distribution allocated to the tax year of disposition or distribution of the excess distribution and to years before the entity became a PFIC, if any, would be taxed as ordinary income (and not eligible for certain preferred rates). The amounts allocated to any other tax year would be subject to U.S. federal income tax at the highest tax rate applicable to ordinary income in each such year, and an interest charge would be imposed on the tax liability for each such year, calculated as if such tax liability had been due in each such year. A Non-Electing U.S. Holder that is not a corporation must treat any such interest paid as "personal interest," which is not deductible.</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is a PFIC for any tax year during which a Non-Electing U.S. Holder holds Registrable Common Shares, the Corporation will continue to be treated as a PFIC with respect to such Non-Electing U.S. Holder, regardless of whether the Corporation ceases to be a PFIC in one or more subsequent tax years. If the Corporation ceases to be a PFIC, a Non-Electing U.S. Holder may terminate this deemed PFIC status with respect to the Registrable Common Shares by electing to recognize gain (which will be taxed under the rules of Section 1291 of the Code discussed above), but not loss, as if such Registrable Common Shares were sold on the last day of the last tax year for which the Corporation was a PFIC.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QEF Election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for the first tax year in which the holding period of its Registrable Common Shares begins generally will not be subject to the rules of Section 1291 of the Code discussed above with respect to its Registrable Common Shares. A U.S. Holder that makes a timely and effective QEF Election will be subject to U.S. federal income tax on such U.S. Holder's pro rata share of (a) the net capital gain of the Corporation, which will be taxed as long-term capital gain to such U.S. Holder, and (b) the ordinary earnings of the Corporation, which will be taxed as ordinary income to such U.S. Holder. Generally, "net capital gain" is the excess of (a) net long-term capital gain over (b) net short-term capital loss, and "ordinary earnings" are the excess of (y) "earnings and profits" over (z) net capital gain. A U.S. Holder that makes a QEF Election will be subject to U.S. federal income tax on such amounts for each tax year in which the Corporation is a PFIC, regardless of whether such amounts are actually distributed to such U.S. Holder by the Corporation. However, for any tax year in which the Corporation is a PFIC and has no net income or gain, U.S. Holders that have made a QEF Election would not have any income inclusions as a result of the QEF Election. If a U.S. Holder that made a QEF Election has an income inclusion, such a U.S. Holder may, subject to certain limitations, elect to defer payment of current U.S. federal income tax on such amounts, subject to an interest charge. If such U.S. Holder is not a corporation, any such interest paid will be treated as "personal interest," which is not deductible.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timely and effective QEF Election with respect to the Corporation generally (a) may receive a tax-free distribution from the Corporation to the extent that such distribution represents "earnings and profits" of the Corporation that were previously included in income by the U.S. Holder because of such QEF Election and (b) will adjust such U.S. Holder's tax basis in the Registrable Common Shares to reflect the amount included in income or allowed as a tax-free distribution because of such QEF Election. In addition, a U.S. Holder that makes a QEF Election generally will recognize capital gain or loss on the sale or other taxable disposition of Registrable Common Shares.</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procedure for making a QEF Election, and the U.S. federal income tax consequences of making a QEF Election, will depend on whether such QEF Election is timely. A QEF Election will be treated as "timely" if such QEF Election is made for the first year in the U.S. Holder's holding period for the Registrable Common Shares in which the Corporation was a PFIC. A U.S. Holder may make a timely QEF Election by filing the appropriate QEF Election documents at the time such U.S. Holder files a timely-filed U.S. federal income tax return for such year. If a U.S. Holder does not make a timely and effective QEF Election for the first year in the U.S. Holder's holding period for the Registrable Common Shares, the U.S. Holder may still be able to make a timely and effective QEF Election in a subsequent year if such U.S. Holder meets certain requirements and makes a "purging" election to recognize gain (which will be taxed under the default rules of Section 1291 of the Code discussed above) as if such Registrable Common Shares were sold for their fair market value on the day the QEF Election is effective. If a U.S. Holder makes a QEF Election but does not make a "purging" election to recognize gain as discussed in the preceding sentence, then such U.S. Holder shall be subject to the QEF Election rules and shall continue to be subject to tax under the rules of Section 1291 of the Code discussed above with respect to its Registrable Common Shares. If a U.S. Holder owns PFIC stock indirectly through another PFIC, separate QEF Elections must be made for the PFIC in which the U.S. Holder is a direct shareholder and the Subsidiary PFIC for the QEF rules to apply to both PFICs.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spacing w:after="0" w:line="236" w:lineRule="auto"/>
        <w:rPr>
          <w:sz w:val="20"/>
          <w:szCs w:val="20"/>
          <w:color w:val="auto"/>
        </w:rPr>
      </w:pPr>
      <w:r>
        <w:rPr>
          <w:rFonts w:ascii="Times New Roman" w:cs="Times New Roman" w:eastAsia="Times New Roman" w:hAnsi="Times New Roman"/>
          <w:sz w:val="22"/>
          <w:szCs w:val="22"/>
          <w:color w:val="auto"/>
        </w:rPr>
        <w:t>A QEF Election will apply to the tax year for which such QEF Election is timely made and to all subsequent tax years, unless such QEF Election is invalidated or terminated or the IRS consents to revocation of such QEF Election. If a U.S. Holder makes a QEF Election and, in a subsequent tax year, the Corporation ceases to be a PFIC, the QEF Election will remain in effect (although it will not be applicable) during those tax years in which the Corporation is not a PFIC. Accordingly, if the Corporation becomes a PFIC in another subsequent tax year, the QEF Election will be effective and the U.S. Holder will be subject to the QEF rules described above during any subsequent tax year in which the Corporation qualifies as a PFIC.</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For each tax year that the Corporation qualifies as a PFIC, the Corporation: (a) intends to make publicly available to U.S. Holders, upon their written request, a "PFIC Annual Information Statement" for the Corporation as described in Treasury Regulation Section 1.1295-1(g) (or any successor Treasury Regulation) and (b) upon written request, intends to use commercially reasonable efforts to provide such additional information that such U.S. Holder is reasonably required to obtain in connection with maintaining such QEF Election with regard to the Corporation. The Corporation may elect to provide such information on the Corporation's website. However, U.S. Holders should be aware that the Corporation can provide no assurances that the Corporation will provide any such information relating to any Subsidiary PFIC and as a result, a QEF Election may not be available with respect to any Subsidiary PFIC. Because the Corporation may own shares in one or more Subsidiary PFICs at any time, U.S. Holders will continue to be subject to the rules discussed above with respect to the taxation of gains and excess distributions with respect to any Subsidiary PFIC for which the U.S. Holders do not obtain such required information. Each U.S. Holder should consult its own tax advisors regarding the availability of, and procedure for making, a QEF Election with respect to the Corporation and any Subsidiary PFIC.</w:t>
      </w:r>
    </w:p>
    <w:p>
      <w:pPr>
        <w:spacing w:after="0" w:line="15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QEF Election by attaching a completed IRS Form 8621, including a PFIC Annual Information Statement, to a timely-filed United States federal income tax return. However, if the Corporation does not provide the required information with regard to the Corporation or any of its Subsidiary PFICs, U.S. Holders will not be able to make a QEF Election for such entity and will continue to be subject to the default rules of Section 1291 of the Code discussed above that apply to Non-Electing U.S. Holders with respect to the taxation of gains and excess distributions.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Mark-to-Market Election</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A U.S. Holder may make a Mark-to-Market Election only if the Registrable Common Shares are marketable stock. The Registrable Common Shares generally will be "marketable stock" if the Registrable Common Shares are regularly traded on (a) a national securities exchange that is registered with the SEC, (b) the national market system established pursuant to section 11A of the Exchange Act, or (c) a foreign securities exchange that is regulated or supervised by a governmental authority of the country in which the market is located, provided that (i) such foreign exchange has trading volume, listing, financial disclosure, and surveillance requirements, and meets other requirements and the laws of the country in which such foreign exchange is located, together with the rules of such foreign exchange, ensure that such requirements are actually enforced and (ii) the rules of such foreign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Each U.S. Holder should consult its own tax advisor in this matter.</w:t>
      </w:r>
    </w:p>
    <w:p>
      <w:pPr>
        <w:spacing w:after="0" w:line="1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that makes a Mark-to-Market Election with respect to its Registrable Common Shares generally will not be subject to the default rules of Section 1291 of the Code discussed above with respect to such Registrable Common Shares. However, if a U.S. Holder does not make a Mark-to-Market Election beginning in the first tax year of such U.S. Holder's holding period for the Registrable Common Shares for which the Corporation is a PFIC and such U.S. Holder has not made a timely QEF Election, the default rules of Section 1291 of the Code discussed above will apply to certain dispositions of, and distributions on, the Registrable Common Shares.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1"/>
          <w:szCs w:val="21"/>
          <w:color w:val="auto"/>
        </w:rPr>
        <w:t>A U.S. Holder that makes a Mark-to-Market Election will include in ordinary income, for each tax year in which the Corporation is a PFIC, an amount equal to the excess, if any, of (a) the fair market value of the Registrable Common Shares, as of the close of such tax year over (b) such U.S. Holder's adjusted tax basis in such Registrable Common Shares. A U.S. Holder that makes a Mark-to-Market Election will be allowed a deduction in an amount equal to the excess, if any, of (a) such U.S. Holder's adjusted tax basis in the Registrable Common Shares, over (b) the fair market value of such Registrable Common Shares (but only to the extent of the net amount of previously included income as a result of the Mark-to-Market Election for prior tax years).</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 U.S. Holder that makes a Mark-to-Market Election generally also will adjust such U.S. Holder's tax basis in the Registrable Common Shares to reflect the amount included in gross income or allowed as a deduction because of such Mark-to-Market Election. In addition, upon a sale or other taxable disposition of Registrable Common Shares, a U.S. Holder that makes a Mark-to-Market Election will recognize ordinary income or ordinary loss (not to exceed the excess, if any, of (a) the amount included in ordinary income because of such Mark-to-Market Election for prior tax years over (b) the amount allowed as a deduction because of such Mark-to-Market Election for prior tax years). Losses that exceed this limitation are subject to the rules generally applicable to losses provided in the Code and Treasury Regulations.</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U.S. Holder makes a Mark-to-Market Election by attaching a completed IRS Form 8621 to a timely filed United States federal income tax return. A Mark-to-Market Election applies to the tax year in which such Mark-to-Market Election is made and to each subsequent tax year, unless the Registrable Common Shares cease to be "marketable stock" or the IRS consents to revocation of such election. Each U.S. Holder should consult its own tax advisors regarding the availability of, and procedure for making, a Mark-to-Market Election.</w:t>
      </w:r>
    </w:p>
    <w:p>
      <w:pPr>
        <w:spacing w:after="0" w:line="13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Although a U.S. Holder may be eligible to make a Mark-to-Market Election with respect to the Registrable Common Shares, no such election may be made with respect to the stock of any Subsidiary PFIC that a U.S. Holder is treated as owning, because such stock is not marketable. Hence, the Mark-to-Market Election will not be effective to avoid the application of the default rules of Section 1291 of the Code described above with respect to deemed dispositions of Subsidiary PFIC stock or excess distributions from a Subsidiary PFIC to its shareholder.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 PFIC Rules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 Section 1291 of the Code, the IRS has issued proposed Treasury Regulations that would impact certain consequences of the application of the PFIC regime to U.S. Holders. Among other consequences, and subject to certain exceptions, such proposed Treasury Regulations would cause a U.S. Holder that had not made a timely QEF Election to recognize gain (but not loss) upon certain transfers of Registrable Common Shares that would otherwise be tax-deferred (e.g., gifts and exchanges pursuant to corporate reorganizations). However, the specific U.S. federal income tax consequences to a U.S. Holder may vary based on the manner in which Registrable Common Shares are transferred.</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finalized in their current form, the proposed Treasury Regulations applicable to PFICs would be effective for transactions occurring on or after April 1, 1992. Because the proposed Treasury Regulations have not yet been adopted in final form, they are not currently effective, and there is no assurance that they will be adopted in the form and with the effective date proposed. Nevertheless, the IRS has announced that, in the absence of final Treasury Regulations, taxpayers may apply reasonable interpretations of the Code provisions applicable to PFICs and that it considers the rules set forth in the proposed Treasury Regulations to be reasonable interpretations of those Code provisions. The PFIC rules are complex, and the implementation of certain aspects of the PFIC rules requires the issuance of Treasury Regulations which in many instances have not yet been promulgated and which, when promulgated, may have retroactive effect. U.S. Holders should consult their own tax advisors about the potential applicability of the proposed Treasury Regulations.</w:t>
      </w:r>
    </w:p>
    <w:p>
      <w:pPr>
        <w:spacing w:after="0" w:line="1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additional adverse rules may apply with respect to a U.S. Holder if the Corporation is a PFIC, regardless of whether such U.S. Holder makes a QEF Election. For example, under Section 1298(b)(6) of the Code, a U.S. Holder that uses Registrable Common Shares as security for a loan will, except as may be provided in Treasury Regulations, be treated as having made a taxable disposition of such Registrable Common Shares.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21"/>
          <w:szCs w:val="21"/>
          <w:color w:val="auto"/>
        </w:rPr>
        <w:t>In addition, a U.S. Holder who acquires Registrable Common Shares from a decedent will not receive a "step up" in tax basis of such Registrable Common Shares to fair market value unless such decedent had a timely and effective QEF Election in place.</w:t>
      </w:r>
    </w:p>
    <w:p>
      <w:pPr>
        <w:spacing w:after="0" w:line="9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Special rules also apply to the amount of foreign tax credit that a U.S. Holder may claim on a distribution from a PFIC. Subject to such special rules, foreign taxes paid with respect to any distribution in respect of stock in a PFIC are generally eligible for the foreign tax credit. The rules relating to distributions by a PFIC and their eligibility for the foreign tax credit are complicated, and a U.S. Holder should consult with its own tax advisors regarding the availability of the foreign tax credit with respect to distributions by a PFIC.</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PFIC rules are complex, and each U.S. Holder should consult its own tax advisors regarding the PFIC rules and how the PFIC rules may affect the U.S. federal income tax consequences of the acquisition, ownership, and disposition of Registrable Common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 Rules Applicable to the Ownership and Disposition of Registrable Common Shares</w:t>
      </w:r>
    </w:p>
    <w:p>
      <w:pPr>
        <w:spacing w:after="0" w:line="16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following discussion is subject, in its entirety, to the rules described above under the heading "</w:t>
      </w:r>
      <w:r>
        <w:rPr>
          <w:rFonts w:ascii="Times New Roman" w:cs="Times New Roman" w:eastAsia="Times New Roman" w:hAnsi="Times New Roman"/>
          <w:sz w:val="22"/>
          <w:szCs w:val="22"/>
          <w:i w:val="1"/>
          <w:iCs w:val="1"/>
          <w:color w:val="auto"/>
        </w:rPr>
        <w:t>Passive Foreign Investment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Company Rules</w:t>
      </w:r>
      <w:r>
        <w:rPr>
          <w:rFonts w:ascii="Times New Roman" w:cs="Times New Roman" w:eastAsia="Times New Roman" w:hAnsi="Times New Roman"/>
          <w:sz w:val="22"/>
          <w:szCs w:val="22"/>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Distributions on Registrable Common Shares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 U.S. Holder that receives a distribution, including a constructive distribution, with respect to a Registrable Common Share will be required to include the amount of such distribution in gross income as a dividend (without reduction for any Canadian income tax withheld from such distribution) to the extent of the current and accumulated "earnings and profits" of the Corporation, as computed for U.S. federal income tax purposes. A dividend generally will be taxed to a U.S. Holder at ordinary income tax rates if the Corporation is a PFIC for the tax year of such distribution or the preceding tax year. To the extent that a distribution exceeds the current and accumulated "earnings and profits" of the Corporation, such distribution will be treated first as a tax-free return of capital to the extent of the U.S. Holder's adjusted tax basis in the Registrable Common Shares and thereafter as gain from the sale or exchange of such Registrable Common Shares. (See </w:t>
      </w:r>
      <w:r>
        <w:rPr>
          <w:rFonts w:ascii="Times New Roman" w:cs="Times New Roman" w:eastAsia="Times New Roman" w:hAnsi="Times New Roman"/>
          <w:sz w:val="22"/>
          <w:szCs w:val="22"/>
          <w:i w:val="1"/>
          <w:iCs w:val="1"/>
          <w:color w:val="auto"/>
        </w:rPr>
        <w:t>"Sale or Other Taxable Disposition of Registrable Common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Shares" </w:t>
      </w:r>
      <w:r>
        <w:rPr>
          <w:rFonts w:ascii="Times New Roman" w:cs="Times New Roman" w:eastAsia="Times New Roman" w:hAnsi="Times New Roman"/>
          <w:sz w:val="22"/>
          <w:szCs w:val="22"/>
          <w:color w:val="auto"/>
        </w:rPr>
        <w:t>below). However, the Corporation does not intend to maintain the calculations of its earnings and profits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U.S. federal income tax principles, and each U.S. Holder should therefore assume that any distribution by the Corporation with respect to the Registrable Common Shares will constitute ordinary dividend income. Dividends received on Registrable Common Shares by corporate U.S. Holders generally will not be eligible for the "dividends received deduction". Subject to applicable limitations and provided the Corporation is eligible for the benefits of the Canada-U.S. Tax Treaty or the Registrable Common Shares are readily tradable on a U.S. securities market, dividends paid by the Corporation to non-corporate U.S. Holders, including individuals, generally will be eligible for the preferential tax rates applicable to long-term capital gains for dividends, provided certain holding period and other conditions are satisfied, including that the Corporation not be classified as a PFIC in the tax year of distribution or in the preceding tax year. The dividend rules are complex, and each U.S. Holder should consult its own tax advisor regarding the application of such rules.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Sale or Other Taxable Disposition of Registrable Common Shares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U.S. Holder will recognize gain or loss on the sale or other taxable disposition of such Registrable Common Shares in an amount equal to the difference, if any, between (a) the U.S. dollar value of cash received plus the fair market value of any property received and (b) such U.S. Holder's adjusted tax basis in such Registrable Common Shares sold or otherwise disposed of. A U.S. Holder's tax basis in Registrable Common Shares generally will be such U.S. Holder's U.S. dollar cost for such Registrable Common Shares. Any such gain or loss generally will be capital gain or loss, which will be long-term capital gain or loss if, at the time of the sale or other disposition, the Registrable Common Shares have been held for more than one year.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spacing w:after="0" w:line="244" w:lineRule="auto"/>
        <w:rPr>
          <w:sz w:val="20"/>
          <w:szCs w:val="20"/>
          <w:color w:val="auto"/>
        </w:rPr>
      </w:pPr>
      <w:r>
        <w:rPr>
          <w:rFonts w:ascii="Times New Roman" w:cs="Times New Roman" w:eastAsia="Times New Roman" w:hAnsi="Times New Roman"/>
          <w:sz w:val="22"/>
          <w:szCs w:val="22"/>
          <w:color w:val="auto"/>
        </w:rPr>
        <w:t>Preferential tax rates currently apply to long-term capital gain of a U.S. Holder that is an individual, estate, or trust. There are currently no preferential tax rates for long-term capital gain of a U.S. Holder that is a corporation. Deductions for capital losses are subject to significant limitations under the Code.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Tax Considerations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Receipt of Foreign Currency</w:t>
      </w:r>
    </w:p>
    <w:p>
      <w:pPr>
        <w:spacing w:after="0" w:line="1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amount of any distribution paid to a U.S. Holder in foreign currency, or on the sale, exchange or other taxable disposition of Registrable Common Shares, generally will be equal to the U.S. dollar value of such foreign currency based on the exchange rate applicable on the date of receipt or, if applicable, the date of settlement if the Registrable Common Shares are traded on an established securities market (regardless of whether such foreign currency is converted into U.S. dollars at that time). A U.S. Holder will have a tax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U.S. tax advisors regarding the U.S. federal income tax consequences of receiving, owning, and disposing of foreign currency.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Foreign Tax Credit</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Dividends paid on the Registrable Common Shares will be treated as foreign-source income, and generally will be treated as "passive category income" or "general category income" for U.S. foreign tax credit purposes. Any gain or loss recognized on a sale or other disposition of Registrable Common Shares generally will be U.S.-source gain or loss. Certain U.S. Holders that are eligible for the benefits of the Canada-U.S. Tax Treaty may elect to treat such gain or loss as Canadian source gain or loss for U.S. foreign tax credit purposes. The Code applies various complex limitations on the amount of foreign taxes that may be claimed as a credit by U.S. taxpayers. In addition, Treasury Regulations that apply to foreign taxes paid or accrued (the "</w:t>
      </w:r>
      <w:r>
        <w:rPr>
          <w:rFonts w:ascii="Times New Roman" w:cs="Times New Roman" w:eastAsia="Times New Roman" w:hAnsi="Times New Roman"/>
          <w:sz w:val="22"/>
          <w:szCs w:val="22"/>
          <w:b w:val="1"/>
          <w:bCs w:val="1"/>
          <w:color w:val="auto"/>
        </w:rPr>
        <w:t>Foreign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 Credit Regulations</w:t>
      </w:r>
      <w:r>
        <w:rPr>
          <w:rFonts w:ascii="Times New Roman" w:cs="Times New Roman" w:eastAsia="Times New Roman" w:hAnsi="Times New Roman"/>
          <w:sz w:val="22"/>
          <w:szCs w:val="22"/>
          <w:color w:val="auto"/>
        </w:rPr>
        <w:t>") impose additional requirements for Canadian withholding taxes to be eligible for a foreign tax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there can be no assurance that those requirements will be satisfied. The Treasury Department has released guidance temporarily pausing the application of certain of the Foreign Tax Credit Regulations.</w:t>
      </w:r>
    </w:p>
    <w:p>
      <w:pPr>
        <w:spacing w:after="0" w:line="14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Subject to the PFIC rules and the Foreign Tax Credit Regulations, each as discussed above, a U.S. Holder that pays (whether directly or through withholding) Canadian income tax with respect to dividends paid on the Registrable Common Shares generally will be entitled, at the election of such U.S. Holder, to receive either a deduction or a credit for such Canadian income tax paid. Generally, a credit will reduce a U.S. Holder's U.S. federal income tax liability on a dollar-for-dollar basis, whereas a deduction will reduce a U.S. Holder's income that is subject to U.S. federal income tax. This election is made on a year-by-year basis and applies to all foreign taxes paid (whether directly or through withholding) by a U.S. Holder during a year. The foreign tax credit rules are complex, and involve the application of rules that depend on a U.S. Holder's particular circumstances. Accordingly, each U.S. Holder should consult its own U.S. tax advisor regarding the foreign tax credit rules.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Backup Withholding and Information Reporting</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Under U.S. federal income tax law and Treasury Regulations, certain categories of U.S. Holders must file information returns with respect to their investment in, or involvement in, a foreign corporation. For example, U.S. return disclosure obligations (and related penalties) are imposed on individuals who are U.S. Holders that hold certain specified foreign financial assets in excess of certain threshold amounts. The definition of specified foreign financial assets includes not only financial accounts maintained in foreign financial institutions, but also, unless held in accounts maintained by a financial institution, any stock or security issued by a non-U.S. person, any financial instrument or contract held for investment that has an issuer or counterparty other than a U.S. person and any interest in a non-U.S. entity. U.S. Holders may be subject to these reporting requirements unless their Registrable Common Shares are held in an account at certain financial institutions. Penalties for failure to file certain of these information returns are substantial. U.S. Holders should consult their own tax advisors regarding the requirements of filing information returns, including the requirement to file an IRS Form 8938.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both"/>
        <w:spacing w:after="0" w:line="233" w:lineRule="auto"/>
        <w:rPr>
          <w:sz w:val="20"/>
          <w:szCs w:val="20"/>
          <w:color w:val="auto"/>
        </w:rPr>
      </w:pPr>
      <w:r>
        <w:rPr>
          <w:rFonts w:ascii="Times New Roman" w:cs="Times New Roman" w:eastAsia="Times New Roman" w:hAnsi="Times New Roman"/>
          <w:sz w:val="22"/>
          <w:szCs w:val="22"/>
          <w:color w:val="auto"/>
        </w:rPr>
        <w:t>Payments made within the U.S. or by a U.S. payor or U.S. middleman, of dividends on, and proceeds arising from the sale or other taxable disposition of, Registrable Common Shares will generally be subject to information reporting and backup withholding tax, currently at a rate of 24%, if a U.S. Holder (a) fails to furnish such U.S. Holder's correct U.S. taxpayer identification number (generally on IRS Form W-9), (b) furnishes an incorrect U.S. taxpayer identification number, (c) is notified by the IRS that such U.S. Holder has previously failed to properly report items subject to backup withholding tax, or (d) fails to certify, under penalty of perjury, that such U.S. Holder has furnished its correct U.S. taxpayer identification number and that the IRS has not notified such U.S. Holder that it is subject to backup withholding tax. However, certain exempt persons generally are excluded from these information reporting and backup withholding rules. Backup withholding is not an additional tax. Any amounts withheld under the U.S. backup withholding tax rules generally will be allowed as a credit against a U.S. Holder's U.S. federal income tax liability, if any, or will be refunded, if such U.S. Holder furnishes required information to the IRS in a timely manner.</w:t>
      </w:r>
    </w:p>
    <w:p>
      <w:pPr>
        <w:spacing w:after="0" w:line="14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discussion of reporting requirements set forth above is not intended to constitute a complete description of all reporting requirements that may apply to a U.S. Holder. A failure to satisfy certain reporting requirements may result in an extension of the time period during which the IRS can assess a tax, and under certain circumstances, such an extension may apply to assessments of amounts unrelated to any unsatisfied reporting requirement. Each U.S. Holder should consult its own tax advisor regarding the information reporting and backup withholding rules.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THE ABOVE SUMMARY IS NOT INTENDED TO CONSTITUTE A COMPLETE ANALYSIS OF ALL TAX CONSIDERATIONS APPLICABLE TO U.S. HOLDERS WITH RESPECT TO THE ACQUISITION, OWNERSHIP AND DISPOSITION OF REGISTRABLE COMMON SHARES. U.S. HOLDERS SHOULD CONSULT THEIR OWN TAX ADVISORS AS TO THE TAX CONSIDERATIONS APPLICABLE TO THEM IN LIGHT OF THEIR OWN PARTICULAR CIRCUMSTANCES.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color w:val="auto"/>
        </w:rPr>
        <w:t>An investment in the Common Shares is highly speculative and subject to a number of risks. Before deciding whether to invest, investors should consider carefully the risks factors set forth below and in the documents incorporated by reference in the Base Shelf Prospectus and this Prospectus Supplement (including those discussed under the heading “Risk Factors” in the Base Shelf Prospectus, the Corporation’s Annual Information Form and the Interim MD&amp;A) and all of the other information in the Prospectus (including, without limitation, the documents incorporated by reference). The risks described in this Prospectus Supplement are not the only risks that affect the Corporation. Additional risks and uncertainties that the Corporation is unaware of, or that the Corporation currently deems not to be material, may also become important factors that affect the Corporation. If any such risks actually occur, the Corporation’s business, financial condition or results of operations could be materially adversely affected, with the result that the trading price of the Common Shares could decline and investors could lose all or part of their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 Factors Related to the Offering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Volatile Market Price of the Common Shares</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market price of the Common Shares may be volatile and subject to wide fluctuations in response to numerous factors, many of which are beyond the Corporation's control. This volatility may affect the ability of holders of Common Shares to sell their securities at an advantageous price. Market price fluctuations in the Common Shares may be due to the Corporation's operating results failing to meet expectations of securities analysts or investors in any period, downward revision in securities analysts' estimates, adverse changes in general market conditions or economic trends, acquisitions, dispositions or other material public announcements by the Corporation or its competitors, along with a variety of additional factors. These broad market fluctuations may adversely affect the market price of the Common Shares.</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Financial markets have periodically experienced significant price and volume fluctuations that have particularly affected the market prices of equity securities of companies and that have often been unrelated to the operating performance, underlying asset values or prospects of such companies. Accordingly, the market price of the Common Shares may decline even if the Corporation's operating results, underlying asset values or prospects have not changed. Additionally, these factors, as well as other related factors, may cause decreases in asset values that are deemed to be other than temporary, which may result in impairment losses. There can be no assurance that continuing fluctuations in price and volume will not occur. If such increased levels of volatility and market turmoil continue, the Corporation's operations could be adversely impacted and the trading price of the Common Shares may be materially adversely affected.</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b w:val="1"/>
          <w:bCs w:val="1"/>
          <w:i w:val="1"/>
          <w:iCs w:val="1"/>
          <w:color w:val="auto"/>
        </w:rPr>
        <w:t>An Investment in the Common Shares is Highly Speculative</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Negative Operating Cash Flow</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Need for Additional Financing</w:t>
      </w:r>
    </w:p>
    <w:p>
      <w:pPr>
        <w:spacing w:after="0" w:line="1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 Factors Related to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Offering – Negative Operating Cash Flow”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“Risk Factors – Risk Factors Related to the Offering – Potential Dilution”</w:t>
      </w:r>
      <w:r>
        <w:rPr>
          <w:rFonts w:ascii="Times New Roman" w:cs="Times New Roman" w:eastAsia="Times New Roman" w:hAnsi="Times New Roman"/>
          <w:sz w:val="21"/>
          <w:szCs w:val="21"/>
          <w:color w:val="auto"/>
        </w:rPr>
        <w: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Potential Dilution</w:t>
      </w:r>
    </w:p>
    <w:p>
      <w:pPr>
        <w:spacing w:after="0" w:line="1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With any additional issuance of Common Shares, investors will suffer dilution to their voting power and the Corporation may experience dilution in its earnings per share. See </w:t>
      </w:r>
      <w:r>
        <w:rPr>
          <w:rFonts w:ascii="Times New Roman" w:cs="Times New Roman" w:eastAsia="Times New Roman" w:hAnsi="Times New Roman"/>
          <w:sz w:val="22"/>
          <w:szCs w:val="22"/>
          <w:i w:val="1"/>
          <w:iCs w:val="1"/>
          <w:color w:val="auto"/>
        </w:rPr>
        <w:t>“Risk Factors – Risk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Factors Related to the Offering – Need for Additional Financing”</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Pursuant to this Prospectus Supplement, the Selling Shareholder may sell up to 20,000,000 Registrable Common Shares issuable upon conversion of up to US$50,000,000 aggregate principal amount outstanding of the Convertible Debentures, which are convertible on the terms of the Securities Purchase Agreement and the Convertible Debentures, at the Conversion Price. Further, the Securities Purchase Agreement contemplates that the Corporation may sell and issue to the Selling Shareholder up to an additional $450,000,000 aggregate principal amount of Convertible Debentures (the “</w:t>
      </w:r>
      <w:r>
        <w:rPr>
          <w:rFonts w:ascii="Times New Roman" w:cs="Times New Roman" w:eastAsia="Times New Roman" w:hAnsi="Times New Roman"/>
          <w:sz w:val="21"/>
          <w:szCs w:val="21"/>
          <w:b w:val="1"/>
          <w:bCs w:val="1"/>
          <w:color w:val="auto"/>
        </w:rPr>
        <w:t>Additional Convertible Debentures</w:t>
      </w:r>
      <w:r>
        <w:rPr>
          <w:rFonts w:ascii="Times New Roman" w:cs="Times New Roman" w:eastAsia="Times New Roman" w:hAnsi="Times New Roman"/>
          <w:sz w:val="21"/>
          <w:szCs w:val="21"/>
          <w:color w:val="auto"/>
        </w:rPr>
        <w:t>”), which shall be determined at a future date, upon mutual agreement of the parties, and would require similar registration rights to permit the Selling Shareholder to offer up to such number of Common Shares as would be issued on conversion of the Additional Convertible Debentures (the “</w:t>
      </w:r>
      <w:r>
        <w:rPr>
          <w:rFonts w:ascii="Times New Roman" w:cs="Times New Roman" w:eastAsia="Times New Roman" w:hAnsi="Times New Roman"/>
          <w:sz w:val="21"/>
          <w:szCs w:val="21"/>
          <w:b w:val="1"/>
          <w:bCs w:val="1"/>
          <w:color w:val="auto"/>
        </w:rPr>
        <w:t>Additional Registrable Common Shares</w:t>
      </w:r>
      <w:r>
        <w:rPr>
          <w:rFonts w:ascii="Times New Roman" w:cs="Times New Roman" w:eastAsia="Times New Roman" w:hAnsi="Times New Roman"/>
          <w:sz w:val="21"/>
          <w:szCs w:val="21"/>
          <w:color w:val="auto"/>
        </w:rPr>
        <w:t>”), for sale or other disposition from time to time in the United States. If all of the Registrable Common Shares covered by this Prospectus Supplement were issued and outstanding, they would represent a substantial percentage of the Corporation’s public float and of the outstanding Common Shares. As of September 16, 2025, the Registrable Common Shares covered by this Prospectus Supplement would represent approximately 79% of the total number of outstanding Common Shares (assuming all of the Registrable Common Shares covered by this Prospectus Supplement were issued and outstanding). Accordingly, the resale of the Registrable Common Shares covered by this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this Prospectus Supplement. The number of Registrable Common Shares that may actually be acquired by the Selling Shareholder pursuant to the Convertible Debentures is not currently known given the variable Conversion Price. In the event that the number of Common Shares issuable upon conversion of the Convertible Debentures is greater than the Registrable Common Shares covered by this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b w:val="1"/>
          <w:bCs w:val="1"/>
          <w:i w:val="1"/>
          <w:iCs w:val="1"/>
          <w:color w:val="auto"/>
        </w:rPr>
        <w:t>Trading Market</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Corporation cannot assure that a market will continue to develop or be sustained for the Common Shares. If a market does not continue to develop or is not sustained, it may be difficult for purchasers to sell Common Shares at an attractive price or at all. The Corporation cannot predict the prices at which the Common Shares will trade. See </w:t>
      </w:r>
      <w:r>
        <w:rPr>
          <w:rFonts w:ascii="Times New Roman" w:cs="Times New Roman" w:eastAsia="Times New Roman" w:hAnsi="Times New Roman"/>
          <w:sz w:val="22"/>
          <w:szCs w:val="22"/>
          <w:i w:val="1"/>
          <w:iCs w:val="1"/>
          <w:color w:val="auto"/>
        </w:rPr>
        <w:t>“Risk Factors – Risk Factors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to the Offering – Volatile Market Price of the Common Shares”.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Significant Sales of Common Shares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Significant sales of Common Shares (including the Registrable Common Shares), or the availability of such securities for sale, could adversely affect the prevailing market prices for the Common Shares. A decline in the market prices of the Common Shares could impair the Corporation’s ability to raise additional capital through the sale of securities should it desire to do so. See </w:t>
      </w:r>
      <w:r>
        <w:rPr>
          <w:rFonts w:ascii="Times New Roman" w:cs="Times New Roman" w:eastAsia="Times New Roman" w:hAnsi="Times New Roman"/>
          <w:sz w:val="22"/>
          <w:szCs w:val="22"/>
          <w:i w:val="1"/>
          <w:iCs w:val="1"/>
          <w:color w:val="auto"/>
        </w:rPr>
        <w:t>“Risk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Factors – Risk Factors Related to the Offering – Need for Additional Financing”</w:t>
      </w:r>
      <w:r>
        <w:rPr>
          <w:rFonts w:ascii="Times New Roman" w:cs="Times New Roman" w:eastAsia="Times New Roman" w:hAnsi="Times New Roman"/>
          <w:sz w:val="22"/>
          <w:szCs w:val="22"/>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Positive Return Not Guaranteed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There is no guarantee that the Common Shares will earn any positive return in the short term or long term. A holding of Common Shares is highly speculative and involves a high degree of risk and should be undertaken only by holders whose financial resources are sufficient to enable them to assume such risks and who have no need for immediate liquidity in their investment. A holding of Common Shares is appropriate only for holders who have the capacity to absorb a loss of some or all of their holdings.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Application and Interpretation of Tax Laws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subject to direct and indirect taxes in various foreign jurisdictions. The amount of tax that the Corporation pays, directly or indirectly, is subject to the interpretation of applicable tax laws in the jurisdictions of operations in which the Corporation has interests. The Corporation has taken and will continue to take tax positions based on the application and interpretation of tax laws, but tax accounting often involves complex matters and judgment is required in determining the Corporation's foreign provisions for taxes and other tax liabilities. There can be no assurance that a taxing authority will not have a different interpretation of the law and assess the Corporation, or the operations in which the Corporation has interests, with additional taxes. Further, the Corporation's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Enforcement of Civil Liabilities</w:t>
      </w:r>
    </w:p>
    <w:p>
      <w:pPr>
        <w:spacing w:after="0" w:line="1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Ireland and the United Kingdom.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Ireland and the United Kingdom.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 See the section entitled "</w:t>
      </w:r>
      <w:r>
        <w:rPr>
          <w:rFonts w:ascii="Times New Roman" w:cs="Times New Roman" w:eastAsia="Times New Roman" w:hAnsi="Times New Roman"/>
          <w:sz w:val="22"/>
          <w:szCs w:val="22"/>
          <w:i w:val="1"/>
          <w:iCs w:val="1"/>
          <w:color w:val="auto"/>
        </w:rPr>
        <w:t>Enforcement of Civil Liabilities by U.S. Investors</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The Corporation expects to be a "passive foreign investment company", which may have adverse U.S. federal income tax consequences for U.S. Holders</w:t>
      </w:r>
    </w:p>
    <w:p>
      <w:pPr>
        <w:spacing w:after="0" w:line="1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Based on current business plans and financial expectations, the Corporation expects to be a PFIC for its current tax year , and may be a PFIC in future tax years. If the Corporation is a PFIC for any year during a U.S. Holder's (as defined above) holding period of Registrable Common Shares, then such U.S. Holder generally will be required to treat any gain realized upon a disposition of the Registrable Common Shares or any so-called "excess distribution" received on its Registrable Common Shares as ordinary income, and may be required to pay an interest charge on a portion of such gain or distribution. In certain circumstances, the sum of the tax and the interest charge may exceed the total amount of proceeds realized on the disposition, or the amount of excess distribution received, by the U.S. Holder. Subject to certain limitations, these tax consequences may be mitigated if a U.S. Holder makes a timely and effective QEF Election or a Mark-to-Market Election. Subject to certain limitations, such elections may be made with respect to the Registrable Common Shares. A U.S. Holder who makes a timely and effective QEF Election generally must report on a current basis its share of the Corporation's net capital gain and ordinary earnings for any year in which the Corporation is a PFIC, whether or not the Corporation distributes any amounts to its shareholders. A U.S. Holder who makes the Mark-to-Market Election generally must include as ordinary income each year the excess of the fair market value of the Registrable Common Shares over the U.S. Holder's basis therein. This paragraph is qualified in its entirety by the discussion above under the heading "</w:t>
      </w:r>
      <w:r>
        <w:rPr>
          <w:rFonts w:ascii="Times New Roman" w:cs="Times New Roman" w:eastAsia="Times New Roman" w:hAnsi="Times New Roman"/>
          <w:sz w:val="22"/>
          <w:szCs w:val="22"/>
          <w:i w:val="1"/>
          <w:iCs w:val="1"/>
          <w:color w:val="auto"/>
        </w:rPr>
        <w:t>Certain United States Federal Income Tax Considerations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Passive Foreign Investment Company Rules</w:t>
      </w:r>
      <w:r>
        <w:rPr>
          <w:rFonts w:ascii="Times New Roman" w:cs="Times New Roman" w:eastAsia="Times New Roman" w:hAnsi="Times New Roman"/>
          <w:sz w:val="22"/>
          <w:szCs w:val="22"/>
          <w:color w:val="auto"/>
        </w:rPr>
        <w:t>." Each potential investor who is a U.S. Holder should consult its own tax advisor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regarding the tax consequences of the PFIC rules and the acquisition, ownership, and disposition of the Registrable Common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166"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22"/>
          <w:szCs w:val="22"/>
          <w:color w:val="auto"/>
        </w:rPr>
        <w:t xml:space="preserve">The matters referred to under </w:t>
      </w:r>
      <w:r>
        <w:rPr>
          <w:rFonts w:ascii="Times New Roman" w:cs="Times New Roman" w:eastAsia="Times New Roman" w:hAnsi="Times New Roman"/>
          <w:sz w:val="22"/>
          <w:szCs w:val="22"/>
          <w:i w:val="1"/>
          <w:iCs w:val="1"/>
          <w:color w:val="auto"/>
        </w:rPr>
        <w:t>"Certain Canadian Income Tax Considerations"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"Certain United States Federal Income Tax</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Considerations"</w:t>
      </w:r>
      <w:r>
        <w:rPr>
          <w:rFonts w:ascii="Times New Roman" w:cs="Times New Roman" w:eastAsia="Times New Roman" w:hAnsi="Times New Roman"/>
          <w:sz w:val="22"/>
          <w:szCs w:val="22"/>
          <w:color w:val="auto"/>
        </w:rPr>
        <w:t>, as well as certain other legal matters relating to the issue and sale of the Registrable Common Shares, will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passed upon on behalf of the Corporation by Aird &amp; Berlis LLP, with respect to Canadian legal matters, and by Dorsey &amp; Whitney LLP, with respect to United States legal matters.</w:t>
      </w:r>
    </w:p>
    <w:p>
      <w:pPr>
        <w:spacing w:after="0" w:line="14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As of the date of this Prospectus Supplement, the partners and associates of Aird &amp; Berlis LLP, beneficially owned, directly or indirectly, less than 1% of the outstanding securities of the Corporation.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audited the relevant financial statements incorporated by reference in this Prospectus Supplement or at any time thereafter.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jc w:val="both"/>
        <w:spacing w:after="0" w:line="259" w:lineRule="auto"/>
        <w:rPr>
          <w:sz w:val="20"/>
          <w:szCs w:val="20"/>
          <w:color w:val="auto"/>
        </w:rPr>
      </w:pPr>
      <w:r>
        <w:rPr>
          <w:rFonts w:ascii="Times New Roman" w:cs="Times New Roman" w:eastAsia="Times New Roman" w:hAnsi="Times New Roman"/>
          <w:sz w:val="22"/>
          <w:szCs w:val="22"/>
          <w:color w:val="auto"/>
        </w:rPr>
        <w:t>The registrar and transfer agent of the Registrable Common Shares is Odyssey Trust Company at its principal office in Calgary, Alberta.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ENFORCEMENT OF CIVIL LIABILITIES BY U.S. INVESTORS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Corporation is a corporation existing under the OBCA. Other than Aaron Bartlone, Chief Operating Officer, all of the directors and officers, and all of the experts named in this Prospectus Supplement or the accompanying Base Shelf Prospectus, are residents of Canada or otherwise reside outside the United States, and all or a substantial portion of their assets, and a majority of the Corporation's assets, are located outside the United States. The Corporation has appointed an agent for service of process in the United States, but it may be difficult for holders of the Registrable Common Shares who reside in the United States to effect service within the United States upon those directors, officers and experts who are not residents of the United States. It may also be difficult for holders of the Registrable Common Shares who reside in the United States to realize upon judgments of courts of the United States predicated upon the Corporation's civil liability and the civil liability of its directors, officers and experts under the United States federal securities laws or the securities or "Blue Sky" laws of any state within the United States.</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has been advised by its Canadian counsel, Aird &amp; Berlis LLP, that there is doubt as to the enforceability in Canada by a court in original actions, or in actions to enforce judgments of United States courts, of civil liabilities predicated upon United States federal securities laws or any such state securities or "Blue Sky" laws of any state within the United States.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filed with the SEC, concurrently with the Registration Statement, an appointment of agent for service of process on Form F-X. Under the Form F-X, the Corporation appointed C T Corporation System as the agent for service of process in the United States in connection with any investigation or administrative proceeding conducted by the SEC, and any civil suit or action brought against or involving the Corporation in a United States court arising out of, related to, or concerning the offering of Registrable Common Shares under this Prospectus Supplement and the accompanying Base Shelf Prospectus.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jc w:val="both"/>
        <w:spacing w:after="0" w:line="237" w:lineRule="auto"/>
        <w:rPr>
          <w:sz w:val="20"/>
          <w:szCs w:val="20"/>
          <w:color w:val="auto"/>
        </w:rPr>
      </w:pPr>
      <w:r>
        <w:rPr>
          <w:rFonts w:ascii="Times New Roman" w:cs="Times New Roman" w:eastAsia="Times New Roman" w:hAnsi="Times New Roman"/>
          <w:sz w:val="22"/>
          <w:szCs w:val="22"/>
          <w:i w:val="1"/>
          <w:iCs w:val="1"/>
          <w:color w:val="FF0000"/>
        </w:rPr>
        <w:t>This short form prospectus is a base shelf prospectus. This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has been obtained.</w:t>
      </w:r>
    </w:p>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b w:val="1"/>
          <w:bCs w:val="1"/>
          <w:i w:val="1"/>
          <w:iCs w:val="1"/>
          <w:color w:val="auto"/>
        </w:rPr>
        <w:t>No securities regulatory authority has expressed an opinion about these securities and it is an offence to claim otherwise. This short form base shelf prospectus constitutes a public offering of these securities only in those jurisdictions where they may be lawfully offered for sale and therein only by persons permitted to sell such securities.</w:t>
      </w:r>
    </w:p>
    <w:p>
      <w:pPr>
        <w:spacing w:after="0" w:line="1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Information contained herein is subject to completion or amendment. A registration statement relating to these securities has been filed with the United States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3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i w:val="1"/>
          <w:iCs w:val="1"/>
          <w:color w:val="auto"/>
        </w:rPr>
        <w:t xml:space="preserve">Information has been incorporated by reference in this short form base shelf prospectus from documents filed with securities commissions or similar authorities in Canada. </w:t>
      </w:r>
      <w:r>
        <w:rPr>
          <w:rFonts w:ascii="Times New Roman" w:cs="Times New Roman" w:eastAsia="Times New Roman" w:hAnsi="Times New Roman"/>
          <w:sz w:val="22"/>
          <w:szCs w:val="22"/>
          <w:i w:val="1"/>
          <w:iCs w:val="1"/>
          <w:color w:val="auto"/>
        </w:rPr>
        <w:t>Copies of the documents incorporated herein by reference may be obtained 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request without charge from the Secretary of Cybin Inc. at 100 King Street West, Suite 5600, Toronto, Ontario M5X 1C9, telephone 1-866-292-4601, and are also available electronically at www.sedarplus.ca.</w:t>
      </w:r>
    </w:p>
    <w:p>
      <w:pPr>
        <w:spacing w:after="0" w:line="146" w:lineRule="exact"/>
        <w:rPr>
          <w:sz w:val="20"/>
          <w:szCs w:val="20"/>
          <w:color w:val="auto"/>
        </w:rPr>
      </w:pPr>
    </w:p>
    <w:p>
      <w:pPr>
        <w:spacing w:after="0"/>
        <w:tabs>
          <w:tab w:leader="none" w:pos="9780" w:val="left"/>
        </w:tabs>
        <w:rPr>
          <w:sz w:val="20"/>
          <w:szCs w:val="20"/>
          <w:color w:val="auto"/>
        </w:rPr>
      </w:pPr>
      <w:r>
        <w:rPr>
          <w:rFonts w:ascii="Times New Roman" w:cs="Times New Roman" w:eastAsia="Times New Roman" w:hAnsi="Times New Roman"/>
          <w:sz w:val="18"/>
          <w:szCs w:val="18"/>
          <w:u w:val="single" w:color="auto"/>
          <w:color w:val="auto"/>
        </w:rPr>
        <w:t>New Issue and/or Secondary Offering</w:t>
      </w:r>
      <w:r>
        <w:rPr>
          <w:sz w:val="20"/>
          <w:szCs w:val="20"/>
          <w:color w:val="auto"/>
        </w:rPr>
        <w:tab/>
      </w:r>
      <w:r>
        <w:rPr>
          <w:rFonts w:ascii="Times New Roman" w:cs="Times New Roman" w:eastAsia="Times New Roman" w:hAnsi="Times New Roman"/>
          <w:sz w:val="17"/>
          <w:szCs w:val="17"/>
          <w:color w:val="auto"/>
        </w:rPr>
        <w:t>September 17,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125095</wp:posOffset>
            </wp:positionV>
            <wp:extent cx="1945640" cy="1183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4564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CYBIN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$800,000,000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Common Shares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Warrants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Units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short form base shelf prospectus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relates to the offering for sale from time to time (each, an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Cybin Inc.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during the 25-month period that this Prospectus, including any of amendments thereto, remains valid, of up to $</w:t>
      </w:r>
      <w:r>
        <w:rPr>
          <w:rFonts w:ascii="Times New Roman" w:cs="Times New Roman" w:eastAsia="Times New Roman" w:hAnsi="Times New Roman"/>
          <w:sz w:val="22"/>
          <w:szCs w:val="22"/>
          <w:b w:val="1"/>
          <w:bCs w:val="1"/>
          <w:color w:val="auto"/>
        </w:rPr>
        <w:t>800,000,000</w:t>
      </w:r>
      <w:r>
        <w:rPr>
          <w:rFonts w:ascii="Times New Roman" w:cs="Times New Roman" w:eastAsia="Times New Roman" w:hAnsi="Times New Roman"/>
          <w:sz w:val="22"/>
          <w:szCs w:val="22"/>
          <w:color w:val="auto"/>
        </w:rPr>
        <w:t xml:space="preserve"> in the aggregate of: (i) common shares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of the Corporation; (ii) warrants ("</w:t>
      </w:r>
      <w:r>
        <w:rPr>
          <w:rFonts w:ascii="Times New Roman" w:cs="Times New Roman" w:eastAsia="Times New Roman" w:hAnsi="Times New Roman"/>
          <w:sz w:val="22"/>
          <w:szCs w:val="22"/>
          <w:b w:val="1"/>
          <w:bCs w:val="1"/>
          <w:color w:val="auto"/>
        </w:rPr>
        <w:t>Warrants</w:t>
      </w:r>
      <w:r>
        <w:rPr>
          <w:rFonts w:ascii="Times New Roman" w:cs="Times New Roman" w:eastAsia="Times New Roman" w:hAnsi="Times New Roman"/>
          <w:sz w:val="22"/>
          <w:szCs w:val="22"/>
          <w:color w:val="auto"/>
        </w:rPr>
        <w:t>") to purchase other Securities (as defined below) of the Corporation; (iii) units ("</w:t>
      </w:r>
      <w:r>
        <w:rPr>
          <w:rFonts w:ascii="Times New Roman" w:cs="Times New Roman" w:eastAsia="Times New Roman" w:hAnsi="Times New Roman"/>
          <w:sz w:val="22"/>
          <w:szCs w:val="22"/>
          <w:b w:val="1"/>
          <w:bCs w:val="1"/>
          <w:color w:val="auto"/>
        </w:rPr>
        <w:t>Units</w:t>
      </w:r>
      <w:r>
        <w:rPr>
          <w:rFonts w:ascii="Times New Roman" w:cs="Times New Roman" w:eastAsia="Times New Roman" w:hAnsi="Times New Roman"/>
          <w:sz w:val="22"/>
          <w:szCs w:val="22"/>
          <w:color w:val="auto"/>
        </w:rPr>
        <w:t>") comprising of one or more of the other Securities, (iv) senior and subordinated unsecured debt securities (collectively, "</w:t>
      </w:r>
      <w:r>
        <w:rPr>
          <w:rFonts w:ascii="Times New Roman" w:cs="Times New Roman" w:eastAsia="Times New Roman" w:hAnsi="Times New Roman"/>
          <w:sz w:val="22"/>
          <w:szCs w:val="22"/>
          <w:b w:val="1"/>
          <w:bCs w:val="1"/>
          <w:color w:val="auto"/>
        </w:rPr>
        <w:t>Debt Securities</w:t>
      </w:r>
      <w:r>
        <w:rPr>
          <w:rFonts w:ascii="Times New Roman" w:cs="Times New Roman" w:eastAsia="Times New Roman" w:hAnsi="Times New Roman"/>
          <w:sz w:val="22"/>
          <w:szCs w:val="22"/>
          <w:color w:val="auto"/>
        </w:rPr>
        <w:t>"), including debt securities convertible or exchangeable into other securities of the Corporation, and (v) subscription receipts ("</w:t>
      </w:r>
      <w:r>
        <w:rPr>
          <w:rFonts w:ascii="Times New Roman" w:cs="Times New Roman" w:eastAsia="Times New Roman" w:hAnsi="Times New Roman"/>
          <w:sz w:val="22"/>
          <w:szCs w:val="22"/>
          <w:b w:val="1"/>
          <w:bCs w:val="1"/>
          <w:color w:val="auto"/>
        </w:rPr>
        <w:t>Subscription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Receipts</w:t>
      </w:r>
      <w:r>
        <w:rPr>
          <w:rFonts w:ascii="Times New Roman" w:cs="Times New Roman" w:eastAsia="Times New Roman" w:hAnsi="Times New Roman"/>
          <w:sz w:val="22"/>
          <w:szCs w:val="22"/>
          <w:color w:val="auto"/>
        </w:rPr>
        <w:t>" and together with the Common Shares, Warrants, Units and Debt Securities, collectively referred to herein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may be offered separately or together, in amounts, at prices and on terms determined based on market conditions at the time of the sale and as set forth in an accompanying prospectus supplement ("</w:t>
      </w:r>
      <w:r>
        <w:rPr>
          <w:rFonts w:ascii="Times New Roman" w:cs="Times New Roman" w:eastAsia="Times New Roman" w:hAnsi="Times New Roman"/>
          <w:sz w:val="22"/>
          <w:szCs w:val="22"/>
          <w:b w:val="1"/>
          <w:bCs w:val="1"/>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Supplement</w:t>
      </w:r>
      <w:r>
        <w:rPr>
          <w:rFonts w:ascii="Times New Roman" w:cs="Times New Roman" w:eastAsia="Times New Roman" w:hAnsi="Times New Roman"/>
          <w:sz w:val="22"/>
          <w:szCs w:val="22"/>
          <w:color w:val="auto"/>
        </w:rPr>
        <w:t>"). In addition, one or more securityholders of the Corporation (each a "</w:t>
      </w:r>
      <w:r>
        <w:rPr>
          <w:rFonts w:ascii="Times New Roman" w:cs="Times New Roman" w:eastAsia="Times New Roman" w:hAnsi="Times New Roman"/>
          <w:sz w:val="22"/>
          <w:szCs w:val="22"/>
          <w:b w:val="1"/>
          <w:bCs w:val="1"/>
          <w:color w:val="auto"/>
        </w:rPr>
        <w:t>Selling Securityholder</w:t>
      </w:r>
      <w:r>
        <w:rPr>
          <w:rFonts w:ascii="Times New Roman" w:cs="Times New Roman" w:eastAsia="Times New Roman" w:hAnsi="Times New Roman"/>
          <w:sz w:val="22"/>
          <w:szCs w:val="22"/>
          <w:color w:val="auto"/>
        </w:rPr>
        <w:t>") may also offer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 Securities under this Prospectus. See "</w:t>
      </w:r>
      <w:r>
        <w:rPr>
          <w:rFonts w:ascii="Times New Roman" w:cs="Times New Roman" w:eastAsia="Times New Roman" w:hAnsi="Times New Roman"/>
          <w:sz w:val="22"/>
          <w:szCs w:val="22"/>
          <w:i w:val="1"/>
          <w:iCs w:val="1"/>
          <w:color w:val="auto"/>
        </w:rPr>
        <w:t>Selling Securityholders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32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5" w:name="page36"/>
    <w:bookmarkEnd w:id="35"/>
    <w:p>
      <w:pPr>
        <w:jc w:val="both"/>
        <w:spacing w:after="0" w:line="238" w:lineRule="auto"/>
        <w:rPr>
          <w:sz w:val="20"/>
          <w:szCs w:val="20"/>
          <w:color w:val="auto"/>
        </w:rPr>
      </w:pPr>
      <w:r>
        <w:rPr>
          <w:rFonts w:ascii="Times New Roman" w:cs="Times New Roman" w:eastAsia="Times New Roman" w:hAnsi="Times New Roman"/>
          <w:sz w:val="22"/>
          <w:szCs w:val="22"/>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and (vi) in the case of Securities to be offered and sold by Selling Securityholders, such information in respect of such Selling Securityholders as may be required under applicable securities laws. A Prospectus Supplement relating to a particular Offering of Securities may include terms pertaining to the Securities being offered thereunder that are not within the terms and parameters described in this Prospectus.</w:t>
      </w:r>
    </w:p>
    <w:p>
      <w:pPr>
        <w:spacing w:after="0" w:line="15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and the Selling Securityholder(s) may sell the Securities through underwriters or dealers, directly by the Corporation or the Selling Securityholder(s) pursuant to applicable statutory exemptions, or through designated agents from time to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 The Prospectus Supplement relating to a particular Offering of Securities will identify each underwriter, dealer or agent, as the case may be, engaged by the Corporation or the Selling Securityholder(s)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or the Selling Securityholder(s) and any other material terms of the plan of distribution.</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Times New Roman" w:cs="Times New Roman" w:eastAsia="Times New Roman" w:hAnsi="Times New Roman"/>
          <w:sz w:val="22"/>
          <w:szCs w:val="22"/>
          <w:i w:val="1"/>
          <w:iCs w:val="1"/>
          <w:color w:val="auto"/>
        </w:rPr>
        <w:t>Shelf Distributions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NI 44-102</w:t>
      </w:r>
      <w:r>
        <w:rPr>
          <w:rFonts w:ascii="Times New Roman" w:cs="Times New Roman" w:eastAsia="Times New Roman" w:hAnsi="Times New Roman"/>
          <w:sz w:val="22"/>
          <w:szCs w:val="22"/>
          <w:color w:val="auto"/>
        </w:rPr>
        <w:t>"). If offered on a non-fixed price basis, the Securities may be offered at market prices prevailing at the time of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Inc. (the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both"/>
        <w:spacing w:after="0" w:line="234" w:lineRule="auto"/>
        <w:rPr>
          <w:sz w:val="20"/>
          <w:szCs w:val="20"/>
          <w:color w:val="auto"/>
        </w:rPr>
      </w:pPr>
      <w:r>
        <w:rPr>
          <w:rFonts w:ascii="Times New Roman" w:cs="Times New Roman" w:eastAsia="Times New Roman" w:hAnsi="Times New Roman"/>
          <w:sz w:val="22"/>
          <w:szCs w:val="22"/>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Times New Roman" w:cs="Times New Roman" w:eastAsia="Times New Roman" w:hAnsi="Times New Roman"/>
          <w:sz w:val="22"/>
          <w:szCs w:val="22"/>
          <w:i w:val="1"/>
          <w:iCs w:val="1"/>
          <w:color w:val="auto"/>
        </w:rPr>
        <w:t>"Plan of Distribution"</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determining that the Corporation has a reasonable expectation to distribute, during the 25-month period that this Prospectus, including any amendments hereto, remains valid, up to $800,000,000 in the aggregate of Securities, management of the Corporation has considered its ongoing contractual commitments amounting to (i) approximately $60,083,262 which will be used to qualify, in the United States pursuant to prospectus supplements to the Corporation’s registration statement on Form F-10, the Common Shares issuable from time to time upon the exercise of certain Common Share purchase warrants issued by the Corporation on August 4, 2023 and November 14, 2023 in connection with unit offerings of the Corporation, and (ii) approximately $265,998,942 which will be used to qualify the periodic resale in the United States, pursuant to prospectus supplements to the Registration Statement (as defined below), by certain selling shareholders of previously issued Common Shares (collectively, the “</w:t>
      </w:r>
      <w:r>
        <w:rPr>
          <w:rFonts w:ascii="Times New Roman" w:cs="Times New Roman" w:eastAsia="Times New Roman" w:hAnsi="Times New Roman"/>
          <w:sz w:val="21"/>
          <w:szCs w:val="21"/>
          <w:b w:val="1"/>
          <w:bCs w:val="1"/>
          <w:color w:val="auto"/>
        </w:rPr>
        <w:t>Commitment Amount</w:t>
      </w:r>
      <w:r>
        <w:rPr>
          <w:rFonts w:ascii="Times New Roman" w:cs="Times New Roman" w:eastAsia="Times New Roman" w:hAnsi="Times New Roman"/>
          <w:sz w:val="21"/>
          <w:szCs w:val="21"/>
          <w:color w:val="auto"/>
        </w:rPr>
        <w:t>”). Given the Commitment Amount, the Corporation will have approximately $473,917,796 available under the Prospectus, which management of the Corporation reasonably expects to distribute during the</w:t>
      </w:r>
    </w:p>
    <w:p>
      <w:pPr>
        <w:spacing w:after="0" w:line="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25-month period that this Prospectus, including any amendments hereto, remains valid.</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 addition, management of the Corporation has considered U.S. securities laws in connection with the registration of the Common Shares underlying Warrants issued pursuant to an Offering. The registration under the United States Securities Act of 1933, as amended (the “</w:t>
      </w:r>
      <w:r>
        <w:rPr>
          <w:rFonts w:ascii="Times New Roman" w:cs="Times New Roman" w:eastAsia="Times New Roman" w:hAnsi="Times New Roman"/>
          <w:sz w:val="22"/>
          <w:szCs w:val="22"/>
          <w:b w:val="1"/>
          <w:bCs w:val="1"/>
          <w:color w:val="auto"/>
        </w:rPr>
        <w:t>U.S.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Act</w:t>
      </w:r>
      <w:r>
        <w:rPr>
          <w:rFonts w:ascii="Times New Roman" w:cs="Times New Roman" w:eastAsia="Times New Roman" w:hAnsi="Times New Roman"/>
          <w:sz w:val="22"/>
          <w:szCs w:val="22"/>
          <w:color w:val="auto"/>
        </w:rPr>
        <w:t>”) of the Common Shares underlying Warrants initially sold to, or for the account or benefit of, U.S. persons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Regulation S Under the U.S. Securities Act) or persons in the United States pursuant to exemptions from the registration requirements of the U.S. Securities Act, permits the selling securityholders named in the U.S. prospectus supplements to the Corporation’s registration statement on Form F-10 to re-sell such Common Shares without restriction under the U.S. Securities Act. In the absence of such registration, re-sales of such Common Shares would be required to comply with an exemption or exclusion from the registration requirements of the U.S. Securities Act. The Corporation has filed a registration statement on Form F-10, as amended (File No. 333-289139)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which was initially filed with the SEC, under the U.S. Securities Act, on July 31, 2025, as amended on September 17, 2025 concurrent with the filing of this Prospectus, for the equivalent United States dollar value of this Prospectus, being US$577,700.572 (converted from $800,000,000 at an exchange rate of US$1.00=CAD$1.3848, which was the daily average exchange rate reported by the Bank of Canada on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3571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7" w:lineRule="exact"/>
        <w:rPr>
          <w:sz w:val="20"/>
          <w:szCs w:val="20"/>
          <w:color w:val="auto"/>
        </w:rPr>
      </w:pPr>
    </w:p>
    <w:p>
      <w:pPr>
        <w:ind w:firstLine="8"/>
        <w:spacing w:after="0" w:line="189" w:lineRule="auto"/>
        <w:tabs>
          <w:tab w:leader="none" w:pos="172"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There is no certainty as to the Corporation’s ability to distribute securities or to raise additional funding to support operations.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7" w:name="page38"/>
    <w:bookmarkEnd w:id="37"/>
    <w:p>
      <w:pPr>
        <w:jc w:val="both"/>
        <w:spacing w:after="0" w:line="239" w:lineRule="auto"/>
        <w:rPr>
          <w:sz w:val="20"/>
          <w:szCs w:val="20"/>
          <w:color w:val="auto"/>
        </w:rPr>
      </w:pPr>
      <w:r>
        <w:rPr>
          <w:rFonts w:ascii="Times New Roman" w:cs="Times New Roman" w:eastAsia="Times New Roman" w:hAnsi="Times New Roman"/>
          <w:sz w:val="22"/>
          <w:szCs w:val="22"/>
          <w:color w:val="auto"/>
        </w:rPr>
        <w:t>For illustrative purposes only, if the Corporation were to complete an Offering for US$150,000,000, and if the Offering was an Offering of Units with each Unit consisting of one Common Share and one Warrant, with each Warrant exercisable at 115% of the Unit purchase price, then the Offering would require a total of $446,598,000 worth of space under this Prospectus.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calculations are demonstrated in USD and CAD:</w:t>
      </w:r>
      <w:r>
        <w:rPr>
          <w:rFonts w:ascii="Times New Roman" w:cs="Times New Roman" w:eastAsia="Times New Roman" w:hAnsi="Times New Roman"/>
          <w:sz w:val="35"/>
          <w:szCs w:val="3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7029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70294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a Unit Distribution</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US$150,000,000</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C$207,720,000</w:t>
            </w:r>
            <w:r>
              <w:rPr>
                <w:rFonts w:ascii="Times New Roman" w:cs="Times New Roman" w:eastAsia="Times New Roman" w:hAnsi="Times New Roman"/>
                <w:sz w:val="29"/>
                <w:szCs w:val="29"/>
                <w:color w:val="auto"/>
                <w:vertAlign w:val="superscript"/>
              </w:rPr>
              <w:t>(1)</w:t>
            </w:r>
          </w:p>
        </w:tc>
      </w:tr>
      <w:tr>
        <w:trPr>
          <w:trHeight w:val="358"/>
        </w:trPr>
        <w:tc>
          <w:tcPr>
            <w:tcW w:w="5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Amount to Qualify the Underlying Warrant Shares</w:t>
            </w:r>
          </w:p>
        </w:tc>
        <w:tc>
          <w:tcPr>
            <w:tcW w:w="32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US$172,500,000</w:t>
            </w:r>
            <w:r>
              <w:rPr>
                <w:rFonts w:ascii="Times New Roman" w:cs="Times New Roman" w:eastAsia="Times New Roman" w:hAnsi="Times New Roman"/>
                <w:sz w:val="29"/>
                <w:szCs w:val="29"/>
                <w:color w:val="auto"/>
                <w:vertAlign w:val="superscript"/>
              </w:rPr>
              <w:t>(2)</w:t>
            </w:r>
          </w:p>
        </w:tc>
        <w:tc>
          <w:tcPr>
            <w:tcW w:w="29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C$238,878,000</w:t>
            </w:r>
          </w:p>
        </w:tc>
      </w:tr>
      <w:tr>
        <w:trPr>
          <w:trHeight w:val="263"/>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Base Shelf Amount Used</w:t>
            </w:r>
          </w:p>
        </w:tc>
        <w:tc>
          <w:tcPr>
            <w:tcW w:w="32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US$322,500,000</w:t>
            </w:r>
          </w:p>
        </w:tc>
        <w:tc>
          <w:tcPr>
            <w:tcW w:w="29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C$446,598,000</w:t>
            </w: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210" w:lineRule="exact"/>
        <w:rPr>
          <w:sz w:val="20"/>
          <w:szCs w:val="20"/>
          <w:color w:val="auto"/>
        </w:rPr>
      </w:pPr>
    </w:p>
    <w:p>
      <w:pPr>
        <w:ind w:left="540" w:right="80" w:hanging="208"/>
        <w:spacing w:after="0" w:line="241" w:lineRule="auto"/>
        <w:tabs>
          <w:tab w:leader="none" w:pos="5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to Canadian dollars completed on the basis of the Bank of Canada’s daily average exchange rate on September 12, 2025 (being US$1.00=C$1.3848).</w:t>
      </w:r>
    </w:p>
    <w:p>
      <w:pPr>
        <w:spacing w:after="0" w:line="1" w:lineRule="exact"/>
        <w:rPr>
          <w:rFonts w:ascii="Times New Roman" w:cs="Times New Roman" w:eastAsia="Times New Roman" w:hAnsi="Times New Roman"/>
          <w:sz w:val="22"/>
          <w:szCs w:val="22"/>
          <w:color w:val="auto"/>
        </w:rPr>
      </w:pPr>
    </w:p>
    <w:p>
      <w:pPr>
        <w:ind w:left="540" w:right="480" w:hanging="208"/>
        <w:spacing w:after="0" w:line="237" w:lineRule="auto"/>
        <w:tabs>
          <w:tab w:leader="none" w:pos="5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Reflects a theoretical Unit purchase price (US$150,000,000) multiplied by 115% (representing the theoretical Warrant exercise price).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Common Shares are listed on the CBOE Canada under the trading symbol “CYBN”, and in the United States on the NYSE American LLC stock exchange (the “</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under the symbol “CYBN”. On September 16, 2025, the last trading day prior to the filing of this Prospectus, the closing prices of the Common Shares listed on the CBOE Canada and the NYSE American were $8.32 and US$6.04 respectively.</w:t>
      </w:r>
    </w:p>
    <w:p>
      <w:pPr>
        <w:spacing w:after="0" w:line="14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w:t>
      </w:r>
    </w:p>
    <w:p>
      <w:pPr>
        <w:spacing w:after="0" w:line="13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4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An investors ability to enforce civil liabilities under the United States federal securities laws may be affected adversely because the Corporation is incorporated in Canada, the majority of its officers and directors named in this Prospectus are not residents of the United States, and some of the Corporation's assets and all or a substantial portion of the assets of such persons are located outside of the United States. See "</w:t>
      </w:r>
      <w:r>
        <w:rPr>
          <w:rFonts w:ascii="Times New Roman" w:cs="Times New Roman" w:eastAsia="Times New Roman" w:hAnsi="Times New Roman"/>
          <w:sz w:val="22"/>
          <w:szCs w:val="22"/>
          <w:b w:val="1"/>
          <w:bCs w:val="1"/>
          <w:i w:val="1"/>
          <w:iCs w:val="1"/>
          <w:color w:val="auto"/>
        </w:rPr>
        <w:t>Risk Factors - Enforcement of Civil Liabilities</w:t>
      </w:r>
      <w:r>
        <w:rPr>
          <w:rFonts w:ascii="Times New Roman" w:cs="Times New Roman" w:eastAsia="Times New Roman" w:hAnsi="Times New Roman"/>
          <w:sz w:val="22"/>
          <w:szCs w:val="22"/>
          <w:b w:val="1"/>
          <w:bCs w:val="1"/>
          <w:color w:val="auto"/>
        </w:rPr>
        <w: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An investment in the Securities is subject to a number of risks, including those risks described in this Prospectus and documents incorporated by reference into this Prospectus. See </w:t>
      </w:r>
      <w:r>
        <w:rPr>
          <w:rFonts w:ascii="Times New Roman" w:cs="Times New Roman" w:eastAsia="Times New Roman" w:hAnsi="Times New Roman"/>
          <w:sz w:val="21"/>
          <w:szCs w:val="21"/>
          <w:b w:val="1"/>
          <w:bCs w:val="1"/>
          <w:i w:val="1"/>
          <w:iCs w:val="1"/>
          <w:color w:val="auto"/>
        </w:rPr>
        <w:t>"Risk Factors"</w:t>
      </w:r>
      <w:r>
        <w:rPr>
          <w:rFonts w:ascii="Times New Roman" w:cs="Times New Roman" w:eastAsia="Times New Roman" w:hAnsi="Times New Roman"/>
          <w:sz w:val="21"/>
          <w:szCs w:val="21"/>
          <w:b w:val="1"/>
          <w:bCs w:val="1"/>
          <w:color w:val="auto"/>
        </w:rPr>
        <w:t xml:space="preserve"> in this Prospectus and in the Corporation's Annual Information Form and Interim MD&amp;A (each as defined herein)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23571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70" w:lineRule="exact"/>
        <w:rPr>
          <w:sz w:val="20"/>
          <w:szCs w:val="20"/>
          <w:color w:val="auto"/>
        </w:rPr>
      </w:pPr>
    </w:p>
    <w:p>
      <w:pPr>
        <w:jc w:val="both"/>
        <w:ind w:firstLine="8"/>
        <w:spacing w:after="0" w:line="217" w:lineRule="auto"/>
        <w:tabs>
          <w:tab w:leader="none" w:pos="200" w:val="left"/>
        </w:tabs>
        <w:numPr>
          <w:ilvl w:val="0"/>
          <w:numId w:val="1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paragraph and table are strictly for illustrative purposes and are forward-looking statements that involve material assumptions by the Corporation, including the participation in any future Offering by United States investors requiring the Common Shares issuable on exercise of the Warrants to be registered under the U.S. Securities Act, the Corporation’s completion of an Offering, the theoretical size of the Offering, and the Warrant exercise price. There is no certainty as to the Corporation’s ability to raise additional capital or complete an Offering in the future. Further, there is no certainty that an Offering made to United States investors of Units, comprised of Common Shares and Warrants, would require a registration statement on Form F-10 qualifying the resale of the Common Shares issuable on exercise of the Warrants without restriction under the U.S. Securities Act. See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underwriter has been involved in the preparation of this Prospectus or performed any review of the contents hereof.</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NEITHER THE SEC NOR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Eric So, a director and officer of the Corporation, and Paul Glavine, a director and officer of the Corporation, each reside outside of Canada. They have appointed Aird &amp; Berlis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Enforcement of Civil Liabilities”</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In this Prospectus, references to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our</w:t>
      </w:r>
      <w:r>
        <w:rPr>
          <w:rFonts w:ascii="Times New Roman" w:cs="Times New Roman" w:eastAsia="Times New Roman" w:hAnsi="Times New Roman"/>
          <w:sz w:val="22"/>
          <w:szCs w:val="22"/>
          <w:color w:val="auto"/>
        </w:rPr>
        <w:t>" refer to Cybin Inc. and/or, as applicable, one or more of its subsidiaries. 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1375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137535"/>
                    </a:xfrm>
                    <a:prstGeom prst="rect">
                      <a:avLst/>
                    </a:prstGeom>
                    <a:noFill/>
                  </pic:spPr>
                </pic:pic>
              </a:graphicData>
            </a:graphic>
          </wp:anchor>
        </w:drawing>
      </w:r>
    </w:p>
    <w:p>
      <w:pPr>
        <w:spacing w:after="0" w:line="224" w:lineRule="exact"/>
        <w:rPr>
          <w:sz w:val="20"/>
          <w:szCs w:val="20"/>
          <w:color w:val="auto"/>
        </w:rPr>
      </w:pPr>
    </w:p>
    <w:p>
      <w:pPr>
        <w:jc w:val="both"/>
        <w:ind w:left="120"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Times New Roman" w:cs="Times New Roman" w:eastAsia="Times New Roman" w:hAnsi="Times New Roman"/>
          <w:sz w:val="18"/>
          <w:szCs w:val="18"/>
          <w:b w:val="1"/>
          <w:bCs w:val="1"/>
          <w:i w:val="1"/>
          <w:iCs w:val="1"/>
          <w:color w:val="auto"/>
        </w:rPr>
        <w:t>"Use of Proceeds"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Canadian and United States federal governments regulate drugs through the </w:t>
      </w:r>
      <w:r>
        <w:rPr>
          <w:rFonts w:ascii="Times New Roman" w:cs="Times New Roman" w:eastAsia="Times New Roman" w:hAnsi="Times New Roman"/>
          <w:sz w:val="18"/>
          <w:szCs w:val="18"/>
          <w:b w:val="1"/>
          <w:bCs w:val="1"/>
          <w:i w:val="1"/>
          <w:iCs w:val="1"/>
          <w:color w:val="auto"/>
        </w:rPr>
        <w:t>Controlled Drugs and Substances Act</w:t>
      </w:r>
      <w:r>
        <w:rPr>
          <w:rFonts w:ascii="Times New Roman" w:cs="Times New Roman" w:eastAsia="Times New Roman" w:hAnsi="Times New Roman"/>
          <w:sz w:val="18"/>
          <w:szCs w:val="18"/>
          <w:b w:val="1"/>
          <w:bCs w:val="1"/>
          <w:color w:val="auto"/>
        </w:rPr>
        <w:t xml:space="preserve"> (Canada) (the "CDSA") and the </w:t>
      </w:r>
      <w:r>
        <w:rPr>
          <w:rFonts w:ascii="Times New Roman" w:cs="Times New Roman" w:eastAsia="Times New Roman" w:hAnsi="Times New Roman"/>
          <w:sz w:val="18"/>
          <w:szCs w:val="18"/>
          <w:b w:val="1"/>
          <w:bCs w:val="1"/>
          <w:i w:val="1"/>
          <w:iCs w:val="1"/>
          <w:color w:val="auto"/>
        </w:rPr>
        <w:t>Controlled Substances Act</w:t>
      </w:r>
      <w:r>
        <w:rPr>
          <w:rFonts w:ascii="Times New Roman" w:cs="Times New Roman" w:eastAsia="Times New Roman" w:hAnsi="Times New Roman"/>
          <w:sz w:val="18"/>
          <w:szCs w:val="18"/>
          <w:b w:val="1"/>
          <w:bCs w:val="1"/>
          <w:color w:val="auto"/>
        </w:rPr>
        <w:t xml:space="preserve"> (21 U.S.C. § 811) (the "CSA"), respectively, which place controlled substances in a schedule. Under the CDSA, psilocin is currently a Schedule III drug. Under the CSA, psilocin is currently a Schedule I drug.</w:t>
      </w:r>
    </w:p>
    <w:p>
      <w:pPr>
        <w:spacing w:after="0" w:line="171" w:lineRule="exact"/>
        <w:rPr>
          <w:sz w:val="20"/>
          <w:szCs w:val="20"/>
          <w:color w:val="auto"/>
        </w:rPr>
      </w:pPr>
    </w:p>
    <w:p>
      <w:pPr>
        <w:jc w:val="both"/>
        <w:ind w:left="120"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Times New Roman" w:cs="Times New Roman" w:eastAsia="Times New Roman" w:hAnsi="Times New Roman"/>
          <w:sz w:val="18"/>
          <w:szCs w:val="18"/>
          <w:b w:val="1"/>
          <w:bCs w:val="1"/>
          <w:i w:val="1"/>
          <w:iCs w:val="1"/>
          <w:color w:val="auto"/>
        </w:rPr>
        <w:t>"Regulatory Overview - Research and Development"</w:t>
      </w:r>
      <w:r>
        <w:rPr>
          <w:rFonts w:ascii="Times New Roman" w:cs="Times New Roman" w:eastAsia="Times New Roman" w:hAnsi="Times New Roman"/>
          <w:sz w:val="18"/>
          <w:szCs w:val="18"/>
          <w:b w:val="1"/>
          <w:bCs w:val="1"/>
          <w:color w:val="auto"/>
        </w:rPr>
        <w:t>.</w:t>
      </w:r>
    </w:p>
    <w:p>
      <w:pPr>
        <w:spacing w:after="0" w:line="179"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 The Corporation does not advocate for the legalization of psychedelic substances for recreational purposes and does not deal with psychedelic substances except within laboratory and clinical trial settings conducted within approved regulatory frameworks.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5057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5057775"/>
                    </a:xfrm>
                    <a:prstGeom prst="rect">
                      <a:avLst/>
                    </a:prstGeom>
                    <a:noFill/>
                  </pic:spPr>
                </pic:pic>
              </a:graphicData>
            </a:graphic>
          </wp:anchor>
        </w:drawing>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Certain statements throughout this Prospectus regarding psilocin, psilocybin, N, N-dimethyltryptamine ("DMT"), psychedelic tryptamine, tryptamine derivatives or other psychedelic compounds have not been evaluated by Health Canada, the FDA or other similar regulatory authorities, nor has the efficacy of psilocin, psilocybin, DMT, psychedelic tryptamine, tryptamine derivatives or other psychedelic compounds been confirmed by approved research. There is no assurance that psilocin, psilocybin, DMT,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psilocin and other analogues, including, but not limited to, regulatory changes or other changes in law, and risks related to drug development.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Corporation's operations are conducted in strict compliance with local laws where such activities are permissible and do not require any specific legal or regulatory approvals. 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Times New Roman" w:cs="Times New Roman" w:eastAsia="Times New Roman" w:hAnsi="Times New Roman"/>
          <w:sz w:val="18"/>
          <w:szCs w:val="18"/>
          <w:b w:val="1"/>
          <w:bCs w:val="1"/>
          <w:i w:val="1"/>
          <w:iCs w:val="1"/>
          <w:color w:val="auto"/>
        </w:rPr>
        <w:t>"Compliance Program"</w:t>
      </w:r>
      <w:r>
        <w:rPr>
          <w:rFonts w:ascii="Times New Roman" w:cs="Times New Roman" w:eastAsia="Times New Roman" w:hAnsi="Times New Roman"/>
          <w:sz w:val="18"/>
          <w:szCs w:val="18"/>
          <w:b w:val="1"/>
          <w:bCs w:val="1"/>
          <w:color w:val="auto"/>
        </w:rPr>
        <w:t>. Additionally, the Corporation has received legal opinions or advice in each jurisdiction where it currently operates regarding (a) compliance with applicable regulatory frameworks and (b) potential exposure and implications arising from applicable laws in jurisdictions where the Corporation has operations or intends to operate.</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herein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the Annual Information Form.</w:t>
      </w:r>
    </w:p>
    <w:p>
      <w:pPr>
        <w:spacing w:after="0" w:line="17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in this Prospectus, prior to investing in the Securities. See </w:t>
      </w:r>
      <w:r>
        <w:rPr>
          <w:rFonts w:ascii="Times New Roman" w:cs="Times New Roman" w:eastAsia="Times New Roman" w:hAnsi="Times New Roman"/>
          <w:sz w:val="18"/>
          <w:szCs w:val="18"/>
          <w:b w:val="1"/>
          <w:bCs w:val="1"/>
          <w:i w:val="1"/>
          <w:iCs w:val="1"/>
          <w:color w:val="auto"/>
        </w:rPr>
        <w:t>"Cautionary Note Regarding Forward-Looking Information"</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128905</wp:posOffset>
            </wp:positionV>
            <wp:extent cx="715327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020"/>
          </w:cols>
          <w:pgMar w:left="440" w:top="212" w:right="439"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97"/>
        </w:trPr>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203"/>
        </w:trPr>
        <w:tc>
          <w:tcPr>
            <w:tcW w:w="1720" w:type="dxa"/>
            <w:vAlign w:val="bottom"/>
            <w:gridSpan w:val="5"/>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GENERAL MATTERS</w:t>
            </w:r>
          </w:p>
        </w:tc>
        <w:tc>
          <w:tcPr>
            <w:tcW w:w="6660" w:type="dxa"/>
            <w:vAlign w:val="bottom"/>
            <w:gridSpan w:val="15"/>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INFORMATION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TRADEMARKS AND SERVICE MARKS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314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0000EE"/>
              </w:rPr>
              <w:t>MARKETING MATERIALS</w:t>
            </w:r>
          </w:p>
        </w:tc>
        <w:tc>
          <w:tcPr>
            <w:tcW w:w="5240" w:type="dxa"/>
            <w:vAlign w:val="bottom"/>
            <w:gridSpan w:val="7"/>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660" w:type="dxa"/>
            <w:vAlign w:val="bottom"/>
            <w:gridSpan w:val="11"/>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MARKET AND INDUSTRY DATA</w:t>
            </w:r>
          </w:p>
        </w:tc>
        <w:tc>
          <w:tcPr>
            <w:tcW w:w="5720" w:type="dxa"/>
            <w:vAlign w:val="bottom"/>
            <w:gridSpan w:val="9"/>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DOCUMENTS INCORPORATED BY REFERENCE</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8"/>
              </w:rPr>
              <w:t>DOCUMENTS FILED AS PART OF THE REGISTRATION STATEMENT</w:t>
            </w:r>
          </w:p>
        </w:tc>
        <w:tc>
          <w:tcPr>
            <w:tcW w:w="2860" w:type="dxa"/>
            <w:vAlign w:val="bottom"/>
            <w:gridSpan w:val="2"/>
            <w:shd w:val="clear" w:color="auto" w:fill="EEEEEE"/>
          </w:tcPr>
          <w:p>
            <w:pPr>
              <w:spacing w:after="0"/>
              <w:rPr>
                <w:sz w:val="17"/>
                <w:szCs w:val="17"/>
                <w:color w:val="auto"/>
              </w:rPr>
            </w:pP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20" w:type="dxa"/>
            <w:vAlign w:val="bottom"/>
            <w:tcBorders>
              <w:top w:val="single" w:sz="8" w:color="0000EE"/>
            </w:tcBorders>
            <w:shd w:val="clear" w:color="auto" w:fill="EEEEEE"/>
          </w:tcPr>
          <w:p>
            <w:pPr>
              <w:spacing w:after="0"/>
              <w:rPr>
                <w:sz w:val="4"/>
                <w:szCs w:val="4"/>
                <w:color w:val="auto"/>
              </w:rPr>
            </w:pPr>
          </w:p>
        </w:tc>
        <w:tc>
          <w:tcPr>
            <w:tcW w:w="260" w:type="dxa"/>
            <w:vAlign w:val="bottom"/>
            <w:tcBorders>
              <w:top w:val="single" w:sz="8" w:color="0000EE"/>
            </w:tcBorders>
            <w:shd w:val="clear" w:color="auto" w:fill="EEEEEE"/>
          </w:tcPr>
          <w:p>
            <w:pPr>
              <w:spacing w:after="0"/>
              <w:rPr>
                <w:sz w:val="4"/>
                <w:szCs w:val="4"/>
                <w:color w:val="auto"/>
              </w:rPr>
            </w:pPr>
          </w:p>
        </w:tc>
        <w:tc>
          <w:tcPr>
            <w:tcW w:w="780" w:type="dxa"/>
            <w:vAlign w:val="bottom"/>
            <w:tcBorders>
              <w:top w:val="single" w:sz="8" w:color="0000EE"/>
            </w:tcBorders>
            <w:shd w:val="clear" w:color="auto" w:fill="EEEEEE"/>
          </w:tcPr>
          <w:p>
            <w:pPr>
              <w:spacing w:after="0"/>
              <w:rPr>
                <w:sz w:val="4"/>
                <w:szCs w:val="4"/>
                <w:color w:val="auto"/>
              </w:rPr>
            </w:pPr>
          </w:p>
        </w:tc>
        <w:tc>
          <w:tcPr>
            <w:tcW w:w="140" w:type="dxa"/>
            <w:vAlign w:val="bottom"/>
            <w:tcBorders>
              <w:top w:val="single" w:sz="8" w:color="0000EE"/>
            </w:tcBorders>
            <w:shd w:val="clear" w:color="auto" w:fill="EEEEEE"/>
          </w:tcPr>
          <w:p>
            <w:pPr>
              <w:spacing w:after="0"/>
              <w:rPr>
                <w:sz w:val="4"/>
                <w:szCs w:val="4"/>
                <w:color w:val="auto"/>
              </w:rPr>
            </w:pPr>
          </w:p>
        </w:tc>
        <w:tc>
          <w:tcPr>
            <w:tcW w:w="28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1160" w:type="dxa"/>
            <w:vAlign w:val="bottom"/>
            <w:tcBorders>
              <w:top w:val="single" w:sz="8" w:color="0000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55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EE"/>
              </w:rPr>
              <w:t>THE CORPORATION</w:t>
            </w:r>
          </w:p>
        </w:tc>
        <w:tc>
          <w:tcPr>
            <w:tcW w:w="2860" w:type="dxa"/>
            <w:vAlign w:val="bottom"/>
            <w:gridSpan w:val="2"/>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6</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REGULATORY OVERVIEW</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9</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0000EE"/>
            </w:tcBorders>
            <w:shd w:val="clear" w:color="auto" w:fill="EEEEEE"/>
          </w:tcPr>
          <w:p>
            <w:pPr>
              <w:spacing w:after="0"/>
              <w:rPr>
                <w:sz w:val="4"/>
                <w:szCs w:val="4"/>
                <w:color w:val="auto"/>
              </w:rPr>
            </w:pPr>
          </w:p>
        </w:tc>
        <w:tc>
          <w:tcPr>
            <w:tcW w:w="60" w:type="dxa"/>
            <w:vAlign w:val="bottom"/>
            <w:tcBorders>
              <w:top w:val="single" w:sz="8" w:color="0000EE"/>
            </w:tcBorders>
            <w:shd w:val="clear" w:color="auto" w:fill="EEEEEE"/>
          </w:tcPr>
          <w:p>
            <w:pPr>
              <w:spacing w:after="0"/>
              <w:rPr>
                <w:sz w:val="4"/>
                <w:szCs w:val="4"/>
                <w:color w:val="auto"/>
              </w:rPr>
            </w:pPr>
          </w:p>
        </w:tc>
        <w:tc>
          <w:tcPr>
            <w:tcW w:w="20" w:type="dxa"/>
            <w:vAlign w:val="bottom"/>
            <w:tcBorders>
              <w:top w:val="single" w:sz="8" w:color="0000EE"/>
            </w:tcBorders>
            <w:shd w:val="clear" w:color="auto" w:fill="EEEEEE"/>
          </w:tcPr>
          <w:p>
            <w:pPr>
              <w:spacing w:after="0"/>
              <w:rPr>
                <w:sz w:val="4"/>
                <w:szCs w:val="4"/>
                <w:color w:val="auto"/>
              </w:rPr>
            </w:pPr>
          </w:p>
        </w:tc>
        <w:tc>
          <w:tcPr>
            <w:tcW w:w="40" w:type="dxa"/>
            <w:vAlign w:val="bottom"/>
            <w:tcBorders>
              <w:top w:val="single" w:sz="8" w:color="0000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180" w:type="dxa"/>
            <w:vAlign w:val="bottom"/>
            <w:gridSpan w:val="9"/>
          </w:tcPr>
          <w:p>
            <w:pPr>
              <w:spacing w:after="0" w:line="202" w:lineRule="exact"/>
              <w:rPr>
                <w:sz w:val="20"/>
                <w:szCs w:val="20"/>
                <w:color w:val="auto"/>
              </w:rPr>
            </w:pPr>
            <w:r>
              <w:rPr>
                <w:rFonts w:ascii="Times New Roman" w:cs="Times New Roman" w:eastAsia="Times New Roman" w:hAnsi="Times New Roman"/>
                <w:sz w:val="18"/>
                <w:szCs w:val="18"/>
                <w:color w:val="0000EE"/>
              </w:rPr>
              <w:t>COMPLIANCE PROGRAM</w:t>
            </w:r>
          </w:p>
        </w:tc>
        <w:tc>
          <w:tcPr>
            <w:tcW w:w="6200" w:type="dxa"/>
            <w:vAlign w:val="bottom"/>
            <w:gridSpan w:val="11"/>
          </w:tcPr>
          <w:p>
            <w:pPr>
              <w:spacing w:after="0"/>
              <w:rPr>
                <w:sz w:val="17"/>
                <w:szCs w:val="17"/>
                <w:color w:val="auto"/>
              </w:rPr>
            </w:pP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23</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880" w:type="dxa"/>
            <w:vAlign w:val="bottom"/>
            <w:tcBorders>
              <w:bottom w:val="single" w:sz="8" w:color="0000EE"/>
            </w:tcBorders>
            <w:gridSpan w:val="12"/>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CONSOLIDATED CAPITALIZATION</w:t>
            </w:r>
          </w:p>
        </w:tc>
        <w:tc>
          <w:tcPr>
            <w:tcW w:w="5500" w:type="dxa"/>
            <w:vAlign w:val="bottom"/>
            <w:tcBorders>
              <w:bottom w:val="single" w:sz="8" w:color="EEEEEE"/>
            </w:tcBorders>
            <w:gridSpan w:val="8"/>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23</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24</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520" w:type="dxa"/>
            <w:vAlign w:val="bottom"/>
            <w:tcBorders>
              <w:bottom w:val="single" w:sz="8" w:color="0000EE"/>
            </w:tcBorders>
            <w:gridSpan w:val="1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5860" w:type="dxa"/>
            <w:vAlign w:val="bottom"/>
            <w:tcBorders>
              <w:bottom w:val="single" w:sz="8" w:color="EEEEEE"/>
            </w:tcBorders>
            <w:gridSpan w:val="10"/>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DIVIDEND POLICY</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27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4340" w:type="dxa"/>
            <w:vAlign w:val="bottom"/>
            <w:tcBorders>
              <w:bottom w:val="single" w:sz="8" w:color="0000EE"/>
            </w:tcBorders>
            <w:gridSpan w:val="16"/>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9"/>
              </w:rPr>
              <w:t>DESCRIPTION OF SECURITIES BEING DISTRIBUTED</w:t>
            </w:r>
          </w:p>
        </w:tc>
        <w:tc>
          <w:tcPr>
            <w:tcW w:w="4040" w:type="dxa"/>
            <w:vAlign w:val="bottom"/>
            <w:tcBorders>
              <w:bottom w:val="single" w:sz="8" w:color="EEEEEE"/>
            </w:tcBorders>
            <w:gridSpan w:val="4"/>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27</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31</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260" w:type="dxa"/>
            <w:vAlign w:val="bottom"/>
            <w:tcBorders>
              <w:bottom w:val="single" w:sz="8" w:color="0000EE"/>
            </w:tcBorders>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w w:val="97"/>
              </w:rPr>
              <w:t>RISK FACTORS</w:t>
            </w:r>
          </w:p>
        </w:tc>
        <w:tc>
          <w:tcPr>
            <w:tcW w:w="7120" w:type="dxa"/>
            <w:vAlign w:val="bottom"/>
            <w:tcBorders>
              <w:bottom w:val="single" w:sz="8" w:color="EEEEEE"/>
            </w:tcBorders>
            <w:gridSpan w:val="19"/>
            <w:shd w:val="clear" w:color="auto" w:fill="EEEEEE"/>
          </w:tcPr>
          <w:p>
            <w:pPr>
              <w:spacing w:after="0"/>
              <w:rPr>
                <w:sz w:val="21"/>
                <w:szCs w:val="21"/>
                <w:color w:val="auto"/>
              </w:rPr>
            </w:pPr>
          </w:p>
        </w:tc>
        <w:tc>
          <w:tcPr>
            <w:tcW w:w="2680" w:type="dxa"/>
            <w:vAlign w:val="bottom"/>
            <w:tcBorders>
              <w:bottom w:val="single" w:sz="8" w:color="EEEEEE"/>
            </w:tcBorders>
            <w:shd w:val="clear" w:color="auto" w:fill="EEEEEE"/>
          </w:tcPr>
          <w:p>
            <w:pPr>
              <w:spacing w:after="0"/>
              <w:rPr>
                <w:sz w:val="21"/>
                <w:szCs w:val="21"/>
                <w:color w:val="auto"/>
              </w:rPr>
            </w:pPr>
          </w:p>
        </w:tc>
        <w:tc>
          <w:tcPr>
            <w:tcW w:w="180" w:type="dxa"/>
            <w:vAlign w:val="bottom"/>
            <w:tcBorders>
              <w:bottom w:val="single" w:sz="8" w:color="0000EE"/>
            </w:tcBorders>
            <w:gridSpan w:val="2"/>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w w:val="88"/>
              </w:rPr>
              <w:t>32</w:t>
            </w:r>
          </w:p>
        </w:tc>
        <w:tc>
          <w:tcPr>
            <w:tcW w:w="40" w:type="dxa"/>
            <w:vAlign w:val="bottom"/>
          </w:tcPr>
          <w:p>
            <w:pPr>
              <w:spacing w:after="0"/>
              <w:rPr>
                <w:sz w:val="21"/>
                <w:szCs w:val="21"/>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CERTAIN FEDERAL INCOME TAX CONSIDERATIONS</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48"/>
        </w:trPr>
        <w:tc>
          <w:tcPr>
            <w:tcW w:w="126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shd w:val="clear" w:color="auto" w:fill="EEEEEE"/>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2860" w:type="dxa"/>
            <w:vAlign w:val="bottom"/>
            <w:gridSpan w:val="3"/>
            <w:shd w:val="clear" w:color="auto" w:fill="EEEEEE"/>
          </w:tcPr>
          <w:p>
            <w:pPr>
              <w:jc w:val="right"/>
              <w:spacing w:after="0" w:line="202" w:lineRule="exact"/>
              <w:rPr>
                <w:sz w:val="20"/>
                <w:szCs w:val="20"/>
                <w:color w:val="auto"/>
              </w:rPr>
            </w:pPr>
            <w:r>
              <w:rPr>
                <w:rFonts w:ascii="Times New Roman" w:cs="Times New Roman" w:eastAsia="Times New Roman" w:hAnsi="Times New Roman"/>
                <w:sz w:val="18"/>
                <w:szCs w:val="18"/>
                <w:color w:val="0000EE"/>
              </w:rPr>
              <w:t>37</w:t>
            </w:r>
          </w:p>
        </w:tc>
        <w:tc>
          <w:tcPr>
            <w:tcW w:w="40" w:type="dxa"/>
            <w:vAlign w:val="bottom"/>
          </w:tcPr>
          <w:p>
            <w:pPr>
              <w:spacing w:after="0"/>
              <w:rPr>
                <w:sz w:val="17"/>
                <w:szCs w:val="17"/>
                <w:color w:val="auto"/>
              </w:rPr>
            </w:pPr>
          </w:p>
        </w:tc>
      </w:tr>
      <w:tr>
        <w:trPr>
          <w:trHeight w:val="48"/>
        </w:trPr>
        <w:tc>
          <w:tcPr>
            <w:tcW w:w="1260" w:type="dxa"/>
            <w:vAlign w:val="bottom"/>
            <w:tcBorders>
              <w:top w:val="single" w:sz="8" w:color="0000EE"/>
            </w:tcBorders>
            <w:shd w:val="clear" w:color="auto" w:fill="EEEEEE"/>
          </w:tcPr>
          <w:p>
            <w:pPr>
              <w:spacing w:after="0"/>
              <w:rPr>
                <w:sz w:val="4"/>
                <w:szCs w:val="4"/>
                <w:color w:val="auto"/>
              </w:rPr>
            </w:pPr>
          </w:p>
        </w:tc>
        <w:tc>
          <w:tcPr>
            <w:tcW w:w="200" w:type="dxa"/>
            <w:vAlign w:val="bottom"/>
            <w:tcBorders>
              <w:top w:val="single" w:sz="8" w:color="0000EE"/>
            </w:tcBorders>
            <w:shd w:val="clear" w:color="auto" w:fill="EEEEEE"/>
          </w:tcPr>
          <w:p>
            <w:pPr>
              <w:spacing w:after="0"/>
              <w:rPr>
                <w:sz w:val="4"/>
                <w:szCs w:val="4"/>
                <w:color w:val="auto"/>
              </w:rPr>
            </w:pPr>
          </w:p>
        </w:tc>
        <w:tc>
          <w:tcPr>
            <w:tcW w:w="120" w:type="dxa"/>
            <w:vAlign w:val="bottom"/>
            <w:tcBorders>
              <w:top w:val="single" w:sz="8" w:color="EEEEEE"/>
            </w:tcBorders>
            <w:shd w:val="clear" w:color="auto" w:fill="EEEEEE"/>
          </w:tcPr>
          <w:p>
            <w:pPr>
              <w:spacing w:after="0"/>
              <w:rPr>
                <w:sz w:val="4"/>
                <w:szCs w:val="4"/>
                <w:color w:val="auto"/>
              </w:rPr>
            </w:pPr>
          </w:p>
        </w:tc>
        <w:tc>
          <w:tcPr>
            <w:tcW w:w="8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6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40" w:type="dxa"/>
            <w:vAlign w:val="bottom"/>
            <w:tcBorders>
              <w:top w:val="single" w:sz="8" w:color="EEEEEE"/>
            </w:tcBorders>
            <w:shd w:val="clear" w:color="auto" w:fill="EEEEEE"/>
          </w:tcPr>
          <w:p>
            <w:pPr>
              <w:spacing w:after="0"/>
              <w:rPr>
                <w:sz w:val="4"/>
                <w:szCs w:val="4"/>
                <w:color w:val="auto"/>
              </w:rPr>
            </w:pPr>
          </w:p>
        </w:tc>
        <w:tc>
          <w:tcPr>
            <w:tcW w:w="34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20" w:type="dxa"/>
            <w:vAlign w:val="bottom"/>
            <w:tcBorders>
              <w:top w:val="single" w:sz="8" w:color="EEEEEE"/>
            </w:tcBorders>
            <w:shd w:val="clear" w:color="auto" w:fill="EEEEEE"/>
          </w:tcPr>
          <w:p>
            <w:pPr>
              <w:spacing w:after="0"/>
              <w:rPr>
                <w:sz w:val="4"/>
                <w:szCs w:val="4"/>
                <w:color w:val="auto"/>
              </w:rPr>
            </w:pPr>
          </w:p>
        </w:tc>
        <w:tc>
          <w:tcPr>
            <w:tcW w:w="260" w:type="dxa"/>
            <w:vAlign w:val="bottom"/>
            <w:tcBorders>
              <w:top w:val="single" w:sz="8" w:color="EEEEEE"/>
            </w:tcBorders>
            <w:shd w:val="clear" w:color="auto" w:fill="EEEEEE"/>
          </w:tcPr>
          <w:p>
            <w:pPr>
              <w:spacing w:after="0"/>
              <w:rPr>
                <w:sz w:val="4"/>
                <w:szCs w:val="4"/>
                <w:color w:val="auto"/>
              </w:rPr>
            </w:pPr>
          </w:p>
        </w:tc>
        <w:tc>
          <w:tcPr>
            <w:tcW w:w="780" w:type="dxa"/>
            <w:vAlign w:val="bottom"/>
            <w:tcBorders>
              <w:top w:val="single" w:sz="8" w:color="EEEEEE"/>
            </w:tcBorders>
            <w:shd w:val="clear" w:color="auto" w:fill="EEEEEE"/>
          </w:tcPr>
          <w:p>
            <w:pPr>
              <w:spacing w:after="0"/>
              <w:rPr>
                <w:sz w:val="4"/>
                <w:szCs w:val="4"/>
                <w:color w:val="auto"/>
              </w:rPr>
            </w:pPr>
          </w:p>
        </w:tc>
        <w:tc>
          <w:tcPr>
            <w:tcW w:w="140" w:type="dxa"/>
            <w:vAlign w:val="bottom"/>
            <w:tcBorders>
              <w:top w:val="single" w:sz="8" w:color="EEEEEE"/>
            </w:tcBorders>
            <w:shd w:val="clear" w:color="auto" w:fill="EEEEEE"/>
          </w:tcPr>
          <w:p>
            <w:pPr>
              <w:spacing w:after="0"/>
              <w:rPr>
                <w:sz w:val="4"/>
                <w:szCs w:val="4"/>
                <w:color w:val="auto"/>
              </w:rPr>
            </w:pPr>
          </w:p>
        </w:tc>
        <w:tc>
          <w:tcPr>
            <w:tcW w:w="280" w:type="dxa"/>
            <w:vAlign w:val="bottom"/>
            <w:tcBorders>
              <w:top w:val="single" w:sz="8" w:color="EEEEEE"/>
            </w:tcBorders>
            <w:shd w:val="clear" w:color="auto" w:fill="EEEEEE"/>
          </w:tcPr>
          <w:p>
            <w:pPr>
              <w:spacing w:after="0"/>
              <w:rPr>
                <w:sz w:val="4"/>
                <w:szCs w:val="4"/>
                <w:color w:val="auto"/>
              </w:rPr>
            </w:pPr>
          </w:p>
        </w:tc>
        <w:tc>
          <w:tcPr>
            <w:tcW w:w="20" w:type="dxa"/>
            <w:vAlign w:val="bottom"/>
            <w:tcBorders>
              <w:top w:val="single" w:sz="8" w:color="EEEEEE"/>
            </w:tcBorders>
            <w:shd w:val="clear" w:color="auto" w:fill="EEEEEE"/>
          </w:tcPr>
          <w:p>
            <w:pPr>
              <w:spacing w:after="0"/>
              <w:rPr>
                <w:sz w:val="4"/>
                <w:szCs w:val="4"/>
                <w:color w:val="auto"/>
              </w:rPr>
            </w:pPr>
          </w:p>
        </w:tc>
        <w:tc>
          <w:tcPr>
            <w:tcW w:w="1160" w:type="dxa"/>
            <w:vAlign w:val="bottom"/>
            <w:tcBorders>
              <w:top w:val="single" w:sz="8" w:color="EEEEEE"/>
            </w:tcBorders>
            <w:shd w:val="clear" w:color="auto" w:fill="EEEEEE"/>
          </w:tcPr>
          <w:p>
            <w:pPr>
              <w:spacing w:after="0"/>
              <w:rPr>
                <w:sz w:val="4"/>
                <w:szCs w:val="4"/>
                <w:color w:val="auto"/>
              </w:rPr>
            </w:pPr>
          </w:p>
        </w:tc>
        <w:tc>
          <w:tcPr>
            <w:tcW w:w="380" w:type="dxa"/>
            <w:vAlign w:val="bottom"/>
            <w:tcBorders>
              <w:top w:val="single" w:sz="8" w:color="EEEEEE"/>
            </w:tcBorders>
            <w:shd w:val="clear" w:color="auto" w:fill="EEEEEE"/>
          </w:tcPr>
          <w:p>
            <w:pPr>
              <w:spacing w:after="0"/>
              <w:rPr>
                <w:sz w:val="4"/>
                <w:szCs w:val="4"/>
                <w:color w:val="auto"/>
              </w:rPr>
            </w:pPr>
          </w:p>
        </w:tc>
        <w:tc>
          <w:tcPr>
            <w:tcW w:w="2480" w:type="dxa"/>
            <w:vAlign w:val="bottom"/>
            <w:tcBorders>
              <w:top w:val="single" w:sz="8" w:color="EEEEEE"/>
            </w:tcBorders>
            <w:shd w:val="clear" w:color="auto" w:fill="EEEEEE"/>
          </w:tcPr>
          <w:p>
            <w:pPr>
              <w:spacing w:after="0"/>
              <w:rPr>
                <w:sz w:val="4"/>
                <w:szCs w:val="4"/>
                <w:color w:val="auto"/>
              </w:rPr>
            </w:pPr>
          </w:p>
        </w:tc>
        <w:tc>
          <w:tcPr>
            <w:tcW w:w="2680" w:type="dxa"/>
            <w:vAlign w:val="bottom"/>
            <w:tcBorders>
              <w:top w:val="single" w:sz="8" w:color="EEEEEE"/>
            </w:tcBorders>
            <w:shd w:val="clear" w:color="auto" w:fill="EEEEEE"/>
          </w:tcPr>
          <w:p>
            <w:pPr>
              <w:spacing w:after="0"/>
              <w:rPr>
                <w:sz w:val="4"/>
                <w:szCs w:val="4"/>
                <w:color w:val="auto"/>
              </w:rPr>
            </w:pPr>
          </w:p>
        </w:tc>
        <w:tc>
          <w:tcPr>
            <w:tcW w:w="100" w:type="dxa"/>
            <w:vAlign w:val="bottom"/>
            <w:tcBorders>
              <w:top w:val="single" w:sz="8" w:color="0000EE"/>
            </w:tcBorders>
            <w:shd w:val="clear" w:color="auto" w:fill="EEEEEE"/>
          </w:tcPr>
          <w:p>
            <w:pPr>
              <w:spacing w:after="0"/>
              <w:rPr>
                <w:sz w:val="4"/>
                <w:szCs w:val="4"/>
                <w:color w:val="auto"/>
              </w:rPr>
            </w:pPr>
          </w:p>
        </w:tc>
        <w:tc>
          <w:tcPr>
            <w:tcW w:w="80" w:type="dxa"/>
            <w:vAlign w:val="bottom"/>
            <w:tcBorders>
              <w:top w:val="single" w:sz="8" w:color="0000EE"/>
            </w:tcBorders>
            <w:shd w:val="clear" w:color="auto" w:fill="EEEEEE"/>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83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900" w:type="dxa"/>
            <w:vAlign w:val="bottom"/>
            <w:gridSpan w:val="4"/>
          </w:tcPr>
          <w:p>
            <w:pPr>
              <w:jc w:val="right"/>
              <w:ind w:right="40"/>
              <w:spacing w:after="0" w:line="202" w:lineRule="exact"/>
              <w:rPr>
                <w:sz w:val="20"/>
                <w:szCs w:val="20"/>
                <w:color w:val="auto"/>
              </w:rPr>
            </w:pPr>
            <w:r>
              <w:rPr>
                <w:rFonts w:ascii="Times New Roman" w:cs="Times New Roman" w:eastAsia="Times New Roman" w:hAnsi="Times New Roman"/>
                <w:sz w:val="18"/>
                <w:szCs w:val="18"/>
                <w:color w:val="0000EE"/>
              </w:rPr>
              <w:t>37</w:t>
            </w:r>
          </w:p>
        </w:tc>
      </w:tr>
      <w:tr>
        <w:trPr>
          <w:trHeight w:val="395"/>
        </w:trPr>
        <w:tc>
          <w:tcPr>
            <w:tcW w:w="12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74"/>
        </w:trPr>
        <w:tc>
          <w:tcPr>
            <w:tcW w:w="1260" w:type="dxa"/>
            <w:vAlign w:val="bottom"/>
            <w:shd w:val="clear" w:color="auto" w:fill="000000"/>
          </w:tcPr>
          <w:p>
            <w:pPr>
              <w:spacing w:after="0"/>
              <w:rPr>
                <w:sz w:val="6"/>
                <w:szCs w:val="6"/>
                <w:color w:val="auto"/>
              </w:rPr>
            </w:pPr>
          </w:p>
        </w:tc>
        <w:tc>
          <w:tcPr>
            <w:tcW w:w="200" w:type="dxa"/>
            <w:vAlign w:val="bottom"/>
            <w:shd w:val="clear" w:color="auto" w:fill="000000"/>
          </w:tcPr>
          <w:p>
            <w:pPr>
              <w:spacing w:after="0"/>
              <w:rPr>
                <w:sz w:val="6"/>
                <w:szCs w:val="6"/>
                <w:color w:val="auto"/>
              </w:rPr>
            </w:pPr>
          </w:p>
        </w:tc>
        <w:tc>
          <w:tcPr>
            <w:tcW w:w="12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34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20" w:type="dxa"/>
            <w:vAlign w:val="bottom"/>
            <w:shd w:val="clear" w:color="auto" w:fill="000000"/>
          </w:tcPr>
          <w:p>
            <w:pPr>
              <w:spacing w:after="0"/>
              <w:rPr>
                <w:sz w:val="6"/>
                <w:szCs w:val="6"/>
                <w:color w:val="auto"/>
              </w:rPr>
            </w:pPr>
          </w:p>
        </w:tc>
        <w:tc>
          <w:tcPr>
            <w:tcW w:w="260" w:type="dxa"/>
            <w:vAlign w:val="bottom"/>
            <w:shd w:val="clear" w:color="auto" w:fill="000000"/>
          </w:tcPr>
          <w:p>
            <w:pPr>
              <w:spacing w:after="0"/>
              <w:rPr>
                <w:sz w:val="6"/>
                <w:szCs w:val="6"/>
                <w:color w:val="auto"/>
              </w:rPr>
            </w:pPr>
          </w:p>
        </w:tc>
        <w:tc>
          <w:tcPr>
            <w:tcW w:w="780" w:type="dxa"/>
            <w:vAlign w:val="bottom"/>
            <w:shd w:val="clear" w:color="auto" w:fill="000000"/>
          </w:tcPr>
          <w:p>
            <w:pPr>
              <w:spacing w:after="0"/>
              <w:rPr>
                <w:sz w:val="6"/>
                <w:szCs w:val="6"/>
                <w:color w:val="auto"/>
              </w:rPr>
            </w:pPr>
          </w:p>
        </w:tc>
        <w:tc>
          <w:tcPr>
            <w:tcW w:w="140" w:type="dxa"/>
            <w:vAlign w:val="bottom"/>
            <w:shd w:val="clear" w:color="auto" w:fill="000000"/>
          </w:tcPr>
          <w:p>
            <w:pPr>
              <w:spacing w:after="0"/>
              <w:rPr>
                <w:sz w:val="6"/>
                <w:szCs w:val="6"/>
                <w:color w:val="auto"/>
              </w:rPr>
            </w:pPr>
          </w:p>
        </w:tc>
        <w:tc>
          <w:tcPr>
            <w:tcW w:w="280" w:type="dxa"/>
            <w:vAlign w:val="bottom"/>
            <w:shd w:val="clear" w:color="auto" w:fill="000000"/>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1160" w:type="dxa"/>
            <w:vAlign w:val="bottom"/>
            <w:shd w:val="clear" w:color="auto" w:fill="000000"/>
          </w:tcPr>
          <w:p>
            <w:pPr>
              <w:spacing w:after="0"/>
              <w:rPr>
                <w:sz w:val="6"/>
                <w:szCs w:val="6"/>
                <w:color w:val="auto"/>
              </w:rPr>
            </w:pPr>
          </w:p>
        </w:tc>
        <w:tc>
          <w:tcPr>
            <w:tcW w:w="380" w:type="dxa"/>
            <w:vAlign w:val="bottom"/>
            <w:shd w:val="clear" w:color="auto" w:fill="000000"/>
          </w:tcPr>
          <w:p>
            <w:pPr>
              <w:spacing w:after="0"/>
              <w:rPr>
                <w:sz w:val="6"/>
                <w:szCs w:val="6"/>
                <w:color w:val="auto"/>
              </w:rPr>
            </w:pPr>
          </w:p>
        </w:tc>
        <w:tc>
          <w:tcPr>
            <w:tcW w:w="2480" w:type="dxa"/>
            <w:vAlign w:val="bottom"/>
            <w:shd w:val="clear" w:color="auto" w:fill="000000"/>
          </w:tcPr>
          <w:p>
            <w:pPr>
              <w:spacing w:after="0"/>
              <w:rPr>
                <w:sz w:val="6"/>
                <w:szCs w:val="6"/>
                <w:color w:val="auto"/>
              </w:rPr>
            </w:pPr>
          </w:p>
        </w:tc>
        <w:tc>
          <w:tcPr>
            <w:tcW w:w="2680" w:type="dxa"/>
            <w:vAlign w:val="bottom"/>
            <w:shd w:val="clear" w:color="auto" w:fill="000000"/>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80" w:type="dxa"/>
            <w:vAlign w:val="bottom"/>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r>
    </w:tbl>
    <w:p>
      <w:pPr>
        <w:sectPr>
          <w:pgSz w:w="11900" w:h="16838" w:orient="portrait"/>
          <w:cols w:equalWidth="0" w:num="1">
            <w:col w:w="11280"/>
          </w:cols>
          <w:pgMar w:left="320" w:top="108" w:right="2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contained on the Corporation's website shall not be 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Times New Roman" w:cs="Times New Roman" w:eastAsia="Times New Roman" w:hAnsi="Times New Roman"/>
          <w:sz w:val="22"/>
          <w:szCs w:val="22"/>
          <w:color w:val="auto"/>
        </w:rPr>
        <w:t>The Corporation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 xml:space="preserve">The information contained on </w:t>
      </w:r>
      <w:r>
        <w:rPr>
          <w:rFonts w:ascii="Times New Roman" w:cs="Times New Roman" w:eastAsia="Times New Roman" w:hAnsi="Times New Roman"/>
          <w:sz w:val="22"/>
          <w:szCs w:val="22"/>
          <w:u w:val="single" w:color="auto"/>
          <w:color w:val="auto"/>
        </w:rPr>
        <w:t>www.cybin.com</w:t>
      </w:r>
      <w:r>
        <w:rPr>
          <w:rFonts w:ascii="Times New Roman" w:cs="Times New Roman" w:eastAsia="Times New Roman" w:hAnsi="Times New Roman"/>
          <w:sz w:val="22"/>
          <w:szCs w:val="22"/>
          <w:color w:val="auto"/>
        </w:rPr>
        <w:t xml:space="preserve"> is not intended to be included in or incorporated by reference herein, and prospective purchasers should not rely on such information when deciding whether or not to invest in any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this Prospectus, unless stated otherwise or the context requires otherwise, all dollar amounts are expressed in Canadian dollars.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currently has an effective base shelf prospectus dated August 17, 2023, as amended on December 22, 2023, April 8, 2024 and January 6, 2025 (the “</w:t>
      </w:r>
      <w:r>
        <w:rPr>
          <w:rFonts w:ascii="Times New Roman" w:cs="Times New Roman" w:eastAsia="Times New Roman" w:hAnsi="Times New Roman"/>
          <w:sz w:val="22"/>
          <w:szCs w:val="22"/>
          <w:b w:val="1"/>
          <w:bCs w:val="1"/>
          <w:color w:val="auto"/>
        </w:rPr>
        <w:t>Original Base Prospectus</w:t>
      </w:r>
      <w:r>
        <w:rPr>
          <w:rFonts w:ascii="Times New Roman" w:cs="Times New Roman" w:eastAsia="Times New Roman" w:hAnsi="Times New Roman"/>
          <w:sz w:val="22"/>
          <w:szCs w:val="22"/>
          <w:color w:val="auto"/>
        </w:rPr>
        <w:t>”). The Corporation does not currently have any plans to initiate additional drawdowns under the Original Base Prospectus and intends to withdraw the Original Base Prospectus when this Prospectus becomes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INFORMATION</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Certain statements contained in this Prospectus, and in certain documents incorporated by reference herein and therein,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jc w:val="both"/>
        <w:spacing w:after="0" w:line="243" w:lineRule="auto"/>
        <w:rPr>
          <w:sz w:val="20"/>
          <w:szCs w:val="20"/>
          <w:color w:val="auto"/>
        </w:rPr>
      </w:pPr>
      <w:r>
        <w:rPr>
          <w:rFonts w:ascii="Times New Roman" w:cs="Times New Roman" w:eastAsia="Times New Roman" w:hAnsi="Times New Roman"/>
          <w:sz w:val="21"/>
          <w:szCs w:val="21"/>
          <w:color w:val="auto"/>
        </w:rPr>
        <w:t>Some of the risks which could affect future results and could cause results to differ materially from those expressed in the forward-looking statements contained herein and therein include: limited operating history; achieving publicly announced milestones; speculative nature of investment risk; early stage of the industry and product development; regulatory risks and uncertainties; risks of operating in European countries; "foreign private issuer" status under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market access and acceptance;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and material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exchange rate fluctuations;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pandemics;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risks relating to research and development objectives and milestones; and the Corporation's expectation that it will be a "passive foreign investment company".</w:t>
      </w:r>
    </w:p>
    <w:p>
      <w:pPr>
        <w:spacing w:after="0" w:line="3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53" w:lineRule="exact"/>
        <w:rPr>
          <w:sz w:val="20"/>
          <w:szCs w:val="20"/>
          <w:color w:val="auto"/>
        </w:rPr>
      </w:pPr>
    </w:p>
    <w:p>
      <w:pPr>
        <w:ind w:left="660" w:hanging="328"/>
        <w:spacing w:after="0" w:line="241" w:lineRule="auto"/>
        <w:tabs>
          <w:tab w:leader="none" w:pos="6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uncertainty as to the Corporation's ability to raise additional funding to support operations;</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access additional funding;</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fluctuation of foreign exchange rates;</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pandemics;</w:t>
      </w:r>
    </w:p>
    <w:p>
      <w:pPr>
        <w:ind w:left="660" w:right="20" w:hanging="328"/>
        <w:spacing w:after="0" w:line="230" w:lineRule="auto"/>
        <w:tabs>
          <w:tab w:leader="none" w:pos="6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associated with the development of the Corporation's product candidates which are at early stages of development;</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upon industry publications as the Corporation's primary sources for third-party industry data and forecasts;</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parties to plan, conduct and monitor the Corporation's preclinical studies and clinical trials;</w:t>
      </w:r>
    </w:p>
    <w:p>
      <w:pPr>
        <w:ind w:left="680" w:hanging="348"/>
        <w:spacing w:after="0" w:line="230" w:lineRule="auto"/>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on third party contract manufacturers to deliver quality clinical and preclinical materials;</w:t>
      </w:r>
    </w:p>
    <w:p>
      <w:pPr>
        <w:ind w:left="660" w:hanging="328"/>
        <w:spacing w:after="0" w:line="230" w:lineRule="auto"/>
        <w:tabs>
          <w:tab w:leader="none" w:pos="6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product candidates may fail to demonstrate safety and efficacy to the satisfaction of regulatory authorities or may not otherwise produce positive results;</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risks related to filing investigational new drug applications to commence clinical trials and to continue clinical trials if approved;</w:t>
      </w:r>
    </w:p>
    <w:p>
      <w:pPr>
        <w:spacing w:after="0" w:line="1" w:lineRule="exact"/>
        <w:rPr>
          <w:rFonts w:ascii="Times New Roman" w:cs="Times New Roman" w:eastAsia="Times New Roman" w:hAnsi="Times New Roman"/>
          <w:sz w:val="22"/>
          <w:szCs w:val="22"/>
          <w:color w:val="auto"/>
        </w:rPr>
      </w:pPr>
    </w:p>
    <w:p>
      <w:pPr>
        <w:ind w:left="680" w:hanging="348"/>
        <w:spacing w:after="0"/>
        <w:tabs>
          <w:tab w:leader="none" w:pos="6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delays and inability to complete clinical trials due to difficulties enrolling patients;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ind w:left="680" w:hanging="348"/>
        <w:spacing w:after="0"/>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competition from other biotechnology and pharmaceutical companies;</w:t>
      </w:r>
    </w:p>
    <w:p>
      <w:pPr>
        <w:spacing w:after="0" w:line="14" w:lineRule="exact"/>
        <w:rPr>
          <w:rFonts w:ascii="Times New Roman" w:cs="Times New Roman" w:eastAsia="Times New Roman" w:hAnsi="Times New Roman"/>
          <w:sz w:val="22"/>
          <w:szCs w:val="22"/>
          <w:color w:val="auto"/>
        </w:rPr>
      </w:pPr>
    </w:p>
    <w:p>
      <w:pPr>
        <w:ind w:left="660" w:hanging="328"/>
        <w:spacing w:after="0" w:line="230" w:lineRule="auto"/>
        <w:tabs>
          <w:tab w:leader="none" w:pos="6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reliance on the capabilities and experience of the Corporation's key executives and scientists and the resulting loss of any of these individuals;</w:t>
      </w:r>
    </w:p>
    <w:p>
      <w:pPr>
        <w:spacing w:after="0" w:line="1" w:lineRule="exact"/>
        <w:rPr>
          <w:rFonts w:ascii="Times New Roman" w:cs="Times New Roman" w:eastAsia="Times New Roman" w:hAnsi="Times New Roman"/>
          <w:sz w:val="22"/>
          <w:szCs w:val="22"/>
          <w:color w:val="auto"/>
        </w:rPr>
      </w:pP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fully realize the benefits of acquisitions;</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ability to adequately protect the Corporation's intellectual property and trade secrets;</w:t>
      </w:r>
    </w:p>
    <w:p>
      <w:pPr>
        <w:ind w:left="680" w:hanging="348"/>
        <w:spacing w:after="0" w:line="230" w:lineRule="auto"/>
        <w:tabs>
          <w:tab w:leader="none" w:pos="6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patent-related or other litigation; and</w:t>
      </w:r>
    </w:p>
    <w:p>
      <w:pPr>
        <w:ind w:left="660" w:hanging="328"/>
        <w:spacing w:after="0" w:line="237" w:lineRule="auto"/>
        <w:tabs>
          <w:tab w:leader="none" w:pos="68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unforeseen changes to the laws or regulations in the United States, Canada, the United Kingdom, the Netherlands, Ireland and other jurisdictions in which the Corporation operates.</w:t>
      </w:r>
    </w:p>
    <w:p>
      <w:pPr>
        <w:spacing w:after="0" w:line="13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In addition to the factors set out above and those identified under the heading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Many of these factors are beyond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 behalf, are expressly qualified in their entirety by the cautionary statements. Except as required by law, the Corporation undertakes no obligation to update any forward-looking statement</w:t>
      </w:r>
      <w:r>
        <w:rPr>
          <w:rFonts w:ascii="Times New Roman" w:cs="Times New Roman" w:eastAsia="Times New Roman" w:hAnsi="Times New Roman"/>
          <w:sz w:val="22"/>
          <w:szCs w:val="22"/>
          <w:color w:val="auto"/>
        </w:rPr>
        <w:t>.</w:t>
      </w:r>
    </w:p>
    <w:p>
      <w:pPr>
        <w:spacing w:after="0" w:line="13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The forward-looking statements contained in this Prospectus and the documents incorporated by reference herein are expressly qualified in their entirety by the foregoing cautionary statement. </w:t>
      </w:r>
      <w:r>
        <w:rPr>
          <w:rFonts w:ascii="Times New Roman" w:cs="Times New Roman" w:eastAsia="Times New Roman" w:hAnsi="Times New Roman"/>
          <w:sz w:val="22"/>
          <w:szCs w:val="22"/>
          <w:color w:val="auto"/>
        </w:rPr>
        <w:t>Investors should read this entire Prospectus,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Annual Information Form, the documents incorporated by reference herein, and each applicable Prospectus Supplement, and consult their own professional advisers to ascertain and assess the income tax and legal risks and other aspects associated with holding Securities.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TRADEMARKS AND SERVICE MARKS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MARKETING MATERIALS</w:t>
      </w:r>
    </w:p>
    <w:p>
      <w:pPr>
        <w:spacing w:after="0" w:line="16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Any template version of marketing materials (as such terms are defined in National Instrument 41-101 – </w:t>
      </w:r>
      <w:r>
        <w:rPr>
          <w:rFonts w:ascii="Times New Roman" w:cs="Times New Roman" w:eastAsia="Times New Roman" w:hAnsi="Times New Roman"/>
          <w:sz w:val="22"/>
          <w:szCs w:val="22"/>
          <w:i w:val="1"/>
          <w:iCs w:val="1"/>
          <w:color w:val="auto"/>
        </w:rPr>
        <w:t>General 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Requirements</w:t>
      </w:r>
      <w:r>
        <w:rPr>
          <w:rFonts w:ascii="Times New Roman" w:cs="Times New Roman" w:eastAsia="Times New Roman" w:hAnsi="Times New Roman"/>
          <w:sz w:val="22"/>
          <w:szCs w:val="22"/>
          <w:color w:val="auto"/>
        </w:rPr>
        <w:t>) that are utilized in connection with the distribution of Securities will be filed under the Corporation’s profile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www.sedarplus.ca</w:t>
      </w:r>
      <w:r>
        <w:rPr>
          <w:rFonts w:ascii="Times New Roman" w:cs="Times New Roman" w:eastAsia="Times New Roman" w:hAnsi="Times New Roman"/>
          <w:sz w:val="22"/>
          <w:szCs w:val="22"/>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MARKET AND INDUSTRY DATA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Forward-Looking Information"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"Risk Factors" </w:t>
      </w:r>
      <w:r>
        <w:rPr>
          <w:rFonts w:ascii="Times New Roman" w:cs="Times New Roman" w:eastAsia="Times New Roman" w:hAnsi="Times New Roman"/>
          <w:sz w:val="22"/>
          <w:szCs w:val="22"/>
          <w:color w:val="auto"/>
        </w:rPr>
        <w:t>in this Prospectus.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the avoidance of doubt, nothing stated in this paragraph operates to relieve the Corporation or the underwriters/agents from liability for any misrepresentation in this Prospectus or under applicable Canadian securities laws.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INCORPORATED BY REFERENCE</w:t>
      </w:r>
    </w:p>
    <w:p>
      <w:pPr>
        <w:spacing w:after="0" w:line="16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Information has been incorporated by reference in this Prospectus from documents filed with securities commissions or similar authorities in Canada. </w:t>
      </w:r>
      <w:r>
        <w:rPr>
          <w:rFonts w:ascii="Times New Roman" w:cs="Times New Roman" w:eastAsia="Times New Roman" w:hAnsi="Times New Roman"/>
          <w:sz w:val="22"/>
          <w:szCs w:val="22"/>
          <w:color w:val="auto"/>
        </w:rPr>
        <w:t>Copies of the documents incorporated herein by reference may be obtained on request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charge from the Secretary of the Corporation at 100 King Street West, Suite 5600, Toronto, Ontario M5X 1C9, telephone (908) 764-8385, and are also available electronically on SEDAR+.</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following documents of the Corporation filed with the securities commissions or similar authorities in Canada are incorporated by reference in this Prospectus:</w:t>
      </w:r>
    </w:p>
    <w:p>
      <w:pPr>
        <w:spacing w:after="0" w:line="127" w:lineRule="exact"/>
        <w:rPr>
          <w:sz w:val="20"/>
          <w:szCs w:val="20"/>
          <w:color w:val="auto"/>
        </w:rPr>
      </w:pPr>
    </w:p>
    <w:p>
      <w:pPr>
        <w:ind w:left="520" w:right="20" w:hanging="256"/>
        <w:spacing w:after="0" w:line="262"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information form of the Corporation dated June 30, 2025, for the year ended March 31, 2025 (the "</w:t>
      </w:r>
      <w:r>
        <w:rPr>
          <w:rFonts w:ascii="Times New Roman" w:cs="Times New Roman" w:eastAsia="Times New Roman" w:hAnsi="Times New Roman"/>
          <w:sz w:val="22"/>
          <w:szCs w:val="22"/>
          <w:b w:val="1"/>
          <w:bCs w:val="1"/>
          <w:color w:val="auto"/>
        </w:rPr>
        <w:t>Annual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 Form</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consolidated financial statements of the Corporation and the notes thereto as at and for the fiscal years ended March 31, 2025 and 2024, together with the auditor’s report thereon;</w:t>
      </w:r>
    </w:p>
    <w:p>
      <w:pPr>
        <w:spacing w:after="0" w:line="117"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year ended March 31, 2025;</w:t>
      </w:r>
    </w:p>
    <w:p>
      <w:pPr>
        <w:spacing w:after="0" w:line="179"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unaudited interim condensed consolidated financial statements of the Corporation and the notes thereto for the three months ended June 30, 2025 (the “</w:t>
      </w:r>
      <w:r>
        <w:rPr>
          <w:rFonts w:ascii="Times New Roman" w:cs="Times New Roman" w:eastAsia="Times New Roman" w:hAnsi="Times New Roman"/>
          <w:sz w:val="22"/>
          <w:szCs w:val="22"/>
          <w:b w:val="1"/>
          <w:bCs w:val="1"/>
          <w:color w:val="auto"/>
        </w:rPr>
        <w:t>Interim Financial Statements</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ind w:left="520" w:hanging="256"/>
        <w:spacing w:after="0" w:line="262"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management’s discussion and analysis of the Corporation for the three months ended June 30, 2025 (the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MD&amp;A</w:t>
      </w:r>
      <w:r>
        <w:rPr>
          <w:rFonts w:ascii="Times New Roman" w:cs="Times New Roman" w:eastAsia="Times New Roman" w:hAnsi="Times New Roman"/>
          <w:sz w:val="22"/>
          <w:szCs w:val="22"/>
          <w:color w:val="auto"/>
        </w:rPr>
        <w:t>”);</w:t>
      </w:r>
    </w:p>
    <w:p>
      <w:pPr>
        <w:spacing w:after="0" w:line="113" w:lineRule="exact"/>
        <w:rPr>
          <w:rFonts w:ascii="Times New Roman" w:cs="Times New Roman" w:eastAsia="Times New Roman" w:hAnsi="Times New Roman"/>
          <w:sz w:val="22"/>
          <w:szCs w:val="22"/>
          <w:color w:val="auto"/>
        </w:rPr>
      </w:pPr>
    </w:p>
    <w:p>
      <w:pPr>
        <w:jc w:val="both"/>
        <w:ind w:left="520" w:hanging="256"/>
        <w:spacing w:after="0" w:line="239"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July 9, 2025, in connection with a private placement completed by the Corporation on June 30, 2025, of US$50,000,000 aggregate principal amount of unsecured convertible debentures, as amended and restated on August 12, 2025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issued to a single investor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a securities purchase agreement, dated June 30, 2025, as amended on August 12, 2025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w:t>
      </w:r>
    </w:p>
    <w:p>
      <w:pPr>
        <w:spacing w:after="0" w:line="153" w:lineRule="exact"/>
        <w:rPr>
          <w:rFonts w:ascii="Times New Roman" w:cs="Times New Roman" w:eastAsia="Times New Roman" w:hAnsi="Times New Roman"/>
          <w:sz w:val="22"/>
          <w:szCs w:val="22"/>
          <w:color w:val="auto"/>
        </w:rPr>
      </w:pPr>
    </w:p>
    <w:p>
      <w:pPr>
        <w:ind w:left="540" w:hanging="276"/>
        <w:spacing w:after="0"/>
        <w:tabs>
          <w:tab w:leader="none" w:pos="5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report dated September 3, 2025, relating to senior leadership changes; and</w:t>
      </w:r>
    </w:p>
    <w:p>
      <w:pPr>
        <w:spacing w:after="0" w:line="165" w:lineRule="exact"/>
        <w:rPr>
          <w:rFonts w:ascii="Times New Roman" w:cs="Times New Roman" w:eastAsia="Times New Roman" w:hAnsi="Times New Roman"/>
          <w:sz w:val="22"/>
          <w:szCs w:val="22"/>
          <w:color w:val="auto"/>
        </w:rPr>
      </w:pPr>
    </w:p>
    <w:p>
      <w:pPr>
        <w:ind w:left="520" w:hanging="256"/>
        <w:spacing w:after="0" w:line="258" w:lineRule="auto"/>
        <w:tabs>
          <w:tab w:leader="none" w:pos="54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information circular of the Corporation dated July 14, 2025 relating to the annual and special meeting of shareholders of the Corporation to be held on August 18, 2025.</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jc w:val="both"/>
        <w:spacing w:after="0" w:line="245" w:lineRule="auto"/>
        <w:rPr>
          <w:sz w:val="20"/>
          <w:szCs w:val="20"/>
          <w:color w:val="auto"/>
        </w:rPr>
      </w:pPr>
      <w:r>
        <w:rPr>
          <w:rFonts w:ascii="Times New Roman" w:cs="Times New Roman" w:eastAsia="Times New Roman" w:hAnsi="Times New Roman"/>
          <w:sz w:val="22"/>
          <w:szCs w:val="22"/>
          <w:color w:val="auto"/>
        </w:rPr>
        <w:t xml:space="preserve">Any document of the type referred to in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Copies of the documents incorporated by reference herein will be available electronically on the Corporation’s SEDAR+ profile, which can be accessed at </w:t>
      </w:r>
      <w:r>
        <w:rPr>
          <w:rFonts w:ascii="Times New Roman" w:cs="Times New Roman" w:eastAsia="Times New Roman" w:hAnsi="Times New Roman"/>
          <w:sz w:val="21"/>
          <w:szCs w:val="21"/>
          <w:u w:val="single" w:color="auto"/>
          <w:color w:val="auto"/>
        </w:rPr>
        <w:t>www.sedarplus.ca</w:t>
      </w:r>
      <w:r>
        <w:rPr>
          <w:rFonts w:ascii="Times New Roman" w:cs="Times New Roman" w:eastAsia="Times New Roman" w:hAnsi="Times New Roman"/>
          <w:sz w:val="21"/>
          <w:szCs w:val="21"/>
          <w:color w:val="auto"/>
        </w:rPr>
        <w:t xml:space="preserve">, and from the Corporation’s EDGAR profile at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21"/>
          <w:szCs w:val="21"/>
          <w:color w:val="auto"/>
        </w:rPr>
        <w:t>. The Corporation’s filings through SEDAR+ and EDGAR are not incorporated by reference in the Prospectus except as specifically set out herein.</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5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DOCUMENTS FILED AS PART OF THE REGISTRATION STATEMENT</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THE CORPORATION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Business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 is a clinical-stage breakthrough neuropsychiatry company on a mission to create safe and effective next-generation therapeutics to address the unmet need for new and innovative treatment options for people who suffer from mental health conditions. The Corporation's goal of revolutionizing mental healthcare is supported by a network of world-class partners and internationally recognized scientists aimed at progressing proprietary drug discovery platforms, innovative drug delivery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systems, and novel formulation approaches and treatment regimens.</w:t>
      </w:r>
      <w:r>
        <w:rPr>
          <w:rFonts w:ascii="Times New Roman" w:cs="Times New Roman" w:eastAsia="Times New Roman" w:hAnsi="Times New Roman"/>
          <w:sz w:val="35"/>
          <w:szCs w:val="35"/>
          <w:color w:val="auto"/>
          <w:vertAlign w:val="superscript"/>
        </w:rPr>
        <w:t>3</w:t>
      </w:r>
    </w:p>
    <w:p>
      <w:pPr>
        <w:spacing w:after="0" w:line="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Times New Roman" w:cs="Times New Roman" w:eastAsia="Times New Roman" w:hAnsi="Times New Roman"/>
          <w:sz w:val="21"/>
          <w:szCs w:val="21"/>
          <w:b w:val="1"/>
          <w:bCs w:val="1"/>
          <w:color w:val="auto"/>
        </w:rPr>
        <w:t>IP</w:t>
      </w:r>
      <w:r>
        <w:rPr>
          <w:rFonts w:ascii="Times New Roman" w:cs="Times New Roman" w:eastAsia="Times New Roman" w:hAnsi="Times New Roman"/>
          <w:sz w:val="21"/>
          <w:szCs w:val="21"/>
          <w:color w:val="auto"/>
        </w:rPr>
        <w:t>") focused on developing the Corporation's platform technology, the progression of clinical development programs including CYB003, a deuterated psilocin molecule, CYB004, a deuterated version of DMT, phenethylamine derivatives, CYB005, phenethylamine derivatives, and an expansive list of preclinical molecules to facilitate future drug development opportunities.</w:t>
      </w:r>
    </w:p>
    <w:p>
      <w:pPr>
        <w:spacing w:after="0" w:line="1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On October 23, 2023, the Corporation completed a statutory plan of arrangement under the provisions of the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Corporations Act </w:t>
      </w:r>
      <w:r>
        <w:rPr>
          <w:rFonts w:ascii="Times New Roman" w:cs="Times New Roman" w:eastAsia="Times New Roman" w:hAnsi="Times New Roman"/>
          <w:sz w:val="22"/>
          <w:szCs w:val="22"/>
          <w:color w:val="auto"/>
        </w:rPr>
        <w:t>(British Columbia) (the "</w:t>
      </w:r>
      <w:r>
        <w:rPr>
          <w:rFonts w:ascii="Times New Roman" w:cs="Times New Roman" w:eastAsia="Times New Roman" w:hAnsi="Times New Roman"/>
          <w:sz w:val="22"/>
          <w:szCs w:val="22"/>
          <w:b w:val="1"/>
          <w:bCs w:val="1"/>
          <w:color w:val="auto"/>
        </w:rPr>
        <w:t>Arrangement</w:t>
      </w:r>
      <w:r>
        <w:rPr>
          <w:rFonts w:ascii="Times New Roman" w:cs="Times New Roman" w:eastAsia="Times New Roman" w:hAnsi="Times New Roman"/>
          <w:sz w:val="22"/>
          <w:szCs w:val="22"/>
          <w:color w:val="auto"/>
        </w:rPr>
        <w:t>"), pursuant to which Small Pharma Inc. ("</w:t>
      </w:r>
      <w:r>
        <w:rPr>
          <w:rFonts w:ascii="Times New Roman" w:cs="Times New Roman" w:eastAsia="Times New Roman" w:hAnsi="Times New Roman"/>
          <w:sz w:val="22"/>
          <w:szCs w:val="22"/>
          <w:b w:val="1"/>
          <w:bCs w:val="1"/>
          <w:color w:val="auto"/>
        </w:rPr>
        <w:t>Small Pharma</w:t>
      </w:r>
      <w:r>
        <w:rPr>
          <w:rFonts w:ascii="Times New Roman" w:cs="Times New Roman" w:eastAsia="Times New Roman" w:hAnsi="Times New Roman"/>
          <w:sz w:val="22"/>
          <w:szCs w:val="22"/>
          <w:color w:val="auto"/>
        </w:rPr>
        <w:t>") became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wholly-owned subsidiary of the Corporation. Small Pharma was a biotechnology company focused on developing short-duration therapies for the treatment of mental health conditions. Small Pharma initiated programs across its "First-generation" and "Second-generation" psychedelics portfolio. First-generation psychedelics refer to the well-known classic psychedelics which includes psilocybin, DMT, and Lysergic acid diethylamide. Second-generation psychedelics refer to those that have been chemically modified with the aim to optimize their therapeutic benefit. On April 1, 2024, pursuant to the provisions of the </w:t>
      </w:r>
      <w:r>
        <w:rPr>
          <w:rFonts w:ascii="Times New Roman" w:cs="Times New Roman" w:eastAsia="Times New Roman" w:hAnsi="Times New Roman"/>
          <w:sz w:val="22"/>
          <w:szCs w:val="22"/>
          <w:i w:val="1"/>
          <w:iCs w:val="1"/>
          <w:color w:val="auto"/>
        </w:rPr>
        <w:t xml:space="preserve">Business Corporations Act </w:t>
      </w:r>
      <w:r>
        <w:rPr>
          <w:rFonts w:ascii="Times New Roman" w:cs="Times New Roman" w:eastAsia="Times New Roman" w:hAnsi="Times New Roman"/>
          <w:sz w:val="22"/>
          <w:szCs w:val="22"/>
          <w:color w:val="auto"/>
        </w:rPr>
        <w:t>(Ontario), Small Pharma completed a horizontal amalgamation with Cybin Corp., with Cybin Corp.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being the resulting entity. As a result of this amalgamation, Cybin UK Ltd is now a wholly-owned subsidiary of Cybin Corp.</w:t>
      </w:r>
    </w:p>
    <w:p>
      <w:pPr>
        <w:spacing w:after="0" w:line="1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a common goal to create novel, optimized psychedelic-based therapeutics, the combination of the Corporation and Small Pharma creates a leading international, clinical-stage company with potential to transform the treatment paradigm for mental health conditions. The companies' combined development portfolios are highly complementary and provide multiple opportunities to create operational and cost synergies.</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 result of the acquisition of Small Pharma by way of the Arrangement, Cybin currently has over 90 granted patents and over 230 pending applications.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Advancement of Mental Healthcare</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is conducting research and development of next-generation neuropsychiatry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Across its extensive research and development programs, the Corporation is evaluating a wide array of novel, synthetic psychedelic active pharmaceutical ingredients intended to be delivered through innovative drug delivery systems including via inhalation, via intravenous ("</w:t>
      </w:r>
      <w:r>
        <w:rPr>
          <w:rFonts w:ascii="Times New Roman" w:cs="Times New Roman" w:eastAsia="Times New Roman" w:hAnsi="Times New Roman"/>
          <w:sz w:val="22"/>
          <w:szCs w:val="22"/>
          <w:b w:val="1"/>
          <w:bCs w:val="1"/>
          <w:color w:val="auto"/>
        </w:rPr>
        <w:t>IV</w:t>
      </w:r>
      <w:r>
        <w:rPr>
          <w:rFonts w:ascii="Times New Roman" w:cs="Times New Roman" w:eastAsia="Times New Roman" w:hAnsi="Times New Roman"/>
          <w:sz w:val="22"/>
          <w:szCs w:val="22"/>
          <w:color w:val="auto"/>
        </w:rPr>
        <w:t>"), and intramuscular, or subcutaneous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administration.</w:t>
      </w:r>
      <w:r>
        <w:rPr>
          <w:rFonts w:ascii="Times New Roman" w:cs="Times New Roman" w:eastAsia="Times New Roman" w:hAnsi="Times New Roman"/>
          <w:sz w:val="35"/>
          <w:szCs w:val="3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3571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6" w:lineRule="exact"/>
        <w:rPr>
          <w:sz w:val="20"/>
          <w:szCs w:val="20"/>
          <w:color w:val="auto"/>
        </w:rPr>
      </w:pPr>
    </w:p>
    <w:p>
      <w:pPr>
        <w:jc w:val="both"/>
        <w:ind w:firstLine="8"/>
        <w:spacing w:after="0" w:line="220" w:lineRule="auto"/>
        <w:tabs>
          <w:tab w:leader="none" w:pos="164"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This is a forward-looking statement that involves material assumptions by the Corporation. Drug development involves long lead times, is very expensive and involves many variables of uncertainty.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2" w:lineRule="exact"/>
        <w:rPr>
          <w:rFonts w:ascii="Times New Roman" w:cs="Times New Roman" w:eastAsia="Times New Roman" w:hAnsi="Times New Roman"/>
          <w:sz w:val="36"/>
          <w:szCs w:val="36"/>
          <w:color w:val="auto"/>
          <w:vertAlign w:val="superscript"/>
        </w:rPr>
      </w:pP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4</w:t>
      </w:r>
      <w:r>
        <w:rPr>
          <w:rFonts w:ascii="Times New Roman" w:cs="Times New Roman" w:eastAsia="Times New Roman" w:hAnsi="Times New Roman"/>
          <w:sz w:val="22"/>
          <w:szCs w:val="22"/>
          <w:color w:val="auto"/>
        </w:rPr>
        <w:t xml:space="preserve"> See footnote 1.</w:t>
      </w:r>
    </w:p>
    <w:p>
      <w:pPr>
        <w:sectPr>
          <w:pgSz w:w="11900" w:h="16838" w:orient="portrait"/>
          <w:cols w:equalWidth="0" w:num="1">
            <w:col w:w="11240"/>
          </w:cols>
          <w:pgMar w:left="320" w:top="108" w:right="339" w:bottom="1440" w:gutter="0" w:footer="0" w:header="0"/>
        </w:sectPr>
      </w:pP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2"/>
          <w:szCs w:val="22"/>
          <w:color w:val="auto"/>
        </w:rPr>
        <w:t>The Corporation intends to apply for regulatory approval for therapies targeting indications such as major depressive disorder,</w:t>
      </w:r>
    </w:p>
    <w:p>
      <w:pPr>
        <w:spacing w:after="0" w:line="20"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22"/>
          <w:szCs w:val="22"/>
          <w:color w:val="auto"/>
        </w:rPr>
        <w:t>alcohol use disorder, generalized anxiety disorder and potentially other various mental health conditions.</w:t>
      </w:r>
      <w:r>
        <w:rPr>
          <w:rFonts w:ascii="Times New Roman" w:cs="Times New Roman" w:eastAsia="Times New Roman" w:hAnsi="Times New Roman"/>
          <w:sz w:val="35"/>
          <w:szCs w:val="35"/>
          <w:color w:val="auto"/>
          <w:vertAlign w:val="superscript"/>
        </w:rPr>
        <w:t>5</w:t>
      </w:r>
      <w:r>
        <w:rPr>
          <w:rFonts w:ascii="Times New Roman" w:cs="Times New Roman" w:eastAsia="Times New Roman" w:hAnsi="Times New Roman"/>
          <w:sz w:val="22"/>
          <w:szCs w:val="22"/>
          <w:color w:val="auto"/>
        </w:rPr>
        <w:t xml:space="preserve"> The Corporation is also developing compounds that may have the potential to address neuroinflammation, central nervous system disorders,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psychiatric disorders.</w:t>
      </w:r>
      <w:r>
        <w:rPr>
          <w:rFonts w:ascii="Times New Roman" w:cs="Times New Roman" w:eastAsia="Times New Roman" w:hAnsi="Times New Roman"/>
          <w:sz w:val="35"/>
          <w:szCs w:val="35"/>
          <w:color w:val="auto"/>
          <w:vertAlign w:val="superscript"/>
        </w:rPr>
        <w:t>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Further, over the next 12-month period, the Corporation will continue to seek to establish strategic partnerships that advance the</w:t>
      </w:r>
    </w:p>
    <w:p>
      <w:pPr>
        <w:spacing w:after="0" w:line="19"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color w:val="auto"/>
        </w:rPr>
        <w:t>Corporation's scientific research and IP for new psychedelic-based compounds and novel delivery mechanisms.</w:t>
      </w: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The Corporation will also continue to sponsor select internal and partner-related clinical trials that advance the understanding of safety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for various psychedelic agents that target mental health conditions.</w:t>
      </w:r>
      <w:r>
        <w:rPr>
          <w:rFonts w:ascii="Times New Roman" w:cs="Times New Roman" w:eastAsia="Times New Roman" w:hAnsi="Times New Roman"/>
          <w:sz w:val="35"/>
          <w:szCs w:val="35"/>
          <w:color w:val="auto"/>
          <w:vertAlign w:val="superscript"/>
        </w:rPr>
        <w:t>8</w:t>
      </w:r>
    </w:p>
    <w:p>
      <w:pPr>
        <w:spacing w:after="0" w:line="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determined that its business and the advancement of its research and development activities, including clinical development programs, are not substantially dependent on any single agreement that has not otherwise been disclosed as a material contract. This assessment reflects the Corporation’s current stage of development, operational structure, and the status of its clinical trials. In the event that the Corporation’s relationship with a third-party strategic partner is terminated, the Corporation would seek to engage a new partner to continue advancing its clinical development programs. The Corporation currently has over 20 clinical sites supporting its CYB003 program and is aware of other strategic partners capable of providing similar support. While the replacement of a strategic partner may affect projected timelines and costs, the Corporation does not consider this a material risk to the progression of its clinical development programs. Accordingly, the Corporation does not consider all its third-party strategic partner agreements to be currently material. The Corporation will continue to assess the materiality of these agreements on an ongoing basis as circumstances warrant.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additional information in respect of the Corporation and its operations, please see the Annual Information Form and the Interim MD&amp;A incorporated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3571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42"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See footnote 3.</w:t>
      </w:r>
    </w:p>
    <w:p>
      <w:pPr>
        <w:spacing w:after="0" w:line="38" w:lineRule="exact"/>
        <w:rPr>
          <w:rFonts w:ascii="Times New Roman" w:cs="Times New Roman" w:eastAsia="Times New Roman" w:hAnsi="Times New Roman"/>
          <w:sz w:val="36"/>
          <w:szCs w:val="36"/>
          <w:color w:val="auto"/>
          <w:vertAlign w:val="superscript"/>
        </w:rPr>
      </w:pP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6</w:t>
      </w:r>
      <w:r>
        <w:rPr>
          <w:rFonts w:ascii="Times New Roman" w:cs="Times New Roman" w:eastAsia="Times New Roman" w:hAnsi="Times New Roman"/>
          <w:sz w:val="21"/>
          <w:szCs w:val="21"/>
          <w:color w:val="auto"/>
        </w:rPr>
        <w:t xml:space="preserve"> See footnote 3.</w:t>
      </w:r>
    </w:p>
    <w:p>
      <w:pPr>
        <w:spacing w:after="0" w:line="182"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4"/>
          <w:szCs w:val="34"/>
          <w:color w:val="auto"/>
          <w:vertAlign w:val="superscript"/>
        </w:rPr>
        <w:t>7</w:t>
      </w:r>
      <w:r>
        <w:rPr>
          <w:rFonts w:ascii="Times New Roman" w:cs="Times New Roman" w:eastAsia="Times New Roman" w:hAnsi="Times New Roman"/>
          <w:sz w:val="21"/>
          <w:szCs w:val="21"/>
          <w:color w:val="auto"/>
        </w:rPr>
        <w:t xml:space="preserve"> See footnote 3.</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8</w:t>
      </w:r>
      <w:r>
        <w:rPr>
          <w:rFonts w:ascii="Times New Roman" w:cs="Times New Roman" w:eastAsia="Times New Roman" w:hAnsi="Times New Roman"/>
          <w:sz w:val="22"/>
          <w:szCs w:val="22"/>
          <w:color w:val="auto"/>
        </w:rPr>
        <w:t xml:space="preserve"> See footnote 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b w:val="1"/>
          <w:bCs w:val="1"/>
          <w:color w:val="auto"/>
        </w:rPr>
        <w:t>Inter-Corporate Relationships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at the date of this Prospectus, the Corporation's corporate structure includes the following material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100965</wp:posOffset>
            </wp:positionV>
            <wp:extent cx="4251960" cy="2820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5196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Select Recent Developments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Other than as set forth below and generally in this Prospectus or the documents incorporated by reference herein, there have been no material developments in the business of the Corporation since August 13, 2025, the date of the Interim Financial Statements and Interim MD&amp;A.</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On August 26, 2025, the Corporation announced that it has received approval in Australia to conduct the EMBRACE study. EMBRACE is the second pivotal study in PARADIGM, the Corporation’s Phase 3 multinational program evaluating CYB003, its proprietary deuterated psilocin analog. The Corporation has received approval through the Clinical Trial Notification scheme, obtained clearance form multiple Ethics Committees of the Australian Therapeutics Goods Administration, and the study site Research Governance Offices, thus allowing the commencements of the EMBRACE study.</w:t>
      </w:r>
    </w:p>
    <w:p>
      <w:pPr>
        <w:spacing w:after="0" w:line="1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2, 2025, the Corporation announced that, effective September 2, 2025, Douglas Drysdale has stepped down as the Corporation’s Chief Executive Officer. The Corporation’s co-founder and President, Eric So, has been appointed as Interim Chief Executive Officer by the Board of Directors.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September 8, 2025, the Corporation announced completion of enrollment in its Phase 2 study evaluating CYB004, a proprietary DMT program, for the treatment of Generalized Anxiety Disorder and reaffirms top line data guidance expected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first quarter of 2026.</w:t>
      </w:r>
      <w:r>
        <w:rPr>
          <w:rFonts w:ascii="Times New Roman" w:cs="Times New Roman" w:eastAsia="Times New Roman" w:hAnsi="Times New Roman"/>
          <w:sz w:val="35"/>
          <w:szCs w:val="35"/>
          <w:color w:val="auto"/>
          <w:vertAlign w:val="superscript"/>
        </w:rPr>
        <w:t>9</w:t>
      </w:r>
      <w:r>
        <w:rPr>
          <w:rFonts w:ascii="Times New Roman" w:cs="Times New Roman" w:eastAsia="Times New Roman" w:hAnsi="Times New Roman"/>
          <w:sz w:val="22"/>
          <w:szCs w:val="22"/>
          <w:color w:val="auto"/>
        </w:rPr>
        <w:t xml:space="preserve">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23571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0" w:lineRule="exact"/>
        <w:rPr>
          <w:sz w:val="20"/>
          <w:szCs w:val="20"/>
          <w:color w:val="auto"/>
        </w:rPr>
      </w:pPr>
    </w:p>
    <w:p>
      <w:pPr>
        <w:ind w:left="5580" w:right="5280" w:hanging="5572"/>
        <w:spacing w:after="0" w:line="272" w:lineRule="auto"/>
        <w:tabs>
          <w:tab w:leader="none" w:pos="162" w:val="left"/>
        </w:tabs>
        <w:numPr>
          <w:ilvl w:val="0"/>
          <w:numId w:val="1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There is no assurance that this timeline will be met. See footnote 3.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1532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2"/>
          <w:szCs w:val="22"/>
          <w:b w:val="1"/>
          <w:bCs w:val="1"/>
          <w:color w:val="auto"/>
        </w:rPr>
        <w:t>REGULATORY OVERVIEW</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summary of the applicable regulatory framework for the Corporation's various business segments and proposed business activity are set forth below.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Canada</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psychoactive compounds, such as psilocin,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Times New Roman" w:cs="Times New Roman" w:eastAsia="Times New Roman" w:hAnsi="Times New Roman"/>
          <w:sz w:val="22"/>
          <w:szCs w:val="22"/>
          <w:b w:val="1"/>
          <w:bCs w:val="1"/>
          <w:color w:val="auto"/>
        </w:rPr>
        <w:t>Section 56 Exemption</w:t>
      </w:r>
      <w:r>
        <w:rPr>
          <w:rFonts w:ascii="Times New Roman" w:cs="Times New Roman" w:eastAsia="Times New Roman" w:hAnsi="Times New Roman"/>
          <w:sz w:val="22"/>
          <w:szCs w:val="22"/>
          <w:color w:val="auto"/>
        </w:rPr>
        <w:t>") is required.</w:t>
      </w:r>
    </w:p>
    <w:p>
      <w:pPr>
        <w:spacing w:after="0" w:line="1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Health Canada has not approved psilocin as a drug for any indication. However, there are legal routes through which psilocin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3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Health Canada's Special Access Program ("</w:t>
      </w:r>
      <w:r>
        <w:rPr>
          <w:rFonts w:ascii="Times New Roman" w:cs="Times New Roman" w:eastAsia="Times New Roman" w:hAnsi="Times New Roman"/>
          <w:sz w:val="22"/>
          <w:szCs w:val="22"/>
          <w:b w:val="1"/>
          <w:bCs w:val="1"/>
          <w:color w:val="auto"/>
        </w:rPr>
        <w:t>SAP</w:t>
      </w:r>
      <w:r>
        <w:rPr>
          <w:rFonts w:ascii="Times New Roman" w:cs="Times New Roman" w:eastAsia="Times New Roman" w:hAnsi="Times New Roman"/>
          <w:sz w:val="22"/>
          <w:szCs w:val="22"/>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psilocin through the SAP. The Corporation has not applied for access under the SAP.</w:t>
      </w:r>
    </w:p>
    <w:p>
      <w:pPr>
        <w:spacing w:after="0" w:line="13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intends to sponsor and work with licensed third parties to conduct any clinical trials and research and does not handle controlled substances. If the Corporation were to conduct this work without the reliance on third parties, it would need to obtain additional licenses and approvals described above.</w:t>
      </w:r>
    </w:p>
    <w:p>
      <w:pPr>
        <w:spacing w:after="0" w:line="129"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2"/>
          <w:szCs w:val="22"/>
          <w:color w:val="auto"/>
        </w:rPr>
        <w:t>Please 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Canada.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Anticipated timelines related to regulatory filings are based on reasonable assumptions informed by current knowledge and information available to the Corporation.</w:t>
      </w:r>
    </w:p>
    <w:p>
      <w:pPr>
        <w:spacing w:after="0" w:line="15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Psilocybin, psilocin, DMT, and 5-Methoxy-DMT are strictly controlled under the federal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Times New Roman" w:cs="Times New Roman" w:eastAsia="Times New Roman" w:hAnsi="Times New Roman"/>
          <w:sz w:val="22"/>
          <w:szCs w:val="22"/>
          <w:b w:val="1"/>
          <w:bCs w:val="1"/>
          <w:color w:val="auto"/>
        </w:rPr>
        <w:t>DEA</w:t>
      </w:r>
      <w:r>
        <w:rPr>
          <w:rFonts w:ascii="Times New Roman" w:cs="Times New Roman" w:eastAsia="Times New Roman" w:hAnsi="Times New Roman"/>
          <w:sz w:val="22"/>
          <w:szCs w:val="22"/>
          <w:color w:val="auto"/>
        </w:rPr>
        <w:t>") and obtain DEA approval of the research proposal. A majority of state laws in the United States also classify psilocybin and psilocin as Schedule I controlled substances. For any product containing psilocin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See </w:t>
      </w:r>
      <w:r>
        <w:rPr>
          <w:rFonts w:ascii="Times New Roman" w:cs="Times New Roman" w:eastAsia="Times New Roman" w:hAnsi="Times New Roman"/>
          <w:sz w:val="22"/>
          <w:szCs w:val="22"/>
          <w:i w:val="1"/>
          <w:iCs w:val="1"/>
          <w:color w:val="auto"/>
        </w:rPr>
        <w:t>"Description of the Business - Research and Development"</w:t>
      </w:r>
      <w:r>
        <w:rPr>
          <w:rFonts w:ascii="Times New Roman" w:cs="Times New Roman" w:eastAsia="Times New Roman" w:hAnsi="Times New Roman"/>
          <w:sz w:val="22"/>
          <w:szCs w:val="22"/>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Europe (Netherlands)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International Narcotics Control Board ("</w:t>
      </w:r>
      <w:r>
        <w:rPr>
          <w:rFonts w:ascii="Times New Roman" w:cs="Times New Roman" w:eastAsia="Times New Roman" w:hAnsi="Times New Roman"/>
          <w:sz w:val="21"/>
          <w:szCs w:val="21"/>
          <w:b w:val="1"/>
          <w:bCs w:val="1"/>
          <w:color w:val="auto"/>
        </w:rPr>
        <w:t>INCB</w:t>
      </w:r>
      <w:r>
        <w:rPr>
          <w:rFonts w:ascii="Times New Roman" w:cs="Times New Roman" w:eastAsia="Times New Roman" w:hAnsi="Times New Roman"/>
          <w:sz w:val="21"/>
          <w:szCs w:val="21"/>
          <w:color w:val="auto"/>
        </w:rPr>
        <w:t>"), a United Nations ("</w:t>
      </w:r>
      <w:r>
        <w:rPr>
          <w:rFonts w:ascii="Times New Roman" w:cs="Times New Roman" w:eastAsia="Times New Roman" w:hAnsi="Times New Roman"/>
          <w:sz w:val="21"/>
          <w:szCs w:val="21"/>
          <w:b w:val="1"/>
          <w:bCs w:val="1"/>
          <w:color w:val="auto"/>
        </w:rPr>
        <w:t>UN</w:t>
      </w:r>
      <w:r>
        <w:rPr>
          <w:rFonts w:ascii="Times New Roman" w:cs="Times New Roman" w:eastAsia="Times New Roman" w:hAnsi="Times New Roman"/>
          <w:sz w:val="21"/>
          <w:szCs w:val="21"/>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w:t>
      </w:r>
    </w:p>
    <w:p>
      <w:pPr>
        <w:spacing w:after="0" w:line="3"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2005/387/JHA of May 10, 2005 (which applies only in certain limited situations)</w:t>
      </w:r>
      <w:r>
        <w:rPr>
          <w:rFonts w:ascii="Times New Roman" w:cs="Times New Roman" w:eastAsia="Times New Roman" w:hAnsi="Times New Roman"/>
          <w:sz w:val="35"/>
          <w:szCs w:val="35"/>
          <w:color w:val="auto"/>
          <w:vertAlign w:val="superscript"/>
        </w:rPr>
        <w:t>10</w:t>
      </w:r>
      <w:r>
        <w:rPr>
          <w:rFonts w:ascii="Times New Roman" w:cs="Times New Roman" w:eastAsia="Times New Roman" w:hAnsi="Times New Roman"/>
          <w:sz w:val="22"/>
          <w:szCs w:val="22"/>
          <w:color w:val="auto"/>
        </w:rPr>
        <w:t xml:space="preserve">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23571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8"/>
        <w:spacing w:after="0" w:line="211" w:lineRule="auto"/>
        <w:tabs>
          <w:tab w:leader="none" w:pos="278"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Decision 2005/387/JHA was repealed (by Directive (EU) 2017/2103 of the European Parliament and of the Council of November 15, 2017 amending Council Framework Decision 2004/757/JHA in order to include new psychoactive substances in the definition of 'drug' and repealing Council Decision 2005/387/JHA), but still continues to apply to new psychoactive substances in respect of which a Joint Report (as referred to in Article 5 of that Decision) has been submitted before November 23, 2018.</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ind w:left="660"/>
        <w:spacing w:after="0" w:line="242" w:lineRule="auto"/>
        <w:rPr>
          <w:sz w:val="20"/>
          <w:szCs w:val="20"/>
          <w:color w:val="auto"/>
        </w:rPr>
      </w:pPr>
      <w:r>
        <w:rPr>
          <w:rFonts w:ascii="Times New Roman" w:cs="Times New Roman" w:eastAsia="Times New Roman" w:hAnsi="Times New Roman"/>
          <w:sz w:val="22"/>
          <w:szCs w:val="22"/>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-258445</wp:posOffset>
            </wp:positionV>
            <wp:extent cx="68580" cy="685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1240"/>
        <w:spacing w:after="0" w:line="230" w:lineRule="auto"/>
        <w:rPr>
          <w:sz w:val="20"/>
          <w:szCs w:val="20"/>
          <w:color w:val="auto"/>
        </w:rPr>
      </w:pPr>
      <w:r>
        <w:rPr>
          <w:rFonts w:ascii="Times New Roman" w:cs="Times New Roman" w:eastAsia="Times New Roman" w:hAnsi="Times New Roman"/>
          <w:sz w:val="22"/>
          <w:szCs w:val="22"/>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-257810</wp:posOffset>
            </wp:positionV>
            <wp:extent cx="6858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1" w:lineRule="auto"/>
        <w:rPr>
          <w:sz w:val="20"/>
          <w:szCs w:val="20"/>
          <w:color w:val="auto"/>
        </w:rPr>
      </w:pPr>
      <w:r>
        <w:rPr>
          <w:rFonts w:ascii="Times New Roman" w:cs="Times New Roman" w:eastAsia="Times New Roman" w:hAnsi="Times New Roman"/>
          <w:sz w:val="22"/>
          <w:szCs w:val="22"/>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-103505</wp:posOffset>
            </wp:positionV>
            <wp:extent cx="68580" cy="685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3" w:lineRule="auto"/>
        <w:rPr>
          <w:sz w:val="20"/>
          <w:szCs w:val="20"/>
          <w:color w:val="auto"/>
        </w:rPr>
      </w:pPr>
      <w:r>
        <w:rPr>
          <w:rFonts w:ascii="Times New Roman" w:cs="Times New Roman" w:eastAsia="Times New Roman" w:hAnsi="Times New Roman"/>
          <w:sz w:val="22"/>
          <w:szCs w:val="22"/>
          <w:color w:val="auto"/>
        </w:rPr>
        <w:t>require that persons performing medical or scientific functions keep records concerning the acquisition of the substances and the details of their use, such records to be preserved for at least two years after the last use recorded therein; and 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-421005</wp:posOffset>
            </wp:positionV>
            <wp:extent cx="68580" cy="685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22"/>
          <w:szCs w:val="22"/>
          <w:b w:val="1"/>
          <w:bCs w:val="1"/>
          <w:color w:val="auto"/>
        </w:rPr>
        <w:t>Dutch Opium Act</w:t>
      </w:r>
      <w:r>
        <w:rPr>
          <w:rFonts w:ascii="Times New Roman" w:cs="Times New Roman" w:eastAsia="Times New Roman" w:hAnsi="Times New Roman"/>
          <w:sz w:val="22"/>
          <w:szCs w:val="22"/>
          <w:color w:val="auto"/>
        </w:rPr>
        <w:t>") and as such, subject to express authorization being obtained, the production, trade and possession of DMT are prohibited.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addition to the Dutch Opium Act, two other Dutch Acts may be relevant when it comes to drugs: the Medicines Act and the Commodities Act.</w:t>
      </w:r>
    </w:p>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22"/>
          <w:szCs w:val="22"/>
          <w:b w:val="1"/>
          <w:bCs w:val="1"/>
          <w:color w:val="auto"/>
        </w:rPr>
        <w:t>CCMO</w:t>
      </w:r>
      <w:r>
        <w:rPr>
          <w:rFonts w:ascii="Times New Roman" w:cs="Times New Roman" w:eastAsia="Times New Roman" w:hAnsi="Times New Roman"/>
          <w:sz w:val="22"/>
          <w:szCs w:val="22"/>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On April 26, 2023, the European Commission introduced a comprehensive "pharmaceutical package" aimed at revising the EU's pharmaceutical legislation. This package includes proposals for a new directive and regulation designed to enhance the availability, accessibility, and affordability of medicines. Additionally, it seeks to boost the competitiveness and attractiveness of the EU pharmaceutical industry while imposing higher environmental standards. The European Parliament has recently looked at these proposals to renovate the EU pharmaceutical legislation, and a newly elected Parliament will take up the proposal following the European elections of June 6-9,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Ireland</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Ireland, psilocin is a controlled substance under the Misuse of Drugs Act, 1977, 1984 and 2015 (the "</w:t>
      </w:r>
      <w:r>
        <w:rPr>
          <w:rFonts w:ascii="Times New Roman" w:cs="Times New Roman" w:eastAsia="Times New Roman" w:hAnsi="Times New Roman"/>
          <w:sz w:val="22"/>
          <w:szCs w:val="22"/>
          <w:b w:val="1"/>
          <w:bCs w:val="1"/>
          <w:color w:val="auto"/>
        </w:rPr>
        <w:t>Ireland MDA</w:t>
      </w:r>
      <w:r>
        <w:rPr>
          <w:rFonts w:ascii="Times New Roman" w:cs="Times New Roman" w:eastAsia="Times New Roman" w:hAnsi="Times New Roman"/>
          <w:sz w:val="22"/>
          <w:szCs w:val="22"/>
          <w:color w:val="auto"/>
        </w:rPr>
        <w:t>"), the Misuse of Drugs Regulations 2017 (the "</w:t>
      </w:r>
      <w:r>
        <w:rPr>
          <w:rFonts w:ascii="Times New Roman" w:cs="Times New Roman" w:eastAsia="Times New Roman" w:hAnsi="Times New Roman"/>
          <w:sz w:val="22"/>
          <w:szCs w:val="22"/>
          <w:b w:val="1"/>
          <w:bCs w:val="1"/>
          <w:color w:val="auto"/>
        </w:rPr>
        <w:t>Ireland MDR</w:t>
      </w:r>
      <w:r>
        <w:rPr>
          <w:rFonts w:ascii="Times New Roman" w:cs="Times New Roman" w:eastAsia="Times New Roman" w:hAnsi="Times New Roman"/>
          <w:sz w:val="22"/>
          <w:szCs w:val="22"/>
          <w:color w:val="auto"/>
        </w:rPr>
        <w:t>") and the Criminal Justice (Psychoactive Substances) Act 2010 (the "</w:t>
      </w:r>
      <w:r>
        <w:rPr>
          <w:rFonts w:ascii="Times New Roman" w:cs="Times New Roman" w:eastAsia="Times New Roman" w:hAnsi="Times New Roman"/>
          <w:sz w:val="22"/>
          <w:szCs w:val="22"/>
          <w:b w:val="1"/>
          <w:bCs w:val="1"/>
          <w:color w:val="auto"/>
        </w:rPr>
        <w:t>2010 Act</w:t>
      </w:r>
      <w:r>
        <w:rPr>
          <w:rFonts w:ascii="Times New Roman" w:cs="Times New Roman" w:eastAsia="Times New Roman" w:hAnsi="Times New Roman"/>
          <w:sz w:val="22"/>
          <w:szCs w:val="22"/>
          <w:color w:val="auto"/>
        </w:rPr>
        <w:t>"). These are the primary legislative instruments which govern controlled substances in Ireland. This legislation regulates the use, possession, supply, licensing, and administration of listed scheduled substances and establishes the offences and penalties for infringement of the legislation.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jc w:val="both"/>
        <w:spacing w:after="0" w:line="244" w:lineRule="auto"/>
        <w:rPr>
          <w:sz w:val="20"/>
          <w:szCs w:val="20"/>
          <w:color w:val="auto"/>
        </w:rPr>
      </w:pPr>
      <w:r>
        <w:rPr>
          <w:rFonts w:ascii="Times New Roman" w:cs="Times New Roman" w:eastAsia="Times New Roman" w:hAnsi="Times New Roman"/>
          <w:sz w:val="22"/>
          <w:szCs w:val="22"/>
          <w:color w:val="auto"/>
        </w:rPr>
        <w:t>Any substance, product or preparation (whether natural or otherwise) including a fungus of any kind or description, which contains psilocin, or an ester of psilocin, is classed as a Schedule 1 controlled substance under the Ireland MDA and the Ireland MDR. Accordingly, psilocin is subject to the strict regime of control that applies.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 Schedule 1 controlled substance under the Ireland MDA, unlawful manufacturing, production, preparation, importation, exportation, supply, or distribution of psilocin carries onerous obligations and harsh punishments for contravention; this includes prohibition orders, closure orders, fines and/or terms of imprisonment of up to 14 years. The Gardaí and Customs officials are granted powers to search persons, vehicles, premises and postal packages suspected of possessing/containing a Schedule 1 controlled substance and/or a psychoactive substance for human consumption.</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 Further, the 2010 Act permits the Minister to make an order declaring that the Act shall not apply in relation to any "</w:t>
      </w:r>
      <w:r>
        <w:rPr>
          <w:rFonts w:ascii="Times New Roman" w:cs="Times New Roman" w:eastAsia="Times New Roman" w:hAnsi="Times New Roman"/>
          <w:sz w:val="22"/>
          <w:szCs w:val="22"/>
          <w:i w:val="1"/>
          <w:iCs w:val="1"/>
          <w:color w:val="auto"/>
        </w:rPr>
        <w:t>substance, product, preparation, plant, fungus or natural organism</w:t>
      </w:r>
      <w:r>
        <w:rPr>
          <w:rFonts w:ascii="Times New Roman" w:cs="Times New Roman" w:eastAsia="Times New Roman" w:hAnsi="Times New Roman"/>
          <w:sz w:val="22"/>
          <w:szCs w:val="22"/>
          <w:color w:val="auto"/>
        </w:rPr>
        <w:t>" as specified in the order.</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Irish Government's Legislative Programme for Summer 2025 does not contain any proposed amendments to the above-mentioned legislation which currently govern controlled substances.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The main UK controlled drugs legislation is the Misuse of Drugs Act 1971 (the "</w:t>
      </w:r>
      <w:r>
        <w:rPr>
          <w:rFonts w:ascii="Times New Roman" w:cs="Times New Roman" w:eastAsia="Times New Roman" w:hAnsi="Times New Roman"/>
          <w:sz w:val="22"/>
          <w:szCs w:val="22"/>
          <w:b w:val="1"/>
          <w:bCs w:val="1"/>
          <w:color w:val="auto"/>
        </w:rPr>
        <w:t>MDA</w:t>
      </w:r>
      <w:r>
        <w:rPr>
          <w:rFonts w:ascii="Times New Roman" w:cs="Times New Roman" w:eastAsia="Times New Roman" w:hAnsi="Times New Roman"/>
          <w:sz w:val="22"/>
          <w:szCs w:val="22"/>
          <w:color w:val="auto"/>
        </w:rPr>
        <w:t>") and the Misuse of Drugs Regulations 2001 (the "</w:t>
      </w:r>
      <w:r>
        <w:rPr>
          <w:rFonts w:ascii="Times New Roman" w:cs="Times New Roman" w:eastAsia="Times New Roman" w:hAnsi="Times New Roman"/>
          <w:sz w:val="22"/>
          <w:szCs w:val="22"/>
          <w:b w:val="1"/>
          <w:bCs w:val="1"/>
          <w:color w:val="auto"/>
        </w:rPr>
        <w:t>MDR</w:t>
      </w:r>
      <w:r>
        <w:rPr>
          <w:rFonts w:ascii="Times New Roman" w:cs="Times New Roman" w:eastAsia="Times New Roman" w:hAnsi="Times New Roman"/>
          <w:sz w:val="22"/>
          <w:szCs w:val="22"/>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the United Kingdom, "Fungus (of any kind) which contains psilocin or an ester of psilocin" is controlled as a Class A drug under the MDA and Schedule 1 drug under the MDR.</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which specifies the specific activities to which it relates together with any applicable conditions, issued by the UK Home Office. While exemptions do exist, none are applicable to the API. DMT is also considered a Class A drug under the MDA and as a Schedule I drug under the MDR.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3" w:name="page54"/>
    <w:bookmarkEnd w:id="53"/>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previously mentioned that it intended to file a clinical trial application with the U.K. Medical and Healthcare Products Regulatory Agency ("MHRA") related to the Deuterated Psilocybin Analog Program upon completion of its pre-clinical studies and CMC development. The Corporation has since decided that it will first proceed in the U.S. and will reevaluate other applications at a later date. Anticipated timelines related to regulatory filings are based on reasonable assumptions informed by current knowledge and information available to the Corporation. Small Pharma has a controlled drug licence in respect of the offices at 50 Featherstone St, which was issued on June 6, 2024 and expired on June 5, 2025. An application for 2025 renewal has been made in good time prior to expiration. Although the new certificate has not yet been issued for 2025-2026, the Home Office has advised that the Corporation may continue to handle controlled drugs on the same terms and subject to the same conditions of the 2024-2025 licence.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Licensing Requirements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Times New Roman" w:cs="Times New Roman" w:eastAsia="Times New Roman" w:hAnsi="Times New Roman"/>
          <w:sz w:val="21"/>
          <w:szCs w:val="21"/>
          <w:b w:val="1"/>
          <w:bCs w:val="1"/>
          <w:color w:val="auto"/>
        </w:rPr>
        <w:t>Asset Acquisition</w:t>
      </w:r>
      <w:r>
        <w:rPr>
          <w:rFonts w:ascii="Times New Roman" w:cs="Times New Roman" w:eastAsia="Times New Roman" w:hAnsi="Times New Roman"/>
          <w:sz w:val="21"/>
          <w:szCs w:val="21"/>
          <w:color w:val="auto"/>
        </w:rPr>
        <w:t>"), the Corporation also acquired API. The CYB004-E API was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manufactured in the Netherlands by a pharmaceutical ingredient provider that is United States FDA-inspected.</w:t>
      </w:r>
      <w:r>
        <w:rPr>
          <w:rFonts w:ascii="Times New Roman" w:cs="Times New Roman" w:eastAsia="Times New Roman" w:hAnsi="Times New Roman"/>
          <w:sz w:val="35"/>
          <w:szCs w:val="35"/>
          <w:color w:val="auto"/>
          <w:vertAlign w:val="superscript"/>
        </w:rPr>
        <w:t>11</w:t>
      </w:r>
    </w:p>
    <w:p>
      <w:pPr>
        <w:spacing w:after="0" w:line="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As mentioned above, in order to produce, possess and supply the API at a UK-based facility, the facility must also hold a domestic licence issued by the Home Office covering the manufacture, production, possession and supply of a controlled substance. For export of the API to the United States, an export licence is required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and supplied, certain authorizations and licenses from the MHRA may be required to authorize some of the activities carried on at the UK-based facilities in relation to the API.</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color w:val="auto"/>
        </w:rPr>
        <w:t>All premises that are Home Office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35"/>
          <w:szCs w:val="35"/>
          <w:color w:val="auto"/>
          <w:vertAlign w:val="superscript"/>
        </w:rPr>
        <w:t>12</w:t>
      </w:r>
    </w:p>
    <w:p>
      <w:pPr>
        <w:spacing w:after="0" w:line="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The MDA requires that every person in possession of controlled drugs holds an appropriate Home Office Licence and under the Home Office guidance, each organization involved in the movement of controlled drugs should have a standard operating procedure covering their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responsibilities, record keeping, reconciliation and reporting of thefts/losses.</w:t>
      </w:r>
      <w:r>
        <w:rPr>
          <w:rFonts w:ascii="Times New Roman" w:cs="Times New Roman" w:eastAsia="Times New Roman" w:hAnsi="Times New Roman"/>
          <w:sz w:val="35"/>
          <w:szCs w:val="35"/>
          <w:color w:val="auto"/>
          <w:vertAlign w:val="superscript"/>
        </w:rPr>
        <w:t>13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 Pharma holds the appropriate UK Home Office licence required to sponsor clinical trials using Schedule I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23571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firstLine="8"/>
        <w:spacing w:after="0" w:line="226" w:lineRule="auto"/>
        <w:tabs>
          <w:tab w:leader="none" w:pos="232" w:val="left"/>
        </w:tabs>
        <w:numPr>
          <w:ilvl w:val="0"/>
          <w:numId w:val="21"/>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8" w:lineRule="exact"/>
        <w:rPr>
          <w:rFonts w:ascii="Times New Roman" w:cs="Times New Roman" w:eastAsia="Times New Roman" w:hAnsi="Times New Roman"/>
          <w:sz w:val="33"/>
          <w:szCs w:val="33"/>
          <w:color w:val="auto"/>
          <w:vertAlign w:val="superscript"/>
        </w:rPr>
      </w:pPr>
    </w:p>
    <w:p>
      <w:pPr>
        <w:jc w:val="both"/>
        <w:ind w:firstLine="8"/>
        <w:spacing w:after="0" w:line="208" w:lineRule="auto"/>
        <w:tabs>
          <w:tab w:leader="none" w:pos="252" w:val="left"/>
        </w:tabs>
        <w:numPr>
          <w:ilvl w:val="0"/>
          <w:numId w:val="21"/>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Home Office guidance; Security guidance for all existing or prospective Home Office Controlled Drug Licensees and/or Precursor Chemical Licensees or Registrants; 2022; https://assets.publishing.service.gov.uk/media/63a1b6c8e90e075874d91825/ Security_Guidance_for_all_Businesses_and_Other_Organisations_v1.5_Nov_2022.pdf.</w:t>
      </w:r>
    </w:p>
    <w:p>
      <w:pPr>
        <w:spacing w:after="0" w:line="15" w:lineRule="exact"/>
        <w:rPr>
          <w:rFonts w:ascii="Times New Roman" w:cs="Times New Roman" w:eastAsia="Times New Roman" w:hAnsi="Times New Roman"/>
          <w:sz w:val="35"/>
          <w:szCs w:val="35"/>
          <w:color w:val="auto"/>
          <w:vertAlign w:val="superscript"/>
        </w:rPr>
      </w:pPr>
    </w:p>
    <w:p>
      <w:pPr>
        <w:ind w:left="140" w:hanging="132"/>
        <w:spacing w:after="0" w:line="200" w:lineRule="auto"/>
        <w:tabs>
          <w:tab w:leader="none" w:pos="711" w:val="left"/>
        </w:tabs>
        <w:numPr>
          <w:ilvl w:val="0"/>
          <w:numId w:val="2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Home Office guidance; Guidelines for Standard Operating Procedures (SOPs); https://assets.publishing.service.gov.uk/government/uploads/ system/uploads/attachment_data/file/480572/StandardOpProcedure.pdf.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u w:val="single" w:color="auto"/>
          <w:color w:val="auto"/>
        </w:rPr>
        <w:t>Pharmaceutical Products</w:t>
      </w:r>
    </w:p>
    <w:p>
      <w:pPr>
        <w:spacing w:after="0" w:line="16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product is regulated as a "medicinal product" under UK legislation (the Human Medicines Regulations 2012, as amended)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respect of psilocybin/psilocin and DMT, whether a specific product restores, corrects or modifies a physiological function by exerting a pharmacological, immunological or metabolic action will depend on factors such as the concentration of the psilocybin/psilocin or DMT (as applicable) and the mode of action of any psilocybin/psilocin or DMT (as applicable) absorbed in the body. This requires scientific analysis.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is a medicinal product, the Human Medicines Regulations 2012 require that a marketing authorization for the product granted by the UK Licensing Authority should be in place before the product is placed on the market in the UK (other, more limited, licensing options are available, such as a conditional marketing authorization), unless the product falls within one of the specified exemptions, such as supply in response to an unsolicited request from a healthcare professional to meet the special clinical needs of a particular patient under his/her care. Following the UK's exit from the EU and the end of the transitional period, up to (and including) December 31, 2024, there were separate licensing routes and licences for products supplied: (i) in Great Britain only; (ii) in Northern Ireland only; and (iii) across the UK. From January 1, 2025, the UK Licensing Authority now licenses products across the whole of the UK through UK-wide licenses, removing the separate licensing routes for Great Britain and Northern Ireland for many medicinal products. The process for obtaining a standard marketing authorization generally involves submitting preclinical and clinical data as well as quality and manufacturing information in the form of a common technical document to the MHRA. In addition to a marketing authorization for the product itself, companies carrying out activities involving medicinal products, such as manufacturing, distribution and wholesaling, need to meet defined standards (GMP) and/or Good Distribution Practice ("</w:t>
      </w:r>
      <w:r>
        <w:rPr>
          <w:rFonts w:ascii="Times New Roman" w:cs="Times New Roman" w:eastAsia="Times New Roman" w:hAnsi="Times New Roman"/>
          <w:sz w:val="21"/>
          <w:szCs w:val="21"/>
          <w:b w:val="1"/>
          <w:bCs w:val="1"/>
          <w:color w:val="auto"/>
        </w:rPr>
        <w:t>GDP</w:t>
      </w:r>
      <w:r>
        <w:rPr>
          <w:rFonts w:ascii="Times New Roman" w:cs="Times New Roman" w:eastAsia="Times New Roman" w:hAnsi="Times New Roman"/>
          <w:sz w:val="21"/>
          <w:szCs w:val="21"/>
          <w:color w:val="auto"/>
        </w:rPr>
        <w:t>") and to hold a related licence from the MHRA.</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How the API is subsequently processed will determine the licences (in addition to any applicable Home Office licenses as referred to above) that the UK-based facility must hold. In particular:</w:t>
      </w:r>
    </w:p>
    <w:p>
      <w:pPr>
        <w:spacing w:after="0" w:line="154"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color w:val="auto"/>
        </w:rPr>
        <w:t>if the API is just one 'ingredient' (i.e. active substance) of the investigational medicinal product (the "</w:t>
      </w:r>
      <w:r>
        <w:rPr>
          <w:rFonts w:ascii="Times New Roman" w:cs="Times New Roman" w:eastAsia="Times New Roman" w:hAnsi="Times New Roman"/>
          <w:sz w:val="22"/>
          <w:szCs w:val="22"/>
          <w:b w:val="1"/>
          <w:bCs w:val="1"/>
          <w:color w:val="auto"/>
        </w:rPr>
        <w:t>IMP</w:t>
      </w:r>
      <w:r>
        <w:rPr>
          <w:rFonts w:ascii="Times New Roman" w:cs="Times New Roman" w:eastAsia="Times New Roman" w:hAnsi="Times New Roman"/>
          <w:sz w:val="22"/>
          <w:szCs w:val="22"/>
          <w:color w:val="auto"/>
        </w:rPr>
        <w:t>") which is used in the clinical trial then the UK-based facility must apply to be registered with the MHRA and provide the MHRA with 60 days' notice of the intended start of manufacture, import or distribution of the API, and comply with GMP and GDP for active substances; furthermore, an MHRA inspection may be required;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9"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conversely, if the API will itself constitute the IMP, the manufacturer must, except in certain limited circumstances, hold a Manufacturer's Authorizations for IMPs licence ("</w:t>
      </w:r>
      <w:r>
        <w:rPr>
          <w:rFonts w:ascii="Times New Roman" w:cs="Times New Roman" w:eastAsia="Times New Roman" w:hAnsi="Times New Roman"/>
          <w:sz w:val="22"/>
          <w:szCs w:val="22"/>
          <w:b w:val="1"/>
          <w:bCs w:val="1"/>
          <w:color w:val="auto"/>
        </w:rPr>
        <w:t>MIA(IMP)")</w:t>
      </w:r>
      <w:r>
        <w:rPr>
          <w:rFonts w:ascii="Times New Roman" w:cs="Times New Roman" w:eastAsia="Times New Roman" w:hAnsi="Times New Roman"/>
          <w:sz w:val="22"/>
          <w:szCs w:val="22"/>
          <w:color w:val="auto"/>
        </w:rPr>
        <w:t xml:space="preserve"> granted by the MHRA. In this scenario, assuming the IMP is manufactured or assembled in the UK, an MIA(IMP) would be required regardless of whether the IMP is for use in clinical trials in the UK, an EEA Member State or a third country (such as the United States or Canada). GMP, GDP and inspection requirements will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-730885</wp:posOffset>
            </wp:positionV>
            <wp:extent cx="6858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Some products fall on the borderline between medicines and other categories of regulated products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inspired medicines through its internal research, development, proprietary discovery programs, mergers and acquisitions, joint ventures and collaborative development agreements. The Corporation continues to assess and explore a range of strategic opportunities, including potential mergers and acquisitions, joint ventures and collaborative development agreements, consistent with its growth strategy. At this time, the Corporation has not entered into any definitive agreements or arrangements in respect of such opportunities, nor is it engaged in any meaningful negotiations that would require disclosure in this Prospectus.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ectPr>
          <w:pgSz w:w="11900" w:h="16838" w:orient="portrait"/>
          <w:cols w:equalWidth="0" w:num="1">
            <w:col w:w="11240"/>
          </w:cols>
          <w:pgMar w:left="320" w:top="112"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5" w:name="page56"/>
    <w:bookmarkEnd w:id="55"/>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22"/>
          <w:szCs w:val="22"/>
          <w:i w:val="1"/>
          <w:iCs w:val="1"/>
          <w:color w:val="auto"/>
        </w:rPr>
        <w:t>Psilocybe</w:t>
      </w:r>
      <w:r>
        <w:rPr>
          <w:rFonts w:ascii="Times New Roman" w:cs="Times New Roman" w:eastAsia="Times New Roman" w:hAnsi="Times New Roman"/>
          <w:sz w:val="22"/>
          <w:szCs w:val="22"/>
          <w:color w:val="auto"/>
        </w:rPr>
        <w:t xml:space="preserve">, such as P. </w:t>
      </w:r>
      <w:r>
        <w:rPr>
          <w:rFonts w:ascii="Times New Roman" w:cs="Times New Roman" w:eastAsia="Times New Roman" w:hAnsi="Times New Roman"/>
          <w:sz w:val="22"/>
          <w:szCs w:val="22"/>
          <w:i w:val="1"/>
          <w:iCs w:val="1"/>
          <w:color w:val="auto"/>
        </w:rPr>
        <w:t>azurescens</w:t>
      </w:r>
      <w:r>
        <w:rPr>
          <w:rFonts w:ascii="Times New Roman" w:cs="Times New Roman" w:eastAsia="Times New Roman" w:hAnsi="Times New Roman"/>
          <w:sz w:val="22"/>
          <w:szCs w:val="22"/>
          <w:color w:val="auto"/>
        </w:rPr>
        <w:t xml:space="preserve">, P. </w:t>
      </w:r>
      <w:r>
        <w:rPr>
          <w:rFonts w:ascii="Times New Roman" w:cs="Times New Roman" w:eastAsia="Times New Roman" w:hAnsi="Times New Roman"/>
          <w:sz w:val="22"/>
          <w:szCs w:val="22"/>
          <w:i w:val="1"/>
          <w:iCs w:val="1"/>
          <w:color w:val="auto"/>
        </w:rPr>
        <w:t>semilanceata</w:t>
      </w:r>
      <w:r>
        <w:rPr>
          <w:rFonts w:ascii="Times New Roman" w:cs="Times New Roman" w:eastAsia="Times New Roman" w:hAnsi="Times New Roman"/>
          <w:sz w:val="22"/>
          <w:szCs w:val="22"/>
          <w:color w:val="auto"/>
        </w:rPr>
        <w:t xml:space="preserve">, and P. </w:t>
      </w:r>
      <w:r>
        <w:rPr>
          <w:rFonts w:ascii="Times New Roman" w:cs="Times New Roman" w:eastAsia="Times New Roman" w:hAnsi="Times New Roman"/>
          <w:sz w:val="22"/>
          <w:szCs w:val="22"/>
          <w:i w:val="1"/>
          <w:iCs w:val="1"/>
          <w:color w:val="auto"/>
        </w:rPr>
        <w:t>cyanescens</w:t>
      </w:r>
      <w:r>
        <w:rPr>
          <w:rFonts w:ascii="Times New Roman" w:cs="Times New Roman" w:eastAsia="Times New Roman" w:hAnsi="Times New Roman"/>
          <w:sz w:val="22"/>
          <w:szCs w:val="22"/>
          <w:color w:val="auto"/>
        </w:rPr>
        <w:t>, but psilocybin has also been isolated from about a dozen other genera. As a prodrug, psilocybin is quickly converted by the body to psilocin, which has mind-altering effects.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pharmacokinetics, pharmacology and human metabolism of psilocin are well known and well characterized. In conjunction with psychotherapy, psilocin has been utilized broadly in phase II clinical trials.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Corporation has commenced research and development on the delivery of synthetic psilocin and other psychedelics through mechanisms such as sublingual film delivery, IV, and by way of inhalation.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Research and development is led by the Corporation's North American Chief Scientific Officer, Alex Nivorozhkin Ph.D., a seasoned medicinal chemist, drug delivery expert and founder of multiple biotech companies.</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Corporation's research and development must be conducted in strict compliance with the regulations of federal, state, local and regulatory agencies in Canada, the United States and the UK,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Canada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Canada generally involves:</w:t>
      </w:r>
    </w:p>
    <w:p>
      <w:pPr>
        <w:spacing w:after="0" w:line="202"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Chemical and Biological Research - </w:t>
      </w:r>
      <w:r>
        <w:rPr>
          <w:rFonts w:ascii="Times New Roman" w:cs="Times New Roman" w:eastAsia="Times New Roman" w:hAnsi="Times New Roman"/>
          <w:sz w:val="22"/>
          <w:szCs w:val="22"/>
          <w:color w:val="auto"/>
        </w:rPr>
        <w:t>Laboratory tests are carried out on tissue cultures and with a variety of small animals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determine the effects of 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0" w:lineRule="exact"/>
        <w:rPr>
          <w:sz w:val="20"/>
          <w:szCs w:val="20"/>
          <w:color w:val="auto"/>
        </w:rPr>
      </w:pPr>
    </w:p>
    <w:p>
      <w:pPr>
        <w:jc w:val="both"/>
        <w:ind w:left="66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Pre-Clinical Development - </w:t>
      </w:r>
      <w:r>
        <w:rPr>
          <w:rFonts w:ascii="Times New Roman" w:cs="Times New Roman" w:eastAsia="Times New Roman" w:hAnsi="Times New Roman"/>
          <w:sz w:val="22"/>
          <w:szCs w:val="22"/>
          <w:color w:val="auto"/>
        </w:rPr>
        <w:t>Animals are given the drug in varying amounts over differing periods of time. If it can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shown that the drug causes no 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-426085</wp:posOffset>
            </wp:positionV>
            <wp:extent cx="6858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 - </w:t>
      </w:r>
      <w:r>
        <w:rPr>
          <w:rFonts w:ascii="Times New Roman" w:cs="Times New Roman" w:eastAsia="Times New Roman" w:hAnsi="Times New Roman"/>
          <w:sz w:val="22"/>
          <w:szCs w:val="22"/>
          <w:color w:val="auto"/>
        </w:rPr>
        <w:t>The first administration in humans is to test if people can tolerate the drug. If this testing is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take place in Canada, the manufacturer must prepare a clinical trial application for the Therapeutic Products Directorate of Health Canada (the "</w:t>
      </w:r>
      <w:r>
        <w:rPr>
          <w:rFonts w:ascii="Times New Roman" w:cs="Times New Roman" w:eastAsia="Times New Roman" w:hAnsi="Times New Roman"/>
          <w:sz w:val="22"/>
          <w:szCs w:val="22"/>
          <w:b w:val="1"/>
          <w:bCs w:val="1"/>
          <w:color w:val="auto"/>
        </w:rPr>
        <w:t>TPD</w:t>
      </w:r>
      <w:r>
        <w:rPr>
          <w:rFonts w:ascii="Times New Roman" w:cs="Times New Roman" w:eastAsia="Times New Roman" w:hAnsi="Times New Roman"/>
          <w:sz w:val="22"/>
          <w:szCs w:val="22"/>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22"/>
          <w:szCs w:val="22"/>
          <w:b w:val="1"/>
          <w:bCs w:val="1"/>
          <w:color w:val="auto"/>
        </w:rPr>
        <w:t>HPFB</w:t>
      </w:r>
      <w:r>
        <w:rPr>
          <w:rFonts w:ascii="Times New Roman" w:cs="Times New Roman" w:eastAsia="Times New Roman" w:hAnsi="Times New Roman"/>
          <w:sz w:val="22"/>
          <w:szCs w:val="22"/>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-728345</wp:posOffset>
            </wp:positionV>
            <wp:extent cx="68580" cy="685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6" w:lineRule="exact"/>
        <w:rPr>
          <w:sz w:val="20"/>
          <w:szCs w:val="20"/>
          <w:color w:val="auto"/>
        </w:rPr>
      </w:pPr>
    </w:p>
    <w:p>
      <w:pPr>
        <w:jc w:val="both"/>
        <w:ind w:left="660"/>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 - </w:t>
      </w:r>
      <w:r>
        <w:rPr>
          <w:rFonts w:ascii="Times New Roman" w:cs="Times New Roman" w:eastAsia="Times New Roman" w:hAnsi="Times New Roman"/>
          <w:sz w:val="22"/>
          <w:szCs w:val="22"/>
          <w:color w:val="auto"/>
        </w:rPr>
        <w:t>Phase II trials are carried out on people with the target condition, who are usually otherwise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healthy, with no other medical 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-577215</wp:posOffset>
            </wp:positionV>
            <wp:extent cx="68580" cy="685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jc w:val="both"/>
        <w:ind w:left="660"/>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Clinical Trials - Phase III - </w:t>
      </w:r>
      <w:r>
        <w:rPr>
          <w:rFonts w:ascii="Times New Roman" w:cs="Times New Roman" w:eastAsia="Times New Roman" w:hAnsi="Times New Roman"/>
          <w:sz w:val="22"/>
          <w:szCs w:val="22"/>
          <w:color w:val="auto"/>
        </w:rPr>
        <w:t>If the results from phase II show promise, the manufacturer provides an updated clinical trial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application to the TPD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-729615</wp:posOffset>
            </wp:positionV>
            <wp:extent cx="68580" cy="685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5"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Drug Submission - </w:t>
      </w:r>
      <w:r>
        <w:rPr>
          <w:rFonts w:ascii="Times New Roman" w:cs="Times New Roman" w:eastAsia="Times New Roman" w:hAnsi="Times New Roman"/>
          <w:sz w:val="21"/>
          <w:szCs w:val="21"/>
          <w:color w:val="auto"/>
        </w:rPr>
        <w:t>If the results from phase III continue to be favourable, the drug manufacturer can submit a new</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drug submission ("</w:t>
      </w:r>
      <w:r>
        <w:rPr>
          <w:rFonts w:ascii="Times New Roman" w:cs="Times New Roman" w:eastAsia="Times New Roman" w:hAnsi="Times New Roman"/>
          <w:sz w:val="21"/>
          <w:szCs w:val="21"/>
          <w:b w:val="1"/>
          <w:bCs w:val="1"/>
          <w:color w:val="auto"/>
        </w:rPr>
        <w:t>NDS</w:t>
      </w:r>
      <w:r>
        <w:rPr>
          <w:rFonts w:ascii="Times New Roman" w:cs="Times New Roman" w:eastAsia="Times New Roman" w:hAnsi="Times New Roman"/>
          <w:sz w:val="21"/>
          <w:szCs w:val="21"/>
          <w:color w:val="auto"/>
        </w:rPr>
        <w:t>") to 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-737235</wp:posOffset>
            </wp:positionV>
            <wp:extent cx="6858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United States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Because psilocybin, psilocin, DMT, and 5-Methoxy-DMT are listed as Schedule I substances under the CSA, for any product containing psilocin or any Schedule I substance to be available for commercial marketing in the United States, such substance must be rescheduled, or the product itself must be scheduled, by the DEA to Schedule II, III, IV or V.</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process required before a prescription drug product candidate may be marketed in the United States generally involves:</w:t>
      </w:r>
    </w:p>
    <w:p>
      <w:pPr>
        <w:spacing w:after="0" w:line="206" w:lineRule="exact"/>
        <w:rPr>
          <w:sz w:val="20"/>
          <w:szCs w:val="20"/>
          <w:color w:val="auto"/>
        </w:rPr>
      </w:pPr>
    </w:p>
    <w:p>
      <w:pPr>
        <w:ind w:left="660" w:right="20"/>
        <w:spacing w:after="0" w:line="241" w:lineRule="auto"/>
        <w:rPr>
          <w:sz w:val="20"/>
          <w:szCs w:val="20"/>
          <w:color w:val="auto"/>
        </w:rPr>
      </w:pPr>
      <w:r>
        <w:rPr>
          <w:rFonts w:ascii="Times New Roman" w:cs="Times New Roman" w:eastAsia="Times New Roman" w:hAnsi="Times New Roman"/>
          <w:sz w:val="22"/>
          <w:szCs w:val="22"/>
          <w:color w:val="auto"/>
        </w:rPr>
        <w:t>completion of extensive nonclinical laboratory tests, animal studies and formulation studies, all performed in accordance with the FDA's GLP, Good Clinical and/or GMP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right="20"/>
        <w:spacing w:after="0" w:line="230" w:lineRule="auto"/>
        <w:rPr>
          <w:sz w:val="20"/>
          <w:szCs w:val="20"/>
          <w:color w:val="auto"/>
        </w:rPr>
      </w:pPr>
      <w:r>
        <w:rPr>
          <w:rFonts w:ascii="Times New Roman" w:cs="Times New Roman" w:eastAsia="Times New Roman" w:hAnsi="Times New Roman"/>
          <w:sz w:val="22"/>
          <w:szCs w:val="22"/>
          <w:color w:val="auto"/>
        </w:rPr>
        <w:t>submission to the FDA of an IND Application, which the FDA must approve before human clinical trials may begin; approval by an independent institutional review board ("</w:t>
      </w:r>
      <w:r>
        <w:rPr>
          <w:rFonts w:ascii="Times New Roman" w:cs="Times New Roman" w:eastAsia="Times New Roman" w:hAnsi="Times New Roman"/>
          <w:sz w:val="22"/>
          <w:szCs w:val="22"/>
          <w:b w:val="1"/>
          <w:bCs w:val="1"/>
          <w:color w:val="auto"/>
        </w:rPr>
        <w:t>IRB</w:t>
      </w:r>
      <w:r>
        <w:rPr>
          <w:rFonts w:ascii="Times New Roman" w:cs="Times New Roman" w:eastAsia="Times New Roman" w:hAnsi="Times New Roman"/>
          <w:sz w:val="22"/>
          <w:szCs w:val="22"/>
          <w:color w:val="auto"/>
        </w:rPr>
        <w:t>")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-257175</wp:posOffset>
            </wp:positionV>
            <wp:extent cx="68580" cy="685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line="230" w:lineRule="auto"/>
        <w:rPr>
          <w:sz w:val="20"/>
          <w:szCs w:val="20"/>
          <w:color w:val="auto"/>
        </w:rPr>
      </w:pPr>
      <w:r>
        <w:rPr>
          <w:rFonts w:ascii="Times New Roman" w:cs="Times New Roman" w:eastAsia="Times New Roman" w:hAnsi="Times New Roman"/>
          <w:sz w:val="22"/>
          <w:szCs w:val="22"/>
          <w:color w:val="auto"/>
        </w:rPr>
        <w:t>for nearly all new pharmaceutical products, performance of adequate and well-controlled human clinical trials in accordance with the FDA's regulations, including Good Clinical Practices, to establish the safety and efficacy of the prescription drug product candidate for each proposed indication; submission to the FDA of a New Drug Application ("</w:t>
      </w:r>
      <w:r>
        <w:rPr>
          <w:rFonts w:ascii="Times New Roman" w:cs="Times New Roman" w:eastAsia="Times New Roman" w:hAnsi="Times New Roman"/>
          <w:sz w:val="22"/>
          <w:szCs w:val="22"/>
          <w:b w:val="1"/>
          <w:bCs w:val="1"/>
          <w:color w:val="auto"/>
        </w:rPr>
        <w:t>NDA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-565785</wp:posOffset>
            </wp:positionV>
            <wp:extent cx="68580" cy="685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-102870</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660"/>
        <w:spacing w:after="0" w:line="230" w:lineRule="auto"/>
        <w:rPr>
          <w:sz w:val="20"/>
          <w:szCs w:val="20"/>
          <w:color w:val="auto"/>
        </w:rPr>
      </w:pPr>
      <w:r>
        <w:rPr>
          <w:rFonts w:ascii="Times New Roman" w:cs="Times New Roman" w:eastAsia="Times New Roman" w:hAnsi="Times New Roman"/>
          <w:sz w:val="22"/>
          <w:szCs w:val="22"/>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-411480</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22"/>
          <w:szCs w:val="22"/>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-110490</wp:posOffset>
            </wp:positionV>
            <wp:extent cx="68580" cy="685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Non-clinical tests include laboratory evaluations of product chemistry, formulation and stability, as well as studies to evaluate toxicity in animals and other animal studies or through FDA-accepted alternative methods (New Approach Methodologies or NAMs).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7" w:name="page58"/>
    <w:bookmarkEnd w:id="57"/>
    <w:p>
      <w:pPr>
        <w:jc w:val="both"/>
        <w:spacing w:after="0" w:line="235" w:lineRule="auto"/>
        <w:rPr>
          <w:sz w:val="20"/>
          <w:szCs w:val="20"/>
          <w:color w:val="auto"/>
        </w:rPr>
      </w:pPr>
      <w:r>
        <w:rPr>
          <w:rFonts w:ascii="Times New Roman" w:cs="Times New Roman" w:eastAsia="Times New Roman" w:hAnsi="Times New Roman"/>
          <w:sz w:val="22"/>
          <w:szCs w:val="22"/>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3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Corporation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4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22"/>
          <w:szCs w:val="22"/>
          <w:i w:val="1"/>
          <w:iCs w:val="1"/>
          <w:color w:val="auto"/>
        </w:rPr>
        <w:t>False Claims Act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FCA</w:t>
      </w:r>
      <w:r>
        <w:rPr>
          <w:rFonts w:ascii="Times New Roman" w:cs="Times New Roman" w:eastAsia="Times New Roman" w:hAnsi="Times New Roman"/>
          <w:sz w:val="22"/>
          <w:szCs w:val="22"/>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Controlled Substances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Facilities that research,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DEA may inspect all research and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researchers and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ectPr>
          <w:pgSz w:w="11900" w:h="16838" w:orient="portrait"/>
          <w:cols w:equalWidth="0" w:num="1">
            <w:col w:w="11240"/>
          </w:cols>
          <w:pgMar w:left="320" w:top="112" w:right="339" w:bottom="856"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856" w:gutter="0" w:footer="0" w:header="0"/>
          <w:type w:val="continuous"/>
        </w:sectPr>
      </w:pPr>
    </w:p>
    <w:bookmarkStart w:id="59" w:name="page60"/>
    <w:bookmarkEnd w:id="59"/>
    <w:p>
      <w:pPr>
        <w:jc w:val="both"/>
        <w:spacing w:after="0" w:line="236" w:lineRule="auto"/>
        <w:rPr>
          <w:sz w:val="20"/>
          <w:szCs w:val="20"/>
          <w:color w:val="auto"/>
        </w:rPr>
      </w:pPr>
      <w:r>
        <w:rPr>
          <w:rFonts w:ascii="Times New Roman" w:cs="Times New Roman" w:eastAsia="Times New Roman" w:hAnsi="Times New Roman"/>
          <w:sz w:val="22"/>
          <w:szCs w:val="22"/>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including state specific controlled substance registration requirements. Failure to obtain applicable registrations or maintain compliance with applicable requirements, particularly as manifested in the loss or diversion of controlled substances, can result in enforcement action that could have a material adverse effect on the Corporation's business, operations and financial condition. The DEA and/or state regulatory agencies may seek civil penalties, refuse to renew necessary registrations, or initiate proceedings to revoke those registrations. In certain circumstances, violations could lead to criminal prosecution.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EU (Netherlands)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Regulation (EU) No 536/2014 on Clinical Trials on Medicinal Products for Human Use (the "</w:t>
      </w:r>
      <w:r>
        <w:rPr>
          <w:rFonts w:ascii="Times New Roman" w:cs="Times New Roman" w:eastAsia="Times New Roman" w:hAnsi="Times New Roman"/>
          <w:sz w:val="22"/>
          <w:szCs w:val="22"/>
          <w:b w:val="1"/>
          <w:bCs w:val="1"/>
          <w:color w:val="auto"/>
        </w:rPr>
        <w:t>CTR</w:t>
      </w:r>
      <w:r>
        <w:rPr>
          <w:rFonts w:ascii="Times New Roman" w:cs="Times New Roman" w:eastAsia="Times New Roman" w:hAnsi="Times New Roman"/>
          <w:sz w:val="22"/>
          <w:szCs w:val="22"/>
          <w:color w:val="auto"/>
        </w:rPr>
        <w:t>") is applicable as of January 31, 2022, harmonizing the laws, regulations and administrative provisions of the EU Member States relating to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implementation of Good Clinical Practice in the conduct of clinical trials on medicinal products for human use.</w:t>
      </w:r>
      <w:r>
        <w:rPr>
          <w:rFonts w:ascii="Times New Roman" w:cs="Times New Roman" w:eastAsia="Times New Roman" w:hAnsi="Times New Roman"/>
          <w:sz w:val="35"/>
          <w:szCs w:val="35"/>
          <w:color w:val="auto"/>
          <w:vertAlign w:val="superscript"/>
        </w:rPr>
        <w:t>14</w:t>
      </w:r>
      <w:r>
        <w:rPr>
          <w:rFonts w:ascii="Times New Roman" w:cs="Times New Roman" w:eastAsia="Times New Roman" w:hAnsi="Times New Roman"/>
          <w:sz w:val="22"/>
          <w:szCs w:val="22"/>
          <w:color w:val="auto"/>
        </w:rPr>
        <w:t xml:space="preserve"> EU Member States have transformed the requirements outlined in the Clinical Trials Directive into the respective national laws. Pursuant to the CTR, as of January 31, 2023 sponsors are obliged to use the Clinical Trials Information System ("</w:t>
      </w:r>
      <w:r>
        <w:rPr>
          <w:rFonts w:ascii="Times New Roman" w:cs="Times New Roman" w:eastAsia="Times New Roman" w:hAnsi="Times New Roman"/>
          <w:sz w:val="22"/>
          <w:szCs w:val="22"/>
          <w:b w:val="1"/>
          <w:bCs w:val="1"/>
          <w:color w:val="auto"/>
        </w:rPr>
        <w:t>CTIS</w:t>
      </w:r>
      <w:r>
        <w:rPr>
          <w:rFonts w:ascii="Times New Roman" w:cs="Times New Roman" w:eastAsia="Times New Roman" w:hAnsi="Times New Roman"/>
          <w:sz w:val="22"/>
          <w:szCs w:val="22"/>
          <w:color w:val="auto"/>
        </w:rPr>
        <w:t>")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Further, the European Medicines Agency ("</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adopted on October 5, 2023, the "Revised CTIS Transparency Rules" on publishing information about clinical trials submitted through CTIS. To increase transparency, EMA removed the deferral mechanism which allowed sponsors to delay certain data and document publication for up to seven years after the end of their trial. Annex I of the revised rules outlines the timing of information publication for each category of clinical trial and patient population. These new rules became applicable on June 18, 2024, the same day of the launch of the new CTIS portal. In order to smoothen the process of transitioning clinical trials from the Clinical Trial Directive to the CTR, a non-binding guide named "Guidance for the Transition of clinical trials from the Clinical Trials Directive to the Clinical Trials Regulation" (version 4) dated May 2024 is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11" w:lineRule="exact"/>
        <w:rPr>
          <w:sz w:val="20"/>
          <w:szCs w:val="20"/>
          <w:color w:val="auto"/>
        </w:rPr>
      </w:pPr>
    </w:p>
    <w:p>
      <w:pPr>
        <w:jc w:val="both"/>
        <w:ind w:firstLine="8"/>
        <w:spacing w:after="0" w:line="215" w:lineRule="auto"/>
        <w:tabs>
          <w:tab w:leader="none" w:pos="269" w:val="left"/>
        </w:tabs>
        <w:numPr>
          <w:ilvl w:val="0"/>
          <w:numId w:val="22"/>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The CTR does not apply in the UK and UK law on clinical trials is currently based on old EU law (the Clinical Trials Directive), transposed into UK law via the Medicines for Human Use (Clinical Trials) Regulations 2004. An overhaul of UK law on clinical trials has been on-going for a few years, and new legislation on clinical trials in the UK, the Medicines for Human Use (Clinical Trials) (Amendment) Regulations 2024, has been signed into law and is due to come into effect from mid-April 2026.</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jc w:val="both"/>
        <w:spacing w:after="0" w:line="248" w:lineRule="auto"/>
        <w:rPr>
          <w:sz w:val="20"/>
          <w:szCs w:val="20"/>
          <w:color w:val="auto"/>
        </w:rPr>
      </w:pPr>
      <w:r>
        <w:rPr>
          <w:rFonts w:ascii="Times New Roman" w:cs="Times New Roman" w:eastAsia="Times New Roman" w:hAnsi="Times New Roman"/>
          <w:sz w:val="21"/>
          <w:szCs w:val="21"/>
          <w:color w:val="auto"/>
        </w:rPr>
        <w:t>CTIS and the practical aspects thereof are also discussed and explained (among other relevant topics relating to clinical trials) in a quick guide on the rules and procedures of the EU Clinical Trials Regulation called "Clinical Trials Regulation (EU) 536/2014 in practice", which is published by the Clinical Trials Coordination and Advisory Group ("</w:t>
      </w:r>
      <w:r>
        <w:rPr>
          <w:rFonts w:ascii="Times New Roman" w:cs="Times New Roman" w:eastAsia="Times New Roman" w:hAnsi="Times New Roman"/>
          <w:sz w:val="21"/>
          <w:szCs w:val="21"/>
          <w:b w:val="1"/>
          <w:bCs w:val="1"/>
          <w:color w:val="auto"/>
        </w:rPr>
        <w:t>CTAG</w:t>
      </w:r>
      <w:r>
        <w:rPr>
          <w:rFonts w:ascii="Times New Roman" w:cs="Times New Roman" w:eastAsia="Times New Roman" w:hAnsi="Times New Roman"/>
          <w:sz w:val="21"/>
          <w:szCs w:val="21"/>
          <w:color w:val="auto"/>
        </w:rPr>
        <w:t>") on December 8, 2023. The objective of the rules is to provide sponsors and investigators a quick guide on the rules and procedures of the CTR with a view to facilitating implementation. In addition to the quick guide, CTAG also published a non-binding Questions &amp; Answers (Version 7.1) that should be read in conjunction with the quick guide and with the "Clinical Trials Information System (CTIS): online training modules" in order to gain a better understanding of the legislative changes that are effected by the CTR.</w:t>
      </w:r>
    </w:p>
    <w:p>
      <w:pPr>
        <w:spacing w:after="0" w:line="12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The Investigational Medicinal Product Dossier ("</w:t>
      </w:r>
      <w:r>
        <w:rPr>
          <w:rFonts w:ascii="Times New Roman" w:cs="Times New Roman" w:eastAsia="Times New Roman" w:hAnsi="Times New Roman"/>
          <w:sz w:val="22"/>
          <w:szCs w:val="22"/>
          <w:b w:val="1"/>
          <w:bCs w:val="1"/>
          <w:color w:val="auto"/>
        </w:rPr>
        <w:t>IMPD</w:t>
      </w:r>
      <w:r>
        <w:rPr>
          <w:rFonts w:ascii="Times New Roman" w:cs="Times New Roman" w:eastAsia="Times New Roman" w:hAnsi="Times New Roman"/>
          <w:sz w:val="22"/>
          <w:szCs w:val="22"/>
          <w:color w:val="auto"/>
        </w:rPr>
        <w:t>") is one of several regulatory documents required for conducting a clinical trial of a pharmacologically API intended for one or more EU Member States. The IMPD includes summaries of information related to the quality, manufacture and control of any IMP (including reference product and placebo),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w:t>
      </w:r>
      <w:r>
        <w:rPr>
          <w:rFonts w:ascii="Times New Roman" w:cs="Times New Roman" w:eastAsia="Times New Roman" w:hAnsi="Times New Roman"/>
          <w:sz w:val="22"/>
          <w:szCs w:val="22"/>
          <w:b w:val="1"/>
          <w:bCs w:val="1"/>
          <w:color w:val="auto"/>
        </w:rPr>
        <w:t>Clinical Trials Directive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3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3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Pharmaceutical Products</w:t>
      </w:r>
    </w:p>
    <w:p>
      <w:pPr>
        <w:spacing w:after="0" w:line="16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or Mutual Recognition procedures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EMA. Where the Centralized procedure is not available but a medicinal product is intended for several EU/EEA Member States, an application for a marketing authorization may be submitted with the competent authority of a single EU/ EEA Member State in accordance with the Decentralized procedure. When the assessment of the application results in a decision to grant the marketing authorization, this decision will be recognized by the competent authorities of the other Member States for which the marketing authorization is applied. The Mutual Recognition procedure is similar to the Decentralised procedure, but applies to applications where the medicinal product is already the subject of a marketing authorization in another EU/EEA Member State. Finally, should a medicinal product be intended for the Netherlands only, then the national procedure may be followed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Authorization Regulatory Process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87" w:orient="portrait"/>
          <w:cols w:equalWidth="0" w:num="1">
            <w:col w:w="11240"/>
          </w:cols>
          <w:pgMar w:left="320" w:top="110" w:right="339" w:bottom="0" w:gutter="0" w:footer="0" w:header="0"/>
          <w:type w:val="continuous"/>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0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275" cy="45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both"/>
        <w:spacing w:after="0" w:line="244" w:lineRule="auto"/>
        <w:rPr>
          <w:sz w:val="20"/>
          <w:szCs w:val="20"/>
          <w:color w:val="auto"/>
        </w:rPr>
      </w:pPr>
      <w:r>
        <w:rPr>
          <w:rFonts w:ascii="Times New Roman" w:cs="Times New Roman" w:eastAsia="Times New Roman" w:hAnsi="Times New Roman"/>
          <w:sz w:val="21"/>
          <w:szCs w:val="21"/>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21"/>
          <w:szCs w:val="21"/>
          <w:b w:val="1"/>
          <w:bCs w:val="1"/>
          <w:color w:val="auto"/>
        </w:rPr>
        <w:t>RMS</w:t>
      </w:r>
      <w:r>
        <w:rPr>
          <w:rFonts w:ascii="Times New Roman" w:cs="Times New Roman" w:eastAsia="Times New Roman" w:hAnsi="Times New Roman"/>
          <w:sz w:val="21"/>
          <w:szCs w:val="21"/>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21"/>
          <w:szCs w:val="21"/>
          <w:b w:val="1"/>
          <w:bCs w:val="1"/>
          <w:color w:val="auto"/>
        </w:rPr>
        <w:t>CMDh</w:t>
      </w:r>
      <w:r>
        <w:rPr>
          <w:rFonts w:ascii="Times New Roman" w:cs="Times New Roman" w:eastAsia="Times New Roman" w:hAnsi="Times New Roman"/>
          <w:sz w:val="21"/>
          <w:szCs w:val="21"/>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Patent Cooperation Treaty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The Patent Cooperation Treaty (the "</w:t>
      </w:r>
      <w:r>
        <w:rPr>
          <w:rFonts w:ascii="Times New Roman" w:cs="Times New Roman" w:eastAsia="Times New Roman" w:hAnsi="Times New Roman"/>
          <w:sz w:val="22"/>
          <w:szCs w:val="22"/>
          <w:b w:val="1"/>
          <w:bCs w:val="1"/>
          <w:color w:val="auto"/>
        </w:rPr>
        <w:t>PCT</w:t>
      </w:r>
      <w:r>
        <w:rPr>
          <w:rFonts w:ascii="Times New Roman" w:cs="Times New Roman" w:eastAsia="Times New Roman" w:hAnsi="Times New Roman"/>
          <w:sz w:val="22"/>
          <w:szCs w:val="22"/>
          <w:color w:val="auto"/>
        </w:rPr>
        <w:t>") facilitates filing for patent recognition in multiple jurisdictions simultaneously using a single uniform patent application. 157 countries, including Canada and the United States have ratified the PCT.</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2"/>
          <w:szCs w:val="22"/>
          <w:b w:val="1"/>
          <w:bCs w:val="1"/>
          <w:color w:val="auto"/>
        </w:rPr>
        <w:t>COMPLIANCE PROGRAM</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5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CAPITALIZATION</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Other than as disclosed herein and in the documents incorporated by reference in this Prospectus, there have been no material changes to the share and loan capitalization of the Corporation since the date of the Interim Financial Statements.</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table sets forth the consolidated capitalization of the Corporation as at September 16, 2025, the date immediately before the date of this Prospectus. This table should be read in conjunction with the Interim Financial Statements and the related notes and the Interim MD&amp;A that are incorporated by reference in this Prospectus. On September 19, 2024, the outstanding Common Shares were consolidated on the basis of one new Common Share for every 38 existing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All figures in the table below related to securities are represented on a post-Consolidation basis.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tbl>
      <w:tblPr>
        <w:tblLayout w:type="fixed"/>
        <w:tblInd w:w="114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Capital</w:t>
            </w:r>
          </w:p>
        </w:tc>
        <w:tc>
          <w:tcPr>
            <w:tcW w:w="448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September 16, 2025</w:t>
            </w:r>
          </w:p>
        </w:tc>
      </w:tr>
      <w:tr>
        <w:trPr>
          <w:trHeight w:val="250"/>
        </w:trPr>
        <w:tc>
          <w:tcPr>
            <w:tcW w:w="4320" w:type="dxa"/>
            <w:vAlign w:val="bottom"/>
            <w:tcBorders>
              <w:top w:val="single" w:sz="8" w:color="auto"/>
            </w:tcBorders>
            <w:shd w:val="clear" w:color="auto" w:fill="E6EFFF"/>
          </w:tcPr>
          <w:p>
            <w:pPr>
              <w:spacing w:after="0"/>
              <w:rPr>
                <w:sz w:val="20"/>
                <w:szCs w:val="20"/>
                <w:color w:val="auto"/>
              </w:rPr>
            </w:pPr>
            <w:r>
              <w:rPr>
                <w:rFonts w:ascii="Times New Roman" w:cs="Times New Roman" w:eastAsia="Times New Roman" w:hAnsi="Times New Roman"/>
                <w:sz w:val="18"/>
                <w:szCs w:val="18"/>
                <w:color w:val="auto"/>
              </w:rPr>
              <w:t>Loans and Borrowings</w:t>
            </w:r>
          </w:p>
        </w:tc>
        <w:tc>
          <w:tcPr>
            <w:tcW w:w="180" w:type="dxa"/>
            <w:vAlign w:val="bottom"/>
            <w:tcBorders>
              <w:top w:val="single" w:sz="8" w:color="E6EFFF"/>
            </w:tcBorders>
            <w:shd w:val="clear" w:color="auto" w:fill="E6EFFF"/>
          </w:tcPr>
          <w:p>
            <w:pPr>
              <w:spacing w:after="0"/>
              <w:rPr>
                <w:sz w:val="21"/>
                <w:szCs w:val="21"/>
                <w:color w:val="auto"/>
              </w:rPr>
            </w:pPr>
          </w:p>
        </w:tc>
        <w:tc>
          <w:tcPr>
            <w:tcW w:w="4480" w:type="dxa"/>
            <w:vAlign w:val="bottom"/>
            <w:tcBorders>
              <w:top w:val="single" w:sz="8" w:color="auto"/>
            </w:tcBorders>
            <w:shd w:val="clear" w:color="auto" w:fill="E6EFFF"/>
          </w:tcPr>
          <w:p>
            <w:pPr>
              <w:jc w:val="center"/>
              <w:spacing w:after="0" w:line="250" w:lineRule="exact"/>
              <w:rPr>
                <w:sz w:val="20"/>
                <w:szCs w:val="20"/>
                <w:color w:val="auto"/>
              </w:rPr>
            </w:pPr>
            <w:r>
              <w:rPr>
                <w:rFonts w:ascii="Times New Roman" w:cs="Times New Roman" w:eastAsia="Times New Roman" w:hAnsi="Times New Roman"/>
                <w:sz w:val="17"/>
                <w:szCs w:val="17"/>
                <w:color w:val="auto"/>
                <w:w w:val="99"/>
              </w:rPr>
              <w:t>$34,750,000</w:t>
            </w:r>
            <w:r>
              <w:rPr>
                <w:rFonts w:ascii="Times New Roman" w:cs="Times New Roman" w:eastAsia="Times New Roman" w:hAnsi="Times New Roman"/>
                <w:sz w:val="28"/>
                <w:szCs w:val="28"/>
                <w:color w:val="auto"/>
                <w:w w:val="99"/>
                <w:vertAlign w:val="superscript"/>
              </w:rPr>
              <w:t>(2)</w:t>
            </w:r>
          </w:p>
        </w:tc>
      </w:tr>
      <w:tr>
        <w:trPr>
          <w:trHeight w:val="25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448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4"/>
              </w:rPr>
              <w:t>25,188,217</w:t>
            </w:r>
            <w:r>
              <w:rPr>
                <w:rFonts w:ascii="Times New Roman" w:cs="Times New Roman" w:eastAsia="Times New Roman" w:hAnsi="Times New Roman"/>
                <w:sz w:val="29"/>
                <w:szCs w:val="29"/>
                <w:color w:val="auto"/>
                <w:w w:val="94"/>
                <w:vertAlign w:val="superscript"/>
              </w:rPr>
              <w:t>(3)</w:t>
            </w:r>
          </w:p>
        </w:tc>
      </w:tr>
      <w:tr>
        <w:trPr>
          <w:trHeight w:val="256"/>
        </w:trPr>
        <w:tc>
          <w:tcPr>
            <w:tcW w:w="4500" w:type="dxa"/>
            <w:vAlign w:val="bottom"/>
            <w:gridSpan w:val="2"/>
            <w:shd w:val="clear" w:color="auto" w:fill="E6EF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480" w:type="dxa"/>
            <w:vAlign w:val="bottom"/>
            <w:shd w:val="clear" w:color="auto" w:fill="E6EFFF"/>
          </w:tcPr>
          <w:p>
            <w:pPr>
              <w:jc w:val="center"/>
              <w:spacing w:after="0" w:line="256" w:lineRule="exact"/>
              <w:rPr>
                <w:sz w:val="20"/>
                <w:szCs w:val="20"/>
                <w:color w:val="auto"/>
              </w:rPr>
            </w:pPr>
            <w:r>
              <w:rPr>
                <w:rFonts w:ascii="Times New Roman" w:cs="Times New Roman" w:eastAsia="Times New Roman" w:hAnsi="Times New Roman"/>
                <w:sz w:val="18"/>
                <w:szCs w:val="18"/>
                <w:color w:val="auto"/>
                <w:w w:val="95"/>
              </w:rPr>
              <w:t>3,994,716</w:t>
            </w:r>
            <w:r>
              <w:rPr>
                <w:rFonts w:ascii="Times New Roman" w:cs="Times New Roman" w:eastAsia="Times New Roman" w:hAnsi="Times New Roman"/>
                <w:sz w:val="29"/>
                <w:szCs w:val="29"/>
                <w:color w:val="auto"/>
                <w:w w:val="95"/>
                <w:vertAlign w:val="superscript"/>
              </w:rPr>
              <w:t>(4)</w:t>
            </w:r>
          </w:p>
        </w:tc>
      </w:tr>
      <w:tr>
        <w:trPr>
          <w:trHeight w:val="39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 purchase warrants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2,796,197</w:t>
            </w:r>
            <w:r>
              <w:rPr>
                <w:rFonts w:ascii="Times New Roman" w:cs="Times New Roman" w:eastAsia="Times New Roman" w:hAnsi="Times New Roman"/>
                <w:sz w:val="29"/>
                <w:szCs w:val="29"/>
                <w:color w:val="auto"/>
                <w:w w:val="95"/>
                <w:vertAlign w:val="superscript"/>
              </w:rPr>
              <w:t>(5)</w:t>
            </w:r>
          </w:p>
        </w:tc>
      </w:tr>
    </w:tbl>
    <w:p>
      <w:pPr>
        <w:spacing w:after="0" w:line="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183" w:lineRule="exact"/>
        <w:rPr>
          <w:sz w:val="20"/>
          <w:szCs w:val="20"/>
          <w:color w:val="auto"/>
        </w:rPr>
      </w:pPr>
    </w:p>
    <w:p>
      <w:pPr>
        <w:ind w:left="900" w:hanging="460"/>
        <w:spacing w:after="0"/>
        <w:tabs>
          <w:tab w:leader="none" w:pos="9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amount of Convertible Debentures issued and outstanding.</w:t>
      </w:r>
    </w:p>
    <w:p>
      <w:pPr>
        <w:spacing w:after="0" w:line="14"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the Interim Financial Statements, an aggregate of (i) 1,590,298 Common Shares were issued on conversion of the Convertible Debentures, and (ii) 7,894 Common Shares were issued upon exercise of certain options to purchase Common Shares.</w:t>
      </w:r>
    </w:p>
    <w:p>
      <w:pPr>
        <w:spacing w:after="0" w:line="1" w:lineRule="exact"/>
        <w:rPr>
          <w:rFonts w:ascii="Times New Roman" w:cs="Times New Roman" w:eastAsia="Times New Roman" w:hAnsi="Times New Roman"/>
          <w:sz w:val="22"/>
          <w:szCs w:val="22"/>
          <w:color w:val="auto"/>
        </w:rPr>
      </w:pPr>
    </w:p>
    <w:p>
      <w:pPr>
        <w:jc w:val="both"/>
        <w:ind w:left="880" w:hanging="440"/>
        <w:spacing w:after="0" w:line="230" w:lineRule="auto"/>
        <w:tabs>
          <w:tab w:leader="none" w:pos="9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August 15, 2025, options to purchase an aggregate of 53,800 Common Shares at an exercise price of $10.00 per Common Share and options to purchase an aggregate of 80,000 Common Shares at an exercise price of $11.00 per Common Share were granted under the Corporation’s equity incentive plan (the "</w:t>
      </w:r>
      <w:r>
        <w:rPr>
          <w:rFonts w:ascii="Times New Roman" w:cs="Times New Roman" w:eastAsia="Times New Roman" w:hAnsi="Times New Roman"/>
          <w:sz w:val="22"/>
          <w:szCs w:val="22"/>
          <w:b w:val="1"/>
          <w:bCs w:val="1"/>
          <w:color w:val="auto"/>
        </w:rPr>
        <w:t>Equity Incentive Plan</w:t>
      </w:r>
      <w:r>
        <w:rPr>
          <w:rFonts w:ascii="Times New Roman" w:cs="Times New Roman" w:eastAsia="Times New Roman" w:hAnsi="Times New Roman"/>
          <w:sz w:val="22"/>
          <w:szCs w:val="22"/>
          <w:color w:val="auto"/>
        </w:rPr>
        <w:t>"). On August 29, 2025, options to purchase an aggregate of 15,000 Common Shares at an exercise price of $11.00 per Common Share were granted under the Equity Incentive Plan.</w:t>
      </w:r>
    </w:p>
    <w:p>
      <w:pPr>
        <w:spacing w:after="0" w:line="2" w:lineRule="exact"/>
        <w:rPr>
          <w:rFonts w:ascii="Times New Roman" w:cs="Times New Roman" w:eastAsia="Times New Roman" w:hAnsi="Times New Roman"/>
          <w:sz w:val="22"/>
          <w:szCs w:val="22"/>
          <w:color w:val="auto"/>
        </w:rPr>
      </w:pPr>
    </w:p>
    <w:p>
      <w:pPr>
        <w:jc w:val="both"/>
        <w:ind w:left="880" w:hanging="440"/>
        <w:spacing w:after="0" w:line="234" w:lineRule="auto"/>
        <w:tabs>
          <w:tab w:leader="none" w:pos="91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ease of reference, the Common Share purchase warrants are presented above on a post-Consolidation basis however, the total number of Common Share purchase warrants outstanding have not been consolidated. Rather, the exchange ratio was adjusted on the Consolidation such that the number of Common Shares underlying each Common Share purchase warrant was consolidated.</w:t>
      </w:r>
    </w:p>
    <w:p>
      <w:pPr>
        <w:spacing w:after="0" w:line="1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Times New Roman" w:cs="Times New Roman" w:eastAsia="Times New Roman" w:hAnsi="Times New Roman"/>
          <w:sz w:val="22"/>
          <w:szCs w:val="22"/>
          <w:i w:val="1"/>
          <w:iCs w:val="1"/>
          <w:color w:val="auto"/>
        </w:rPr>
        <w:t>"Risk Factors - Risks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Related to an Offering - Discretion over the Use of Proceeds"</w:t>
      </w:r>
      <w:r>
        <w:rPr>
          <w:rFonts w:ascii="Times New Roman" w:cs="Times New Roman" w:eastAsia="Times New Roman" w:hAnsi="Times New Roman"/>
          <w:sz w:val="22"/>
          <w:szCs w:val="22"/>
          <w:color w:val="auto"/>
        </w:rPr>
        <w:t>. The Corporation will not receive any proceeds from any sale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by a Selling Securityholder.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Sources and Uses of Capital</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As at September 16, 2025, the Corporation had approximately US$92,200,000 in cash. As at September 16, 2025, the Corporation anticipates that it will require approximately US$92,200,000 to continue operations over the next 12 months, including funding towards the achievement of the next significant milestone under the Corporation’s Deuterated Psilocin Program (CYB003), Deuterated Dimethyltryptamine Program (CYB004), and Phenethylamine and Tryptamine Derivatives Program (CYB005).</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may be required to reduce its general and administrative expenses if it does not have sufficient capital to meet its below stated objectives, or it may allocate its financial resources differently than listed below. The expected reduction in future expenditures, absent any capital injections, compared to the Corporation's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next significant milestones under each of these programs.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62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12 Month Use</w:t>
            </w: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Anticipated Timeline</w:t>
            </w:r>
          </w:p>
        </w:tc>
        <w:tc>
          <w:tcPr>
            <w:tcW w:w="0" w:type="dxa"/>
            <w:vAlign w:val="bottom"/>
          </w:tcPr>
          <w:p>
            <w:pPr>
              <w:spacing w:after="0"/>
              <w:rPr>
                <w:sz w:val="1"/>
                <w:szCs w:val="1"/>
                <w:color w:val="auto"/>
              </w:rPr>
            </w:pPr>
          </w:p>
        </w:tc>
      </w:tr>
      <w:tr>
        <w:trPr>
          <w:trHeight w:val="221"/>
        </w:trPr>
        <w:tc>
          <w:tcPr>
            <w:tcW w:w="7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29"/>
                <w:szCs w:val="29"/>
                <w:b w:val="1"/>
                <w:bCs w:val="1"/>
                <w:color w:val="auto"/>
                <w:vertAlign w:val="superscript"/>
              </w:rPr>
              <w:t>(1)</w:t>
            </w:r>
          </w:p>
        </w:tc>
        <w:tc>
          <w:tcPr>
            <w:tcW w:w="1660" w:type="dxa"/>
            <w:vAlign w:val="bottom"/>
            <w:gridSpan w:val="2"/>
          </w:tcPr>
          <w:p>
            <w:pPr>
              <w:jc w:val="center"/>
              <w:ind w:right="100"/>
              <w:spacing w:after="0" w:line="221" w:lineRule="exact"/>
              <w:rPr>
                <w:sz w:val="20"/>
                <w:szCs w:val="20"/>
                <w:color w:val="auto"/>
              </w:rPr>
            </w:pPr>
            <w:r>
              <w:rPr>
                <w:rFonts w:ascii="Times New Roman" w:cs="Times New Roman" w:eastAsia="Times New Roman" w:hAnsi="Times New Roman"/>
                <w:sz w:val="16"/>
                <w:szCs w:val="16"/>
                <w:b w:val="1"/>
                <w:bCs w:val="1"/>
                <w:color w:val="auto"/>
              </w:rPr>
              <w:t>of Funds</w:t>
            </w:r>
            <w:r>
              <w:rPr>
                <w:rFonts w:ascii="Times New Roman" w:cs="Times New Roman" w:eastAsia="Times New Roman" w:hAnsi="Times New Roman"/>
                <w:sz w:val="25"/>
                <w:szCs w:val="25"/>
                <w:b w:val="1"/>
                <w:bCs w:val="1"/>
                <w:color w:val="auto"/>
                <w:vertAlign w:val="superscript"/>
              </w:rPr>
              <w:t>(2)(3)</w:t>
            </w:r>
          </w:p>
        </w:tc>
        <w:tc>
          <w:tcPr>
            <w:tcW w:w="1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vMerge w:val="continue"/>
          </w:tcPr>
          <w:p>
            <w:pPr>
              <w:spacing w:after="0"/>
              <w:rPr>
                <w:sz w:val="23"/>
                <w:szCs w:val="2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96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for Completion</w:t>
            </w:r>
            <w:r>
              <w:rPr>
                <w:rFonts w:ascii="Times New Roman" w:cs="Times New Roman" w:eastAsia="Times New Roman" w:hAnsi="Times New Roman"/>
                <w:sz w:val="29"/>
                <w:szCs w:val="29"/>
                <w:b w:val="1"/>
                <w:bCs w:val="1"/>
                <w:color w:val="auto"/>
                <w:w w:val="95"/>
                <w:vertAlign w:val="superscript"/>
              </w:rPr>
              <w:t>(4)</w:t>
            </w:r>
          </w:p>
        </w:tc>
        <w:tc>
          <w:tcPr>
            <w:tcW w:w="0" w:type="dxa"/>
            <w:vAlign w:val="bottom"/>
          </w:tcPr>
          <w:p>
            <w:pPr>
              <w:spacing w:after="0"/>
              <w:rPr>
                <w:sz w:val="1"/>
                <w:szCs w:val="1"/>
                <w:color w:val="auto"/>
              </w:rPr>
            </w:pPr>
          </w:p>
        </w:tc>
      </w:tr>
      <w:tr>
        <w:trPr>
          <w:trHeight w:val="237"/>
        </w:trPr>
        <w:tc>
          <w:tcPr>
            <w:tcW w:w="7620" w:type="dxa"/>
            <w:vAlign w:val="bottom"/>
            <w:tcBorders>
              <w:top w:val="single" w:sz="8" w:color="E6EFFF"/>
            </w:tcBorders>
            <w:shd w:val="clear" w:color="auto" w:fill="E6EFFF"/>
          </w:tcPr>
          <w:p>
            <w:pPr>
              <w:spacing w:after="0" w:line="236" w:lineRule="exact"/>
              <w:rPr>
                <w:sz w:val="20"/>
                <w:szCs w:val="20"/>
                <w:color w:val="auto"/>
              </w:rPr>
            </w:pPr>
            <w:r>
              <w:rPr>
                <w:rFonts w:ascii="Times New Roman" w:cs="Times New Roman" w:eastAsia="Times New Roman" w:hAnsi="Times New Roman"/>
                <w:sz w:val="17"/>
                <w:szCs w:val="17"/>
                <w:color w:val="auto"/>
              </w:rPr>
              <w:t>Deuterated Psilocin Program (CYB003)</w:t>
            </w:r>
            <w:r>
              <w:rPr>
                <w:rFonts w:ascii="Times New Roman" w:cs="Times New Roman" w:eastAsia="Times New Roman" w:hAnsi="Times New Roman"/>
                <w:sz w:val="27"/>
                <w:szCs w:val="27"/>
                <w:color w:val="auto"/>
                <w:vertAlign w:val="superscript"/>
              </w:rPr>
              <w:t>(5)</w:t>
            </w:r>
          </w:p>
        </w:tc>
        <w:tc>
          <w:tcPr>
            <w:tcW w:w="14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1740" w:type="dxa"/>
            <w:vAlign w:val="bottom"/>
            <w:tcBorders>
              <w:top w:val="single" w:sz="8" w:color="auto"/>
            </w:tcBorders>
            <w:shd w:val="clear" w:color="auto" w:fill="E6EFFF"/>
          </w:tcPr>
          <w:p>
            <w:pPr>
              <w:spacing w:after="0"/>
              <w:rPr>
                <w:sz w:val="20"/>
                <w:szCs w:val="20"/>
                <w:color w:val="auto"/>
              </w:rPr>
            </w:pPr>
          </w:p>
        </w:tc>
        <w:tc>
          <w:tcPr>
            <w:tcW w:w="220" w:type="dxa"/>
            <w:vAlign w:val="bottom"/>
            <w:tcBorders>
              <w:top w:val="single" w:sz="8" w:color="E6EFFF"/>
            </w:tcBorders>
            <w:shd w:val="clear" w:color="auto" w:fill="E6E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Provide topline efficacy data readout from the first Phase 3 study, APPROACH</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27,717,000</w:t>
            </w:r>
          </w:p>
        </w:tc>
        <w:tc>
          <w:tcPr>
            <w:tcW w:w="220" w:type="dxa"/>
            <w:vAlign w:val="bottom"/>
          </w:tcPr>
          <w:p>
            <w:pPr>
              <w:spacing w:after="0"/>
              <w:rPr>
                <w:sz w:val="18"/>
                <w:szCs w:val="18"/>
                <w:color w:val="auto"/>
              </w:rPr>
            </w:pP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Progression of the second Phase 3 study, EMBRACE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w w:val="98"/>
              </w:rPr>
              <w:t>24,368,000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5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Progression of the third Phase 3 study, EXTEND</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23,923,000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89"/>
              </w:rPr>
              <w:t>N/A</w:t>
            </w:r>
            <w:r>
              <w:rPr>
                <w:rFonts w:ascii="Times New Roman" w:cs="Times New Roman" w:eastAsia="Times New Roman" w:hAnsi="Times New Roman"/>
                <w:sz w:val="29"/>
                <w:szCs w:val="29"/>
                <w:color w:val="auto"/>
                <w:w w:val="89"/>
                <w:vertAlign w:val="superscript"/>
              </w:rPr>
              <w:t>(7)</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color w:val="auto"/>
              </w:rPr>
              <w:t>Deuterated Dimethyltryptamine Program (CYB004)</w:t>
            </w:r>
          </w:p>
        </w:tc>
        <w:tc>
          <w:tcPr>
            <w:tcW w:w="14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Complete the Phase 2 GAD study</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1,548,000</w:t>
            </w:r>
          </w:p>
        </w:tc>
        <w:tc>
          <w:tcPr>
            <w:tcW w:w="220" w:type="dxa"/>
            <w:vAlign w:val="bottom"/>
          </w:tcPr>
          <w:p>
            <w:pPr>
              <w:spacing w:after="0"/>
              <w:rPr>
                <w:sz w:val="22"/>
                <w:szCs w:val="22"/>
                <w:color w:val="auto"/>
              </w:rPr>
            </w:pPr>
          </w:p>
        </w:tc>
        <w:tc>
          <w:tcPr>
            <w:tcW w:w="19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6"/>
              </w:rPr>
              <w:t>December 2025</w:t>
            </w:r>
            <w:r>
              <w:rPr>
                <w:rFonts w:ascii="Times New Roman" w:cs="Times New Roman" w:eastAsia="Times New Roman" w:hAnsi="Times New Roman"/>
                <w:sz w:val="29"/>
                <w:szCs w:val="29"/>
                <w:color w:val="auto"/>
                <w:w w:val="96"/>
                <w:vertAlign w:val="superscript"/>
              </w:rPr>
              <w:t>(8)</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Provide topline data readout from the Phase 2 GAD study</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594,000</w:t>
            </w:r>
          </w:p>
        </w:tc>
        <w:tc>
          <w:tcPr>
            <w:tcW w:w="220" w:type="dxa"/>
            <w:vAlign w:val="bottom"/>
            <w:shd w:val="clear" w:color="auto" w:fill="E6EFFF"/>
          </w:tcPr>
          <w:p>
            <w:pPr>
              <w:spacing w:after="0"/>
              <w:rPr>
                <w:sz w:val="18"/>
                <w:szCs w:val="18"/>
                <w:color w:val="auto"/>
              </w:rPr>
            </w:pPr>
          </w:p>
        </w:tc>
        <w:tc>
          <w:tcPr>
            <w:tcW w:w="1960" w:type="dxa"/>
            <w:vAlign w:val="bottom"/>
            <w:gridSpan w:val="2"/>
            <w:shd w:val="clear" w:color="auto" w:fill="E6EF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Phenethylamine and Tryptamine Derivatives Program (CYB005)</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20" w:type="dxa"/>
            <w:vAlign w:val="bottom"/>
            <w:shd w:val="clear" w:color="auto" w:fill="E6EFFF"/>
          </w:tcPr>
          <w:p>
            <w:pPr>
              <w:ind w:left="260"/>
              <w:spacing w:after="0"/>
              <w:rPr>
                <w:sz w:val="20"/>
                <w:szCs w:val="20"/>
                <w:color w:val="auto"/>
              </w:rPr>
            </w:pPr>
            <w:r>
              <w:rPr>
                <w:rFonts w:ascii="Times New Roman" w:cs="Times New Roman" w:eastAsia="Times New Roman" w:hAnsi="Times New Roman"/>
                <w:sz w:val="18"/>
                <w:szCs w:val="18"/>
                <w:color w:val="auto"/>
              </w:rPr>
              <w:t>Deliver a drug development candidate</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color w:val="auto"/>
              </w:rPr>
              <w:t>346,000</w:t>
            </w:r>
          </w:p>
        </w:tc>
        <w:tc>
          <w:tcPr>
            <w:tcW w:w="220" w:type="dxa"/>
            <w:vAlign w:val="bottom"/>
            <w:shd w:val="clear" w:color="auto" w:fill="E6EFFF"/>
          </w:tcPr>
          <w:p>
            <w:pPr>
              <w:spacing w:after="0"/>
              <w:rPr>
                <w:sz w:val="22"/>
                <w:szCs w:val="22"/>
                <w:color w:val="auto"/>
              </w:rPr>
            </w:pPr>
          </w:p>
        </w:tc>
        <w:tc>
          <w:tcPr>
            <w:tcW w:w="1960" w:type="dxa"/>
            <w:vAlign w:val="bottom"/>
            <w:gridSpan w:val="2"/>
            <w:shd w:val="clear" w:color="auto" w:fill="E6EFFF"/>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4"/>
              </w:rPr>
              <w:t>Q3 2026</w:t>
            </w:r>
            <w:r>
              <w:rPr>
                <w:rFonts w:ascii="Times New Roman" w:cs="Times New Roman" w:eastAsia="Times New Roman" w:hAnsi="Times New Roman"/>
                <w:sz w:val="29"/>
                <w:szCs w:val="29"/>
                <w:color w:val="auto"/>
                <w:w w:val="94"/>
                <w:vertAlign w:val="superscript"/>
              </w:rPr>
              <w:t>(9)</w:t>
            </w:r>
          </w:p>
        </w:tc>
        <w:tc>
          <w:tcPr>
            <w:tcW w:w="0" w:type="dxa"/>
            <w:vAlign w:val="bottom"/>
          </w:tcPr>
          <w:p>
            <w:pPr>
              <w:spacing w:after="0"/>
              <w:rPr>
                <w:sz w:val="1"/>
                <w:szCs w:val="1"/>
                <w:color w:val="auto"/>
              </w:rPr>
            </w:pPr>
          </w:p>
        </w:tc>
      </w:tr>
      <w:tr>
        <w:trPr>
          <w:trHeight w:val="256"/>
        </w:trPr>
        <w:tc>
          <w:tcPr>
            <w:tcW w:w="7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Working Capital, and General Corporate Purposes</w:t>
            </w:r>
            <w:r>
              <w:rPr>
                <w:rFonts w:ascii="Times New Roman" w:cs="Times New Roman" w:eastAsia="Times New Roman" w:hAnsi="Times New Roman"/>
                <w:sz w:val="29"/>
                <w:szCs w:val="29"/>
                <w:color w:val="auto"/>
                <w:vertAlign w:val="superscript"/>
              </w:rPr>
              <w:t>(6)</w:t>
            </w:r>
          </w:p>
        </w:tc>
        <w:tc>
          <w:tcPr>
            <w:tcW w:w="144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8"/>
              </w:rPr>
              <w:t>13,704,000</w:t>
            </w:r>
          </w:p>
        </w:tc>
        <w:tc>
          <w:tcPr>
            <w:tcW w:w="220" w:type="dxa"/>
            <w:vAlign w:val="bottom"/>
          </w:tcPr>
          <w:p>
            <w:pPr>
              <w:spacing w:after="0"/>
              <w:rPr>
                <w:sz w:val="22"/>
                <w:szCs w:val="2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6"/>
        </w:trPr>
        <w:tc>
          <w:tcPr>
            <w:tcW w:w="7620" w:type="dxa"/>
            <w:vAlign w:val="bottom"/>
            <w:shd w:val="clear" w:color="auto" w:fill="E6E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shd w:val="clear" w:color="auto" w:fill="E6EFFF"/>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8"/>
              </w:rPr>
              <w:t>92,200,000</w:t>
            </w:r>
          </w:p>
        </w:tc>
        <w:tc>
          <w:tcPr>
            <w:tcW w:w="220" w:type="dxa"/>
            <w:vAlign w:val="bottom"/>
            <w:shd w:val="clear" w:color="auto" w:fill="E6EFFF"/>
          </w:tcPr>
          <w:p>
            <w:pPr>
              <w:spacing w:after="0"/>
              <w:rPr>
                <w:sz w:val="18"/>
                <w:szCs w:val="18"/>
                <w:color w:val="auto"/>
              </w:rPr>
            </w:pPr>
          </w:p>
        </w:tc>
        <w:tc>
          <w:tcPr>
            <w:tcW w:w="1740" w:type="dxa"/>
            <w:vAlign w:val="bottom"/>
            <w:shd w:val="clear" w:color="auto" w:fill="E6EFFF"/>
          </w:tcPr>
          <w:p>
            <w:pPr>
              <w:spacing w:after="0"/>
              <w:rPr>
                <w:sz w:val="18"/>
                <w:szCs w:val="18"/>
                <w:color w:val="auto"/>
              </w:rPr>
            </w:pPr>
          </w:p>
        </w:tc>
        <w:tc>
          <w:tcPr>
            <w:tcW w:w="220" w:type="dxa"/>
            <w:vAlign w:val="bottom"/>
            <w:shd w:val="clear" w:color="auto" w:fill="E6EFFF"/>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Notes:</w:t>
      </w:r>
    </w:p>
    <w:p>
      <w:pPr>
        <w:spacing w:after="0" w:line="183" w:lineRule="exact"/>
        <w:rPr>
          <w:sz w:val="20"/>
          <w:szCs w:val="20"/>
          <w:color w:val="auto"/>
        </w:rPr>
      </w:pPr>
    </w:p>
    <w:p>
      <w:pPr>
        <w:ind w:left="660" w:hanging="436"/>
        <w:spacing w:after="0" w:line="241"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see the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April 1, 2025, the Corporation changed its presentation currency from the Canadian dollar to the United States dollar . The change in presentation currency was made to better reflect the Corporation’s operations, align with the currency in which the majority of cash based expenses are denominated, and improve comparability of its financial results with other publicly traded businesses in the industry. As a result, all amounts presented under the heading “ Sources and Uses of Capital” are in United States dollar unless otherwise stated.</w:t>
      </w:r>
    </w:p>
    <w:p>
      <w:pPr>
        <w:spacing w:after="0" w:line="2" w:lineRule="exact"/>
        <w:rPr>
          <w:rFonts w:ascii="Times New Roman" w:cs="Times New Roman" w:eastAsia="Times New Roman" w:hAnsi="Times New Roman"/>
          <w:sz w:val="22"/>
          <w:szCs w:val="22"/>
          <w:color w:val="auto"/>
        </w:rPr>
      </w:pPr>
    </w:p>
    <w:p>
      <w:pPr>
        <w:ind w:left="700" w:hanging="476"/>
        <w:spacing w:after="0" w:line="230" w:lineRule="auto"/>
        <w:tabs>
          <w:tab w:leader="none" w:pos="7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proceeds from private placements and offerings previously disclosed.</w:t>
      </w:r>
    </w:p>
    <w:p>
      <w:pPr>
        <w:jc w:val="both"/>
        <w:ind w:left="660" w:hanging="436"/>
        <w:spacing w:after="0" w:line="230"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Anticipated timeline for completion is based on the calendar year. Anticipated spending and timelines regarding drug development are based on reasonable assumptions informed by current knowledge and information available to the Corporation.</w:t>
      </w:r>
    </w:p>
    <w:p>
      <w:pPr>
        <w:spacing w:after="0" w:line="1" w:lineRule="exact"/>
        <w:rPr>
          <w:rFonts w:ascii="Times New Roman" w:cs="Times New Roman" w:eastAsia="Times New Roman" w:hAnsi="Times New Roman"/>
          <w:sz w:val="22"/>
          <w:szCs w:val="22"/>
          <w:color w:val="auto"/>
        </w:rPr>
      </w:pPr>
    </w:p>
    <w:p>
      <w:pPr>
        <w:jc w:val="both"/>
        <w:ind w:left="660" w:hanging="436"/>
        <w:spacing w:after="0" w:line="230"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Corporation's APPROACH trial participants (n=220) will be randomized 1:1 to receive 16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APPROACH is expected to enroll at approximately 45 clinical sites across the U.S. The Corporation's EMBRACE trial participants (n=330) will be randomized 1:1:1 to receive 16 mg of CYB003 (n=110), 8 mg of CYB003 (n=110), or inactive placebo (n=110). Each arm will evaluate a two-dose regimen, with doses administered three weeks apart. The study will enroll patients suffering from moderate to severe MDD (MADRS≥24) who are on a stable dose of antidepressant medication but are responding inadequately. The primary endpoint will be change in depressive symptoms as measured by change in MADRS from baseline at six weeks after the first dose. EMBRACE is expected to enroll at approximately 60 clinical sites, with minimal site overlap with the APPROACH study. Participants (up to n=550) from APPROACH and EMBRACE will roll over into EXTEND, the Corporation's Phase 3 Pivotal study 3 trial, after the completion of the 12-week, double-blind, placebo-controlled treatment periods. During EXTEND, all participants who did not respond to treatment in the APPROACH and EMBRACE studies or who relapse during the EXTEND study will be eligible to receive an additional two doses of CYB003 (16 mg) administered three weeks apart. Participants who do not respond to these two doses or relapse again will be eligible to receive an additional single 16 mg dose of CYB003. The Corporation has engaged Worldwide Clinical Trials Inc, a full-service contract research organization with deep expertise in central nervous system drug development, to carry out the Phase 3 pivotal studies of CYB003. The Corporation cannot at this time estimate the cost of bringing CYB003 drug candidate to market as much of the associated costs depend on the outcomes of the phase III pivotal clinical trials. Further, there is no assurance that the aforementioned timelines will be met or that such studies will be completed. Anticipated timelines regarding drug development and recruitment of patients for participation in clinical trials are dependent on various factors and are based on reasonable assumptions informed by current knowledge and information available to the Corporation. Such statements are informed by, among other things, eligibility and exclusion criteria for the trial, design of the clinical trial, competition with other companies for clinical sites or patients, perceived risks and benefits of the prescription drug product candidate, the number, availability, location and accessibility of clinical trial sites,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6" w:lineRule="exact"/>
        <w:rPr>
          <w:rFonts w:ascii="Times New Roman" w:cs="Times New Roman" w:eastAsia="Times New Roman" w:hAnsi="Times New Roman"/>
          <w:sz w:val="22"/>
          <w:szCs w:val="22"/>
          <w:color w:val="auto"/>
        </w:rPr>
      </w:pPr>
    </w:p>
    <w:p>
      <w:pPr>
        <w:jc w:val="both"/>
        <w:ind w:left="660" w:hanging="436"/>
        <w:spacing w:after="0" w:line="234" w:lineRule="auto"/>
        <w:tabs>
          <w:tab w:leader="none" w:pos="6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personnel costs, professional services, overhead expenses and general expenses to be incurred by the Corporation in the normal course of business. In addition, the Corporation intends to use a portion of these proceeds to continue funding both its Deuterated Psilocin Program and Deuterated Dimethyltryptamine Program. The allocation between and specific milestones within these programs have not yet been determined.</w:t>
      </w:r>
    </w:p>
    <w:p>
      <w:pPr>
        <w:sectPr>
          <w:pgSz w:w="11900" w:h="16838" w:orient="portrait"/>
          <w:cols w:equalWidth="0" w:num="1">
            <w:col w:w="11240"/>
          </w:cols>
          <w:pgMar w:left="320" w:top="360" w:right="339" w:bottom="424" w:gutter="0" w:footer="0" w:header="0"/>
        </w:sectPr>
      </w:pP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0" w:right="339" w:bottom="424" w:gutter="0" w:footer="0" w:header="0"/>
          <w:type w:val="continuous"/>
        </w:sectPr>
      </w:pPr>
    </w:p>
    <w:bookmarkStart w:id="67" w:name="page68"/>
    <w:bookmarkEnd w:id="67"/>
    <w:p>
      <w:pPr>
        <w:ind w:left="660" w:hanging="436"/>
        <w:spacing w:after="0" w:line="242"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progress the Phase 3 study EMBRACE and Phase 3 study EXTEND over the next 12 months however, these studies are not anticipated to be completed within the 12 month timeframe.</w:t>
      </w:r>
    </w:p>
    <w:p>
      <w:pPr>
        <w:jc w:val="both"/>
        <w:ind w:left="660" w:hanging="436"/>
        <w:spacing w:after="0" w:line="230"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around mid-year 2025. There was a minor change in anticipated timing due to updates to the study. Anticipated spending and timelines regarding drug development are based on reasonable assumptions informed by current knowledge and information available to the Corporation.</w:t>
      </w:r>
    </w:p>
    <w:p>
      <w:pPr>
        <w:spacing w:after="0" w:line="2" w:lineRule="exact"/>
        <w:rPr>
          <w:rFonts w:ascii="Times New Roman" w:cs="Times New Roman" w:eastAsia="Times New Roman" w:hAnsi="Times New Roman"/>
          <w:sz w:val="22"/>
          <w:szCs w:val="22"/>
          <w:color w:val="auto"/>
        </w:rPr>
      </w:pPr>
    </w:p>
    <w:p>
      <w:pPr>
        <w:jc w:val="both"/>
        <w:ind w:left="660" w:hanging="436"/>
        <w:spacing w:after="0" w:line="233" w:lineRule="auto"/>
        <w:tabs>
          <w:tab w:leader="none" w:pos="6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has updated the anticipated timeline for completion of this milestone. The Corporation had previously expected it would complete this milestone in Q1 2026. The Corporation has expanded this program, which previously was focused only on phenethylamine molecules to also include tryptamine molecules. Anticipated spending and timelines regarding drug development are based on reasonable assumptions informed by current knowledge and information available to the Corporation.</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at September 16, 2025, the Corporation’s current financial resources, absent any capital injections, will be sufficient to meet the Corporation’s short-term liquidity requirements and to fund its operations for the coming 12 months. The Corporation makes this statement based on its current cash position of approximately US$92,200,000.</w:t>
      </w:r>
    </w:p>
    <w:p>
      <w:pPr>
        <w:spacing w:after="0" w:line="12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22"/>
          <w:szCs w:val="22"/>
          <w:color w:val="auto"/>
        </w:rPr>
        <w:t>The Corporation's expectation is based on certain assumptions and risks as set forth in the section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 Looking Information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Risk Factors</w:t>
      </w:r>
      <w:r>
        <w:rPr>
          <w:rFonts w:ascii="Times New Roman" w:cs="Times New Roman" w:eastAsia="Times New Roman" w:hAnsi="Times New Roman"/>
          <w:sz w:val="22"/>
          <w:szCs w:val="22"/>
          <w:color w:val="auto"/>
        </w:rPr>
        <w:t>" in this Prospectus.</w:t>
      </w:r>
    </w:p>
    <w:p>
      <w:pPr>
        <w:spacing w:after="0" w:line="1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Times New Roman" w:cs="Times New Roman" w:eastAsia="Times New Roman" w:hAnsi="Times New Roman"/>
          <w:sz w:val="22"/>
          <w:szCs w:val="22"/>
          <w:i w:val="1"/>
          <w:iCs w:val="1"/>
          <w:color w:val="auto"/>
        </w:rPr>
        <w:t>Cautionary Note Regarding Forward-Looking Information"</w:t>
      </w:r>
      <w:r>
        <w:rPr>
          <w:rFonts w:ascii="Times New Roman" w:cs="Times New Roman" w:eastAsia="Times New Roman" w:hAnsi="Times New Roman"/>
          <w:sz w:val="22"/>
          <w:szCs w:val="22"/>
          <w:color w:val="auto"/>
        </w:rPr>
        <w:t xml:space="preserve"> section above. The actual amount that the Corporation spends in connection with each of the identified uses and programs will depend on a number of factors, including those listed under </w:t>
      </w:r>
      <w:r>
        <w:rPr>
          <w:rFonts w:ascii="Times New Roman" w:cs="Times New Roman" w:eastAsia="Times New Roman" w:hAnsi="Times New Roman"/>
          <w:sz w:val="22"/>
          <w:szCs w:val="22"/>
          <w:i w:val="1"/>
          <w:iCs w:val="1"/>
          <w:color w:val="auto"/>
        </w:rPr>
        <w:t xml:space="preserve">"Risk Factors" </w:t>
      </w:r>
      <w:r>
        <w:rPr>
          <w:rFonts w:ascii="Times New Roman" w:cs="Times New Roman" w:eastAsia="Times New Roman" w:hAnsi="Times New Roman"/>
          <w:sz w:val="22"/>
          <w:szCs w:val="22"/>
          <w:color w:val="auto"/>
        </w:rPr>
        <w:t>in, or incorporated by reference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Negative Cash Flow From Operations</w:t>
      </w:r>
    </w:p>
    <w:p>
      <w:pPr>
        <w:spacing w:after="0" w:line="17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Since inception, the Corporation has financed its operations primarily from the issuance of equity and interest income on funds available for investment. To date, the Corporation has raised approximately US$383,000,000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Times New Roman" w:cs="Times New Roman" w:eastAsia="Times New Roman" w:hAnsi="Times New Roman"/>
          <w:sz w:val="22"/>
          <w:szCs w:val="22"/>
          <w:i w:val="1"/>
          <w:iCs w:val="1"/>
          <w:color w:val="auto"/>
        </w:rPr>
        <w:t>“Risk Factors – Risks Related to an Offering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Negative Operating Cash Flow”.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SELLING SECURITYHOLDERS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Prospectus may also from time to time, relate to the Offering of Securities by way of a secondary offering (each, a "</w:t>
      </w:r>
      <w:r>
        <w:rPr>
          <w:rFonts w:ascii="Times New Roman" w:cs="Times New Roman" w:eastAsia="Times New Roman" w:hAnsi="Times New Roman"/>
          <w:sz w:val="22"/>
          <w:szCs w:val="22"/>
          <w:b w:val="1"/>
          <w:bCs w:val="1"/>
          <w:color w:val="auto"/>
        </w:rPr>
        <w:t>Secondary Offering</w:t>
      </w:r>
      <w:r>
        <w:rPr>
          <w:rFonts w:ascii="Times New Roman" w:cs="Times New Roman" w:eastAsia="Times New Roman" w:hAnsi="Times New Roman"/>
          <w:sz w:val="22"/>
          <w:szCs w:val="22"/>
          <w:color w:val="auto"/>
        </w:rPr>
        <w:t xml:space="preserve">") by one or more Selling Securityholders. The terms under which the Securities will be offered by Selling Securityholders will be described in the applicable Prospectus Supplement. The Prospectus Supplement for or including any Secondary Offering by Selling Securityholders will include, without limitation, where applicable: (i) the names of the Selling Securityholders; (ii) the number and type of Securities owned, controlled or directed by each of the Selling Securityholders; (iii) the number of Securities being distributed for the accounts of each Selling Securityholders; (iv) the number of Securities to be beneficially owned, controlled, or directed by the Selling Securityholders after the distribution and the percentage that number or amount represents out of the total number of outstanding Securities of the class or series; (v) whether such Securities are owned by the Selling Securityholders both of record and beneficially, of record only or beneficially only; (vi) if a Selling Securityholder purchased any of the Securities held by such Selling Securityholder in the 12 months preceding the date of the Prospectus Supplement, the date or dates such Selling Securityholder acquired the Securities; (vii) if a Selling Securityholder acquired the Securities held by such Selling Securityholder in the 12 months preceding the date of the Prospectus Supplement, the cost thereof to such Selling Securityholder in the aggregate and on a per Security basis; and (viii) the disclosure required by Item 1.11 of Form 44-101F1 - </w:t>
      </w:r>
      <w:r>
        <w:rPr>
          <w:rFonts w:ascii="Times New Roman" w:cs="Times New Roman" w:eastAsia="Times New Roman" w:hAnsi="Times New Roman"/>
          <w:sz w:val="22"/>
          <w:szCs w:val="22"/>
          <w:i w:val="1"/>
          <w:iCs w:val="1"/>
          <w:color w:val="auto"/>
        </w:rPr>
        <w:t>Short Form Prospectus,</w:t>
      </w:r>
      <w:r>
        <w:rPr>
          <w:rFonts w:ascii="Times New Roman" w:cs="Times New Roman" w:eastAsia="Times New Roman" w:hAnsi="Times New Roman"/>
          <w:sz w:val="22"/>
          <w:szCs w:val="22"/>
          <w:color w:val="auto"/>
        </w:rPr>
        <w:t xml:space="preserve"> and, if applicable, each Selling Securityholder will file a non-issuer's submission to jurisdiction form with the applicable Prospectus Supplement. No Selling Securityholder may distribute Securities pursuant to an "at-the-market distribution" in Canada.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Times New Roman" w:cs="Times New Roman" w:eastAsia="Times New Roman" w:hAnsi="Times New Roman"/>
          <w:sz w:val="22"/>
          <w:szCs w:val="22"/>
          <w:i w:val="1"/>
          <w:iCs w:val="1"/>
          <w:color w:val="auto"/>
        </w:rPr>
        <w:t>Risk Factors -</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Risks Related to an Offering - Speculative Nature of Investment Risk</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BEING DISTRIBUTED</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Shares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Corporation is authorized to issue an unlimited number of Common Shares and an unlimited number of preferred shares. As at September 16, 2025, the Corporation had 25,188,217 Common Shares and nil preferred shares issued and outstanding.</w:t>
      </w:r>
    </w:p>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Warrants being offered thereby, which may include, without limitation, the following (where applicable):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applicable Prospectus Supplement will set forth the terms and other information with respect to the Units being offered thereby, which may include, without limitation, the following (where applicable):</w:t>
      </w:r>
    </w:p>
    <w:p>
      <w:pPr>
        <w:spacing w:after="0" w:line="158"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ind w:left="540"/>
        <w:spacing w:after="0" w:line="259" w:lineRule="auto"/>
        <w:rPr>
          <w:sz w:val="20"/>
          <w:szCs w:val="20"/>
          <w:color w:val="auto"/>
        </w:rPr>
      </w:pPr>
      <w:r>
        <w:rPr>
          <w:rFonts w:ascii="Times New Roman" w:cs="Times New Roman" w:eastAsia="Times New Roman" w:hAnsi="Times New Roman"/>
          <w:sz w:val="22"/>
          <w:szCs w:val="22"/>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right="2460"/>
        <w:spacing w:after="0" w:line="420" w:lineRule="auto"/>
        <w:rPr>
          <w:sz w:val="20"/>
          <w:szCs w:val="20"/>
          <w:color w:val="auto"/>
        </w:rPr>
      </w:pPr>
      <w:r>
        <w:rPr>
          <w:rFonts w:ascii="Times New Roman" w:cs="Times New Roman" w:eastAsia="Times New Roman" w:hAnsi="Times New Roman"/>
          <w:sz w:val="22"/>
          <w:szCs w:val="22"/>
          <w:color w:val="auto"/>
        </w:rPr>
        <w:t>certain material Canadian tax consequences of owning the Securities comprising the Units; and 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-496570</wp:posOffset>
            </wp:positionV>
            <wp:extent cx="68580" cy="68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-222250</wp:posOffset>
            </wp:positionV>
            <wp:extent cx="68580" cy="685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16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Debt Securities may be issued in one or more series under an indenture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to be entered into between the Corporation and one or more trustees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Subscription Receipts or Units or any combination thereof, as the case may be.</w:t>
      </w:r>
    </w:p>
    <w:p>
      <w:pPr>
        <w:spacing w:after="0" w:line="1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specific designation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right="200"/>
        <w:spacing w:after="0" w:line="258" w:lineRule="auto"/>
        <w:rPr>
          <w:sz w:val="20"/>
          <w:szCs w:val="20"/>
          <w:color w:val="auto"/>
        </w:rPr>
      </w:pPr>
      <w:r>
        <w:rPr>
          <w:rFonts w:ascii="Times New Roman" w:cs="Times New Roman" w:eastAsia="Times New Roman" w:hAnsi="Times New Roman"/>
          <w:sz w:val="22"/>
          <w:szCs w:val="22"/>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jc w:val="both"/>
        <w:ind w:left="540" w:right="400"/>
        <w:spacing w:after="0" w:line="244" w:lineRule="auto"/>
        <w:rPr>
          <w:sz w:val="20"/>
          <w:szCs w:val="20"/>
          <w:color w:val="auto"/>
        </w:rPr>
      </w:pPr>
      <w:r>
        <w:rPr>
          <w:rFonts w:ascii="Times New Roman" w:cs="Times New Roman" w:eastAsia="Times New Roman" w:hAnsi="Times New Roman"/>
          <w:sz w:val="22"/>
          <w:szCs w:val="22"/>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-424815</wp:posOffset>
            </wp:positionV>
            <wp:extent cx="68580" cy="685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26" w:lineRule="exact"/>
        <w:rPr>
          <w:sz w:val="20"/>
          <w:szCs w:val="20"/>
          <w:color w:val="auto"/>
        </w:rPr>
      </w:pPr>
    </w:p>
    <w:p>
      <w:pPr>
        <w:ind w:left="540" w:right="240"/>
        <w:spacing w:after="0" w:line="258" w:lineRule="auto"/>
        <w:rPr>
          <w:sz w:val="20"/>
          <w:szCs w:val="20"/>
          <w:color w:val="auto"/>
        </w:rPr>
      </w:pPr>
      <w:r>
        <w:rPr>
          <w:rFonts w:ascii="Times New Roman" w:cs="Times New Roman" w:eastAsia="Times New Roman" w:hAnsi="Times New Roman"/>
          <w:sz w:val="22"/>
          <w:szCs w:val="22"/>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color w:val="auto"/>
        </w:rPr>
        <w:t>the terms and conditions for any conversion or exchange of the Debt Securities for any other securities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22"/>
          <w:szCs w:val="22"/>
          <w:color w:val="auto"/>
        </w:rPr>
        <w:t>whether the Debt Securities will be issuable in the form of global securities ("</w:t>
      </w:r>
      <w:r>
        <w:rPr>
          <w:rFonts w:ascii="Times New Roman" w:cs="Times New Roman" w:eastAsia="Times New Roman" w:hAnsi="Times New Roman"/>
          <w:sz w:val="22"/>
          <w:szCs w:val="22"/>
          <w:b w:val="1"/>
          <w:bCs w:val="1"/>
          <w:color w:val="auto"/>
        </w:rPr>
        <w:t>Global Securities</w:t>
      </w:r>
      <w:r>
        <w:rPr>
          <w:rFonts w:ascii="Times New Roman" w:cs="Times New Roman" w:eastAsia="Times New Roman" w:hAnsi="Times New Roman"/>
          <w:sz w:val="22"/>
          <w:szCs w:val="22"/>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3"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22"/>
          <w:szCs w:val="22"/>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540" w:right="600"/>
        <w:spacing w:after="0" w:line="258" w:lineRule="auto"/>
        <w:rPr>
          <w:sz w:val="20"/>
          <w:szCs w:val="20"/>
          <w:color w:val="auto"/>
        </w:rPr>
      </w:pPr>
      <w:r>
        <w:rPr>
          <w:rFonts w:ascii="Times New Roman" w:cs="Times New Roman" w:eastAsia="Times New Roman" w:hAnsi="Times New Roman"/>
          <w:sz w:val="22"/>
          <w:szCs w:val="22"/>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ind w:left="540"/>
        <w:spacing w:after="0" w:line="259" w:lineRule="auto"/>
        <w:rPr>
          <w:sz w:val="20"/>
          <w:szCs w:val="20"/>
          <w:color w:val="auto"/>
        </w:rPr>
      </w:pPr>
      <w:r>
        <w:rPr>
          <w:rFonts w:ascii="Times New Roman" w:cs="Times New Roman" w:eastAsia="Times New Roman" w:hAnsi="Times New Roman"/>
          <w:sz w:val="22"/>
          <w:szCs w:val="22"/>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-281305</wp:posOffset>
            </wp:positionV>
            <wp:extent cx="68580" cy="685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6"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22"/>
          <w:szCs w:val="22"/>
          <w:color w:val="auto"/>
        </w:rPr>
        <w:t>material Canadian federal income tax consequences and United States federal income tax consequences of owning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series of Debt Securities may be issued at various times with different maturity dates, may bear interest at different rates and may otherwise vary.</w:t>
      </w:r>
    </w:p>
    <w:p>
      <w:pPr>
        <w:spacing w:after="0" w:line="11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5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Subscription Receipts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Subscription Receipts may be offered separately or together with other Securities, as the case may be. The Subscription Receipts may be issued under a subscription receipt agreement.</w:t>
      </w:r>
    </w:p>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-95250</wp:posOffset>
            </wp:positionV>
            <wp:extent cx="68580" cy="685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79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67945"/>
                    </a:xfrm>
                    <a:prstGeom prst="rect">
                      <a:avLst/>
                    </a:prstGeom>
                    <a:noFill/>
                  </pic:spPr>
                </pic:pic>
              </a:graphicData>
            </a:graphic>
          </wp:anchor>
        </w:drawing>
      </w:r>
    </w:p>
    <w:p>
      <w:pPr>
        <w:spacing w:after="0" w:line="98"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22"/>
          <w:szCs w:val="22"/>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-280035</wp:posOffset>
            </wp:positionV>
            <wp:extent cx="68580" cy="685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98" w:lineRule="exact"/>
        <w:rPr>
          <w:sz w:val="20"/>
          <w:szCs w:val="20"/>
          <w:color w:val="auto"/>
        </w:rPr>
      </w:pPr>
    </w:p>
    <w:p>
      <w:pPr>
        <w:ind w:left="660" w:right="200"/>
        <w:spacing w:after="0" w:line="414" w:lineRule="auto"/>
        <w:rPr>
          <w:sz w:val="20"/>
          <w:szCs w:val="20"/>
          <w:color w:val="auto"/>
        </w:rPr>
      </w:pPr>
      <w:r>
        <w:rPr>
          <w:rFonts w:ascii="Times New Roman" w:cs="Times New Roman" w:eastAsia="Times New Roman" w:hAnsi="Times New Roman"/>
          <w:sz w:val="22"/>
          <w:szCs w:val="22"/>
          <w:color w:val="auto"/>
        </w:rPr>
        <w:t>terms applicable to the gross or net proceeds from the sale of the Subscription Receipts plus any interest earned thereon; certain material Canadian tax consequences of owning the Subscription Receipts; and 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-765810</wp:posOffset>
            </wp:positionV>
            <wp:extent cx="68580" cy="685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-491490</wp:posOffset>
            </wp:positionV>
            <wp:extent cx="68580" cy="685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-226060</wp:posOffset>
            </wp:positionV>
            <wp:extent cx="68580" cy="685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and the Selling Securityholders may from time to time during the 25-month period that this Prospectus, including any amendments and supplements hereto, remains valid, offer for sale and sell up to an aggregate of $800,000,000 in Securities hereunder. To the extent there are any Secondary Offerings, the aggregate amount of Securities that may be offered and sold by the Corporation hereunder shall be reduced by the aggregate amount of such Secondary Offerings.</w:t>
      </w:r>
    </w:p>
    <w:p>
      <w:pPr>
        <w:spacing w:after="0" w:line="14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Securities may be sold by the Corporation and the Selling Securityholders (i) directly pursuant to applicable statutory exemptions, (ii) to or through underwriters or dealers, or (iii) through designated agents pursuant to applicable statutory exemptions.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identity of the Selling Securityholders, if any, the net proceeds to the Corporation or the Selling Securityholder, as applicable,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Securities offered by that Prospectus Supplement.</w:t>
      </w:r>
    </w:p>
    <w:p>
      <w:pPr>
        <w:spacing w:after="0" w:line="14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 addition, the Securities may be offered and issued in consideration for the acquisition of other businesses, assets or securities by the Corporation or one of its subsidiaries. The consideration for any such acquisition may consist of the Securities separately, a combination of Securities or any combination of, among other things, Securities, cash and assumption of liabilities. In addition, one or more Selling Securityholders may sell Securities to or through underwriters or dealers purchasing as principals and may also sell Securities to one or more purchasers directly, through statutory exemptions, or through agents designated from time to time.</w:t>
      </w:r>
    </w:p>
    <w:p>
      <w:pPr>
        <w:spacing w:after="0" w:line="15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Securities may be sold from time to time in one or more transactions at a fixed price or prices or at non-fixed prices. If offered on a non-fixed price basis, the Securities may be offered at market prices prevailing at the time of sale (including, in the case of the Corporation, but not the Selling Securityholders, sales in transactions that are deemed to be "at-the-market distributions" as defined in NI 44-102), at prices determined by reference to the prevailing price of a specified security in a specified market or at prices to be negotiated with purchasers including sales in transactions that are deemed to be "at-the-market" distributions, including sales made directly on the CBOE Canada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and/or the Selling Securityholder(s). The price at which the Securities will be offered and sold may vary from purchaser to purchaser and during the period of distribution.</w:t>
      </w:r>
    </w:p>
    <w:p>
      <w:pPr>
        <w:spacing w:after="0" w:line="1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4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jc w:val="both"/>
        <w:spacing w:after="0" w:line="236" w:lineRule="auto"/>
        <w:rPr>
          <w:sz w:val="20"/>
          <w:szCs w:val="20"/>
          <w:color w:val="auto"/>
        </w:rPr>
      </w:pPr>
      <w:r>
        <w:rPr>
          <w:rFonts w:ascii="Times New Roman" w:cs="Times New Roman" w:eastAsia="Times New Roman" w:hAnsi="Times New Roman"/>
          <w:sz w:val="22"/>
          <w:szCs w:val="22"/>
          <w:color w:val="auto"/>
        </w:rPr>
        <w:t>In connection with the sale of the Securities, underwriters, dealers or agents may receive compensation from the Corporation, any Selling Securityholder or from other parties, including in the form of underwriters', dealers' or agents' fees, commissions or concessions. Underwriters, dealers and agents that participate in the distribution of the Securities may be deemed to be underwriters for the purposes of applicable Canadian securities legislation and any such compensation that they receive from the Corporation or any Selling Securityholder and any profit that they make on the resale of the Securities, may be deemed to be underwriting commissions.</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Underwriters, dealers or agents who participate in the distribution of the Securities may be entitled, under agreements to be entered into with the Corporation and/or any Selling Securityholder, to indemnification by the Corporation and/or any Selling Securityholder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Times New Roman" w:cs="Times New Roman" w:eastAsia="Times New Roman" w:hAnsi="Times New Roman"/>
          <w:sz w:val="21"/>
          <w:szCs w:val="21"/>
          <w:i w:val="1"/>
          <w:iCs w:val="1"/>
          <w:color w:val="auto"/>
        </w:rPr>
        <w:t>"Risk Factors"</w:t>
      </w:r>
      <w:r>
        <w:rPr>
          <w:rFonts w:ascii="Times New Roman" w:cs="Times New Roman" w:eastAsia="Times New Roman" w:hAnsi="Times New Roman"/>
          <w:sz w:val="21"/>
          <w:szCs w:val="21"/>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xml:space="preserve"> in the Annual Information Form and under the heading </w:t>
      </w:r>
      <w:r>
        <w:rPr>
          <w:rFonts w:ascii="Times New Roman" w:cs="Times New Roman" w:eastAsia="Times New Roman" w:hAnsi="Times New Roman"/>
          <w:sz w:val="22"/>
          <w:szCs w:val="22"/>
          <w:b w:val="1"/>
          <w:bCs w:val="1"/>
          <w:i w:val="1"/>
          <w:iCs w:val="1"/>
          <w:color w:val="auto"/>
        </w:rPr>
        <w:t>“Risks and Uncertainties”</w:t>
      </w:r>
      <w:r>
        <w:rPr>
          <w:rFonts w:ascii="Times New Roman" w:cs="Times New Roman" w:eastAsia="Times New Roman" w:hAnsi="Times New Roman"/>
          <w:sz w:val="22"/>
          <w:szCs w:val="22"/>
          <w:b w:val="1"/>
          <w:bCs w:val="1"/>
          <w:color w:val="auto"/>
        </w:rPr>
        <w:t xml:space="preserve"> in the Interim MD&amp;A, and any other risk factors described herein or in a document incorporated by reference herein, which investors should carefully consider before investing. </w:t>
      </w:r>
      <w:r>
        <w:rPr>
          <w:rFonts w:ascii="Times New Roman" w:cs="Times New Roman" w:eastAsia="Times New Roman" w:hAnsi="Times New Roman"/>
          <w:sz w:val="22"/>
          <w:szCs w:val="22"/>
          <w:color w:val="auto"/>
        </w:rPr>
        <w:t>Additional risk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factors relating to a specific 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the Business of the Corporation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Regulatory Risks and Uncertainties</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In Canada, certain psychedelic drugs, including psilocybin/psilocin,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ectPr>
          <w:pgSz w:w="11900" w:h="16838" w:orient="portrait"/>
          <w:cols w:equalWidth="0" w:num="1">
            <w:col w:w="11240"/>
          </w:cols>
          <w:pgMar w:left="320" w:top="112" w:right="339" w:bottom="923"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923" w:gutter="0" w:footer="0" w:header="0"/>
          <w:type w:val="continuous"/>
        </w:sectPr>
      </w:pPr>
    </w:p>
    <w:bookmarkStart w:id="74" w:name="page75"/>
    <w:bookmarkEnd w:id="74"/>
    <w:p>
      <w:pPr>
        <w:jc w:val="both"/>
        <w:spacing w:after="0" w:line="233" w:lineRule="auto"/>
        <w:rPr>
          <w:sz w:val="20"/>
          <w:szCs w:val="20"/>
          <w:color w:val="auto"/>
        </w:rPr>
      </w:pPr>
      <w:r>
        <w:rPr>
          <w:rFonts w:ascii="Times New Roman" w:cs="Times New Roman" w:eastAsia="Times New Roman" w:hAnsi="Times New Roman"/>
          <w:sz w:val="22"/>
          <w:szCs w:val="22"/>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loss of the necessary licences and permits for any of the above scheduled drugs could have an adverse effect on the Corporation's operations.</w:t>
      </w:r>
    </w:p>
    <w:p>
      <w:pPr>
        <w:spacing w:after="0" w:line="1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success of the Corporation's business is dependent on the reform of controlled substances laws pertaining to psilocybin. If controlled substances laws are not favourably reformed in Canada, the United States, the Netherlands, the UK, and other global jurisdictions, the commercial opportunity that the Corporation is pursuing may be highly limited.</w:t>
      </w:r>
    </w:p>
    <w:p>
      <w:pPr>
        <w:spacing w:after="0" w:line="1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i w:val="1"/>
          <w:iCs w:val="1"/>
          <w:color w:val="auto"/>
        </w:rPr>
        <w:t>"Foreign Private Issuer" Status Under the U.S. Securities Laws</w:t>
      </w:r>
    </w:p>
    <w:p>
      <w:pPr>
        <w:spacing w:after="0" w:line="16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5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Risks Related to an Offering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Speculative Nature of Investment Risk</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Negative Operating Cash Flow</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Discretion over the Use of Proceeds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76" w:name="page77"/>
    <w:bookmarkEnd w:id="76"/>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Need for Additional Financing</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Times New Roman" w:cs="Times New Roman" w:eastAsia="Times New Roman" w:hAnsi="Times New Roman"/>
          <w:sz w:val="21"/>
          <w:szCs w:val="21"/>
          <w:i w:val="1"/>
          <w:iCs w:val="1"/>
          <w:color w:val="auto"/>
        </w:rPr>
        <w:t>"Risk Factors - Risks Related to an Offering</w:t>
      </w:r>
    </w:p>
    <w:p>
      <w:pPr>
        <w:spacing w:after="0" w:line="6" w:lineRule="exact"/>
        <w:rPr>
          <w:sz w:val="20"/>
          <w:szCs w:val="20"/>
          <w:color w:val="auto"/>
        </w:rPr>
      </w:pPr>
    </w:p>
    <w:p>
      <w:pPr>
        <w:ind w:right="5940" w:firstLine="8"/>
        <w:spacing w:after="0" w:line="404" w:lineRule="auto"/>
        <w:tabs>
          <w:tab w:leader="none" w:pos="126" w:val="left"/>
        </w:tabs>
        <w:numPr>
          <w:ilvl w:val="0"/>
          <w:numId w:val="26"/>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Negative Operating Cash Flow" and "- Potential Dilution". Volatile Market Price of Corporation's Common Shares</w:t>
      </w:r>
    </w:p>
    <w:p>
      <w:pPr>
        <w:jc w:val="both"/>
        <w:spacing w:after="0" w:line="236" w:lineRule="auto"/>
        <w:rPr>
          <w:sz w:val="20"/>
          <w:szCs w:val="20"/>
          <w:color w:val="auto"/>
        </w:rPr>
      </w:pPr>
      <w:r>
        <w:rPr>
          <w:rFonts w:ascii="Times New Roman" w:cs="Times New Roman" w:eastAsia="Times New Roman" w:hAnsi="Times New Roman"/>
          <w:sz w:val="22"/>
          <w:szCs w:val="22"/>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Times New Roman" w:cs="Times New Roman" w:eastAsia="Times New Roman" w:hAnsi="Times New Roman"/>
          <w:sz w:val="22"/>
          <w:szCs w:val="22"/>
          <w:i w:val="1"/>
          <w:iCs w:val="1"/>
          <w:color w:val="auto"/>
        </w:rPr>
        <w:t>"Cautionary Note Regarding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Forward-Looking Information"</w:t>
      </w:r>
      <w:r>
        <w:rPr>
          <w:rFonts w:ascii="Times New Roman" w:cs="Times New Roman" w:eastAsia="Times New Roman" w:hAnsi="Times New Roman"/>
          <w:sz w:val="22"/>
          <w:szCs w:val="22"/>
          <w:color w:val="auto"/>
        </w:rPr>
        <w:t>. In addition, the market price for securities on stock markets, including the CBOE Canada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Potential Dilution</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Times New Roman" w:cs="Times New Roman" w:eastAsia="Times New Roman" w:hAnsi="Times New Roman"/>
          <w:sz w:val="22"/>
          <w:szCs w:val="22"/>
          <w:i w:val="1"/>
          <w:iCs w:val="1"/>
          <w:color w:val="auto"/>
        </w:rPr>
        <w:t>"Risk Factors - Risks Related to an Offering - Potential Need for Additional Financing</w:t>
      </w:r>
      <w:r>
        <w:rPr>
          <w:rFonts w:ascii="Times New Roman" w:cs="Times New Roman" w:eastAsia="Times New Roman" w:hAnsi="Times New Roman"/>
          <w:sz w:val="22"/>
          <w:szCs w:val="22"/>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7" w:name="page78"/>
    <w:bookmarkEnd w:id="77"/>
    <w:p>
      <w:pPr>
        <w:jc w:val="both"/>
        <w:spacing w:after="0" w:line="231" w:lineRule="auto"/>
        <w:rPr>
          <w:sz w:val="20"/>
          <w:szCs w:val="20"/>
          <w:color w:val="auto"/>
        </w:rPr>
      </w:pPr>
      <w:r>
        <w:rPr>
          <w:rFonts w:ascii="Times New Roman" w:cs="Times New Roman" w:eastAsia="Times New Roman" w:hAnsi="Times New Roman"/>
          <w:sz w:val="22"/>
          <w:szCs w:val="22"/>
          <w:color w:val="auto"/>
        </w:rPr>
        <w:t>Pursuant to the Securities Purchase Agreement, the Corporation and High Trail also entered into a registration rights agreement, as amended on August 12, 2025 (the “</w:t>
      </w:r>
      <w:r>
        <w:rPr>
          <w:rFonts w:ascii="Times New Roman" w:cs="Times New Roman" w:eastAsia="Times New Roman" w:hAnsi="Times New Roman"/>
          <w:sz w:val="22"/>
          <w:szCs w:val="22"/>
          <w:b w:val="1"/>
          <w:bCs w:val="1"/>
          <w:color w:val="auto"/>
        </w:rPr>
        <w:t>Registration Rights Agreement</w:t>
      </w:r>
      <w:r>
        <w:rPr>
          <w:rFonts w:ascii="Times New Roman" w:cs="Times New Roman" w:eastAsia="Times New Roman" w:hAnsi="Times New Roman"/>
          <w:sz w:val="22"/>
          <w:szCs w:val="22"/>
          <w:color w:val="auto"/>
        </w:rPr>
        <w:t>”) pursuant to which, among other matters, the Corporation agreed to file a prospectus supplement to its effective Form F-10 registration statement to register under the U.S. Securities Act the resale by High Trail of up to 20,000,000 Common Shares issuable upon the conversion of the Convertible Debentures (the “</w:t>
      </w:r>
      <w:r>
        <w:rPr>
          <w:rFonts w:ascii="Times New Roman" w:cs="Times New Roman" w:eastAsia="Times New Roman" w:hAnsi="Times New Roman"/>
          <w:sz w:val="22"/>
          <w:szCs w:val="22"/>
          <w:b w:val="1"/>
          <w:bCs w:val="1"/>
          <w:color w:val="auto"/>
        </w:rPr>
        <w:t>Registrable Common Shares</w:t>
      </w:r>
      <w:r>
        <w:rPr>
          <w:rFonts w:ascii="Times New Roman" w:cs="Times New Roman" w:eastAsia="Times New Roman" w:hAnsi="Times New Roman"/>
          <w:sz w:val="22"/>
          <w:szCs w:val="22"/>
          <w:color w:val="auto"/>
        </w:rPr>
        <w:t>”), on the terms of the Securities Purchase Agreement and the Convertible Debentures, at the Conversion Price (as defined in the Securities Purchase Agreement) in the United States, within 15 calendar days of the closing date. Accordingly, in order to meet its obligations under the Registration Rights Agreement, on July 14, 2025, the Corporation filed a prospectus supplement (the “</w:t>
      </w:r>
      <w:r>
        <w:rPr>
          <w:rFonts w:ascii="Times New Roman" w:cs="Times New Roman" w:eastAsia="Times New Roman" w:hAnsi="Times New Roman"/>
          <w:sz w:val="22"/>
          <w:szCs w:val="22"/>
          <w:b w:val="1"/>
          <w:bCs w:val="1"/>
          <w:color w:val="auto"/>
        </w:rPr>
        <w:t>July Prospectus Supplement</w:t>
      </w:r>
      <w:r>
        <w:rPr>
          <w:rFonts w:ascii="Times New Roman" w:cs="Times New Roman" w:eastAsia="Times New Roman" w:hAnsi="Times New Roman"/>
          <w:sz w:val="22"/>
          <w:szCs w:val="22"/>
          <w:color w:val="auto"/>
        </w:rPr>
        <w:t>”) to permit High Trail to offer up to 20,000,000 Registrable Common Shares for sale or other disposition from time to time in the United States. Further, the Securities Purchase Agreement contemplates that the Corporation may sell and issue to High Trail up to an additional $450,000,000 aggregate principal amount of Convertible Debentures (the “</w:t>
      </w:r>
      <w:r>
        <w:rPr>
          <w:rFonts w:ascii="Times New Roman" w:cs="Times New Roman" w:eastAsia="Times New Roman" w:hAnsi="Times New Roman"/>
          <w:sz w:val="22"/>
          <w:szCs w:val="22"/>
          <w:b w:val="1"/>
          <w:bCs w:val="1"/>
          <w:color w:val="auto"/>
        </w:rPr>
        <w:t>Additional Convertible Debentures</w:t>
      </w:r>
      <w:r>
        <w:rPr>
          <w:rFonts w:ascii="Times New Roman" w:cs="Times New Roman" w:eastAsia="Times New Roman" w:hAnsi="Times New Roman"/>
          <w:sz w:val="22"/>
          <w:szCs w:val="22"/>
          <w:color w:val="auto"/>
        </w:rPr>
        <w:t>”) at a future date, upon mutual agreement of the parties. It is anticipated that High Trail will receive registration rights to permit High Trail to offer such number of Common Shares as would be issued on conversion of the Additional Convertible Debentures (the “</w:t>
      </w:r>
      <w:r>
        <w:rPr>
          <w:rFonts w:ascii="Times New Roman" w:cs="Times New Roman" w:eastAsia="Times New Roman" w:hAnsi="Times New Roman"/>
          <w:sz w:val="22"/>
          <w:szCs w:val="22"/>
          <w:b w:val="1"/>
          <w:bCs w:val="1"/>
          <w:color w:val="auto"/>
        </w:rPr>
        <w:t>Additional Registrable Common Shares</w:t>
      </w:r>
      <w:r>
        <w:rPr>
          <w:rFonts w:ascii="Times New Roman" w:cs="Times New Roman" w:eastAsia="Times New Roman" w:hAnsi="Times New Roman"/>
          <w:sz w:val="22"/>
          <w:szCs w:val="22"/>
          <w:color w:val="auto"/>
        </w:rPr>
        <w:t>”), for sale or other disposition from time to time in the United States. If all of the Registrable Common Shares are issued and outstanding, they would represent a substantial percentage of the Corporation’s public float and of the outstanding Common Shares. As of July 14, 2025, the Registrable Common Shares covered by the July Prospectus Supplement represent approximately 87% of the total number of outstanding Common Shares (assuming all of the Registrable Common Shares covered by the July Prospectus Supplement were issued and outstanding). Accordingly, the resale of the Registrable Common Shares covered by the July Prospectus Supplement, and the resale of any Additional Registrable Common Shares issued on conversion of the Additional Convertible Debentures, or the perception that such sales may occur, could result in a significant decline in the public trading price of the Common Shares. The number of Registrable Common Shares that may actually be issued by the Corporation upon conversion of the Convertible Debentures may be fewer or greater than the number of Registrable Common Shares being qualified by the July Prospectus Supplement. The number of Registrable Common Shares that may actually be acquired by High Trail pursuant to the Convertible Debentures is not known given the variable Conversion Price. In the event that the number of Common Shares issuable upon conversion of the Convertible Debentures is greater than the Registrable Common Shares covered by the July Prospectus Supplement, the Corporation may be obligated under the terms of the Registration Rights Agreement to file and have declared effective additional registration statements registering under the U.S. Securities Act the resale of additional Common Shares issuable upon the conversion of any Convertible Debentures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Market for Securities</w:t>
      </w:r>
    </w:p>
    <w:p>
      <w:pPr>
        <w:spacing w:after="0" w:line="1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Enforcement of Civil Liabilities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5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ectPr>
          <w:pgSz w:w="11900" w:h="16838" w:orient="portrait"/>
          <w:cols w:equalWidth="0" w:num="1">
            <w:col w:w="11240"/>
          </w:cols>
          <w:pgMar w:left="320" w:top="111"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8" w:name="page79"/>
    <w:bookmarkEnd w:id="78"/>
    <w:p>
      <w:pPr>
        <w:jc w:val="both"/>
        <w:spacing w:after="0" w:line="259" w:lineRule="auto"/>
        <w:rPr>
          <w:sz w:val="20"/>
          <w:szCs w:val="20"/>
          <w:color w:val="auto"/>
        </w:rPr>
      </w:pPr>
      <w:r>
        <w:rPr>
          <w:rFonts w:ascii="Times New Roman" w:cs="Times New Roman" w:eastAsia="Times New Roman" w:hAnsi="Times New Roman"/>
          <w:sz w:val="22"/>
          <w:szCs w:val="22"/>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CERTAIN FEDERAL INCOME TAX CONSIDERATIONS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AUDITORS, TRANSFER AGENT AND REGISTRAR</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36" w:lineRule="exact"/>
        <w:rPr>
          <w:sz w:val="20"/>
          <w:szCs w:val="20"/>
          <w:color w:val="auto"/>
        </w:rPr>
      </w:pPr>
    </w:p>
    <w:p>
      <w:pPr>
        <w:jc w:val="center"/>
        <w:ind w:right="500"/>
        <w:spacing w:after="0" w:line="424" w:lineRule="auto"/>
        <w:rPr>
          <w:sz w:val="20"/>
          <w:szCs w:val="20"/>
          <w:color w:val="auto"/>
        </w:rPr>
      </w:pPr>
      <w:r>
        <w:rPr>
          <w:rFonts w:ascii="Times New Roman" w:cs="Times New Roman" w:eastAsia="Times New Roman" w:hAnsi="Times New Roman"/>
          <w:sz w:val="22"/>
          <w:szCs w:val="22"/>
          <w:color w:val="auto"/>
        </w:rPr>
        <w:t>The registrar and transfer agent of the Common Shares is Odyssey Trust Company at its principal office in Calgary, Alberta.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53275" cy="469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bullet"/>
      <w:start w:val="1"/>
    </w:lvl>
  </w:abstractNum>
  <w:abstractNum w:abstractNumId="3">
    <w:nsid w:val="1BEFD79F"/>
    <w:multiLevelType w:val="hybridMultilevel"/>
    <w:lvl w:ilvl="0">
      <w:lvlJc w:val="left"/>
      <w:lvlText w:val="2"/>
      <w:numFmt w:val="bullet"/>
      <w:start w:val="1"/>
    </w:lvl>
  </w:abstractNum>
  <w:abstractNum w:abstractNumId="4">
    <w:nsid w:val="41A7C4C9"/>
    <w:multiLevelType w:val="hybridMultilevel"/>
    <w:lvl w:ilvl="0">
      <w:lvlJc w:val="left"/>
      <w:lvlText w:val="7"/>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4"/>
    </w:lvl>
  </w:abstractNum>
  <w:abstractNum w:abstractNumId="10">
    <w:nsid w:val="3F2DBA31"/>
    <w:multiLevelType w:val="hybridMultilevel"/>
    <w:lvl w:ilvl="0">
      <w:lvlJc w:val="left"/>
      <w:lvlText w:val="1"/>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2"/>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3"/>
      <w:numFmt w:val="bullet"/>
      <w:start w:val="1"/>
    </w:lvl>
  </w:abstractNum>
  <w:abstractNum w:abstractNumId="17">
    <w:nsid w:val="721DA317"/>
    <w:multiLevelType w:val="hybridMultilevel"/>
    <w:lvl w:ilvl="0">
      <w:lvlJc w:val="left"/>
      <w:lvlText w:val="5"/>
      <w:numFmt w:val="bullet"/>
      <w:start w:val="1"/>
    </w:lvl>
  </w:abstractNum>
  <w:abstractNum w:abstractNumId="18">
    <w:nsid w:val="2443A858"/>
    <w:multiLevelType w:val="hybridMultilevel"/>
    <w:lvl w:ilvl="0">
      <w:lvlJc w:val="left"/>
      <w:lvlText w:val="9"/>
      <w:numFmt w:val="bullet"/>
      <w:start w:val="1"/>
    </w:lvl>
  </w:abstractNum>
  <w:abstractNum w:abstractNumId="19">
    <w:nsid w:val="2D1D5AE9"/>
    <w:multiLevelType w:val="hybridMultilevel"/>
    <w:lvl w:ilvl="0">
      <w:lvlJc w:val="left"/>
      <w:lvlText w:val="%1"/>
      <w:numFmt w:val="decimal"/>
      <w:start w:val="10"/>
    </w:lvl>
  </w:abstractNum>
  <w:abstractNum w:abstractNumId="20">
    <w:nsid w:val="6763845E"/>
    <w:multiLevelType w:val="hybridMultilevel"/>
    <w:lvl w:ilvl="0">
      <w:lvlJc w:val="left"/>
      <w:lvlText w:val="%1"/>
      <w:numFmt w:val="decimal"/>
      <w:start w:val="11"/>
    </w:lvl>
  </w:abstractNum>
  <w:abstractNum w:abstractNumId="21">
    <w:nsid w:val="75A2A8D4"/>
    <w:multiLevelType w:val="hybridMultilevel"/>
    <w:lvl w:ilvl="0">
      <w:lvlJc w:val="left"/>
      <w:lvlText w:val="%1"/>
      <w:numFmt w:val="decimal"/>
      <w:start w:val="14"/>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7"/>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2025-09-17T16:04:53Z</dcterms:created>
  <dcterms:modified xsi:type="dcterms:W3CDTF">2025-09-17T16:04:53Z</dcterms:modified>
</cp:coreProperties>
</file>