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As filed with the Securities and Exchange Commission on April 10, 2024.</w:t>
      </w:r>
    </w:p>
    <w:p>
      <w:pPr>
        <w:spacing w:after="0" w:line="206"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Registration No.</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F-10</w:t>
      </w:r>
    </w:p>
    <w:p>
      <w:pPr>
        <w:spacing w:after="0" w:line="18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REGISTRATION STATEMENT UNDER</w:t>
      </w:r>
    </w:p>
    <w:p>
      <w:pPr>
        <w:spacing w:after="0" w:line="1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17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auto"/>
        </w:rPr>
        <w:t>Ontario, Canada</w:t>
      </w:r>
    </w:p>
    <w:p>
      <w:pPr>
        <w:spacing w:after="0" w:line="1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color w:val="auto"/>
        </w:rPr>
        <w:t>(Province or other jurisdiction of incorporation or organization)</w:t>
      </w:r>
    </w:p>
    <w:p>
      <w:pPr>
        <w:spacing w:after="0" w:line="178"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22"/>
          <w:szCs w:val="22"/>
          <w:b w:val="1"/>
          <w:bCs w:val="1"/>
          <w:u w:val="single" w:color="auto"/>
          <w:color w:val="auto"/>
        </w:rPr>
        <w:t>2834</w:t>
      </w:r>
    </w:p>
    <w:p>
      <w:pPr>
        <w:spacing w:after="0" w:line="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(Primary Standard Industrial Classification Code Number, if applicable)</w:t>
      </w:r>
    </w:p>
    <w:p>
      <w:pPr>
        <w:spacing w:after="0" w:line="17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22"/>
          <w:szCs w:val="22"/>
          <w:b w:val="1"/>
          <w:bCs w:val="1"/>
          <w:u w:val="single" w:color="auto"/>
          <w:color w:val="auto"/>
        </w:rPr>
        <w:t>N/A</w:t>
      </w:r>
    </w:p>
    <w:p>
      <w:pPr>
        <w:spacing w:after="0" w:line="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color w:val="auto"/>
        </w:rPr>
        <w:t>(I.R.S. Employer Identification No., if applicable)</w:t>
      </w:r>
    </w:p>
    <w:p>
      <w:pPr>
        <w:spacing w:after="0" w:line="17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100 King Street West, Suite 5600</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Toronto, Ontario, Canada M5X 1C9</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(908) 764-8385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i w:val="1"/>
          <w:iCs w:val="1"/>
          <w:color w:val="auto"/>
        </w:rPr>
        <w:t>(Address and telephone number of Registrant's principal executive offices)</w:t>
      </w:r>
    </w:p>
    <w:p>
      <w:pPr>
        <w:spacing w:after="0" w:line="17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C T Corporation System</w:t>
      </w:r>
    </w:p>
    <w:p>
      <w:pPr>
        <w:ind w:left="4100"/>
        <w:spacing w:after="0" w:line="187" w:lineRule="auto"/>
        <w:rPr>
          <w:sz w:val="20"/>
          <w:szCs w:val="20"/>
          <w:color w:val="auto"/>
        </w:rPr>
      </w:pPr>
      <w:r>
        <w:rPr>
          <w:rFonts w:ascii="Times New Roman" w:cs="Times New Roman" w:eastAsia="Times New Roman" w:hAnsi="Times New Roman"/>
          <w:sz w:val="22"/>
          <w:szCs w:val="22"/>
          <w:b w:val="1"/>
          <w:bCs w:val="1"/>
          <w:color w:val="auto"/>
        </w:rPr>
        <w:t>1015 15</w:t>
      </w:r>
      <w:r>
        <w:rPr>
          <w:rFonts w:ascii="Times New Roman" w:cs="Times New Roman" w:eastAsia="Times New Roman" w:hAnsi="Times New Roman"/>
          <w:sz w:val="35"/>
          <w:szCs w:val="35"/>
          <w:b w:val="1"/>
          <w:bCs w:val="1"/>
          <w:color w:val="auto"/>
          <w:vertAlign w:val="superscript"/>
        </w:rPr>
        <w:t>th</w:t>
      </w:r>
      <w:r>
        <w:rPr>
          <w:rFonts w:ascii="Times New Roman" w:cs="Times New Roman" w:eastAsia="Times New Roman" w:hAnsi="Times New Roman"/>
          <w:sz w:val="22"/>
          <w:szCs w:val="22"/>
          <w:b w:val="1"/>
          <w:bCs w:val="1"/>
          <w:color w:val="auto"/>
        </w:rPr>
        <w:t xml:space="preserve"> Street N.W., Suite 1000</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20005</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(202) 572-3133</w:t>
      </w:r>
    </w:p>
    <w:p>
      <w:pPr>
        <w:jc w:val="center"/>
        <w:ind w:right="40"/>
        <w:spacing w:after="0"/>
        <w:rPr>
          <w:sz w:val="20"/>
          <w:szCs w:val="20"/>
          <w:color w:val="auto"/>
        </w:rPr>
      </w:pPr>
      <w:r>
        <w:rPr>
          <w:rFonts w:ascii="Times New Roman" w:cs="Times New Roman" w:eastAsia="Times New Roman" w:hAnsi="Times New Roman"/>
          <w:sz w:val="22"/>
          <w:szCs w:val="22"/>
          <w:i w:val="1"/>
          <w:iCs w:val="1"/>
          <w:color w:val="auto"/>
        </w:rPr>
        <w:t>(Name, address (including zip code) and telephone number (including area code) of agent for service in the United States)</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4680" w:type="dxa"/>
            <w:vAlign w:val="bottom"/>
          </w:tcPr>
          <w:p>
            <w:pPr>
              <w:spacing w:after="0"/>
              <w:rPr>
                <w:sz w:val="24"/>
                <w:szCs w:val="24"/>
                <w:color w:val="auto"/>
              </w:rPr>
            </w:pPr>
          </w:p>
        </w:tc>
        <w:tc>
          <w:tcPr>
            <w:tcW w:w="66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Copies to:</w:t>
            </w:r>
          </w:p>
        </w:tc>
      </w:tr>
      <w:tr>
        <w:trPr>
          <w:trHeight w:val="398"/>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Douglas Drysdale</w:t>
            </w:r>
          </w:p>
        </w:tc>
        <w:tc>
          <w:tcPr>
            <w:tcW w:w="6600" w:type="dxa"/>
            <w:vAlign w:val="bottom"/>
          </w:tcPr>
          <w:p>
            <w:pPr>
              <w:jc w:val="center"/>
              <w:ind w:left="807"/>
              <w:spacing w:after="0"/>
              <w:rPr>
                <w:sz w:val="20"/>
                <w:szCs w:val="20"/>
                <w:color w:val="auto"/>
              </w:rPr>
            </w:pPr>
            <w:r>
              <w:rPr>
                <w:rFonts w:ascii="Times New Roman" w:cs="Times New Roman" w:eastAsia="Times New Roman" w:hAnsi="Times New Roman"/>
                <w:sz w:val="18"/>
                <w:szCs w:val="18"/>
                <w:b w:val="1"/>
                <w:bCs w:val="1"/>
                <w:color w:val="auto"/>
              </w:rPr>
              <w:t>Richard Raymer</w:t>
            </w:r>
          </w:p>
        </w:tc>
      </w:tr>
      <w:tr>
        <w:trPr>
          <w:trHeight w:val="216"/>
        </w:trPr>
        <w:tc>
          <w:tcPr>
            <w:tcW w:w="468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6600" w:type="dxa"/>
            <w:vAlign w:val="bottom"/>
          </w:tcPr>
          <w:p>
            <w:pPr>
              <w:jc w:val="center"/>
              <w:ind w:left="807"/>
              <w:spacing w:after="0"/>
              <w:rPr>
                <w:sz w:val="20"/>
                <w:szCs w:val="20"/>
                <w:color w:val="auto"/>
              </w:rPr>
            </w:pPr>
            <w:r>
              <w:rPr>
                <w:rFonts w:ascii="Times New Roman" w:cs="Times New Roman" w:eastAsia="Times New Roman" w:hAnsi="Times New Roman"/>
                <w:sz w:val="18"/>
                <w:szCs w:val="18"/>
                <w:b w:val="1"/>
                <w:bCs w:val="1"/>
                <w:color w:val="auto"/>
                <w:w w:val="99"/>
              </w:rPr>
              <w:t>Dorsey &amp; Whitney LLP</w:t>
            </w:r>
          </w:p>
        </w:tc>
      </w:tr>
      <w:tr>
        <w:trPr>
          <w:trHeight w:val="216"/>
        </w:trPr>
        <w:tc>
          <w:tcPr>
            <w:tcW w:w="468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100 King Street West, Suite 5600</w:t>
            </w:r>
          </w:p>
        </w:tc>
        <w:tc>
          <w:tcPr>
            <w:tcW w:w="6600" w:type="dxa"/>
            <w:vAlign w:val="bottom"/>
          </w:tcPr>
          <w:p>
            <w:pPr>
              <w:jc w:val="center"/>
              <w:ind w:left="807"/>
              <w:spacing w:after="0"/>
              <w:rPr>
                <w:sz w:val="20"/>
                <w:szCs w:val="20"/>
                <w:color w:val="auto"/>
              </w:rPr>
            </w:pPr>
            <w:r>
              <w:rPr>
                <w:rFonts w:ascii="Times New Roman" w:cs="Times New Roman" w:eastAsia="Times New Roman" w:hAnsi="Times New Roman"/>
                <w:sz w:val="18"/>
                <w:szCs w:val="18"/>
                <w:b w:val="1"/>
                <w:bCs w:val="1"/>
                <w:color w:val="auto"/>
                <w:w w:val="99"/>
              </w:rPr>
              <w:t>TD Canada Trust Tower</w:t>
            </w:r>
          </w:p>
        </w:tc>
      </w:tr>
      <w:tr>
        <w:trPr>
          <w:trHeight w:val="216"/>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Toronto, Ontario, Canada M5X 1C9</w:t>
            </w:r>
          </w:p>
        </w:tc>
        <w:tc>
          <w:tcPr>
            <w:tcW w:w="6600" w:type="dxa"/>
            <w:vAlign w:val="bottom"/>
          </w:tcPr>
          <w:p>
            <w:pPr>
              <w:jc w:val="center"/>
              <w:ind w:left="827"/>
              <w:spacing w:after="0"/>
              <w:rPr>
                <w:sz w:val="20"/>
                <w:szCs w:val="20"/>
                <w:color w:val="auto"/>
              </w:rPr>
            </w:pPr>
            <w:r>
              <w:rPr>
                <w:rFonts w:ascii="Times New Roman" w:cs="Times New Roman" w:eastAsia="Times New Roman" w:hAnsi="Times New Roman"/>
                <w:sz w:val="18"/>
                <w:szCs w:val="18"/>
                <w:b w:val="1"/>
                <w:bCs w:val="1"/>
                <w:color w:val="auto"/>
                <w:w w:val="99"/>
              </w:rPr>
              <w:t>Brookfield Place, 161 Bay Street, Suite 4310 Toronto, Ontario</w:t>
            </w:r>
          </w:p>
        </w:tc>
      </w:tr>
      <w:tr>
        <w:trPr>
          <w:trHeight w:val="216"/>
        </w:trPr>
        <w:tc>
          <w:tcPr>
            <w:tcW w:w="46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(866) 292-4601</w:t>
            </w:r>
          </w:p>
        </w:tc>
        <w:tc>
          <w:tcPr>
            <w:tcW w:w="6600" w:type="dxa"/>
            <w:vAlign w:val="bottom"/>
          </w:tcPr>
          <w:p>
            <w:pPr>
              <w:jc w:val="center"/>
              <w:ind w:left="767"/>
              <w:spacing w:after="0"/>
              <w:rPr>
                <w:sz w:val="20"/>
                <w:szCs w:val="20"/>
                <w:color w:val="auto"/>
              </w:rPr>
            </w:pPr>
            <w:r>
              <w:rPr>
                <w:rFonts w:ascii="Times New Roman" w:cs="Times New Roman" w:eastAsia="Times New Roman" w:hAnsi="Times New Roman"/>
                <w:sz w:val="18"/>
                <w:szCs w:val="18"/>
                <w:b w:val="1"/>
                <w:bCs w:val="1"/>
                <w:color w:val="auto"/>
              </w:rPr>
              <w:t>Canada, M5J 2S1</w:t>
            </w:r>
          </w:p>
        </w:tc>
      </w:tr>
      <w:tr>
        <w:trPr>
          <w:trHeight w:val="238"/>
        </w:trPr>
        <w:tc>
          <w:tcPr>
            <w:tcW w:w="4680" w:type="dxa"/>
            <w:vAlign w:val="bottom"/>
          </w:tcPr>
          <w:p>
            <w:pPr>
              <w:spacing w:after="0"/>
              <w:rPr>
                <w:sz w:val="20"/>
                <w:szCs w:val="20"/>
                <w:color w:val="auto"/>
              </w:rPr>
            </w:pPr>
          </w:p>
        </w:tc>
        <w:tc>
          <w:tcPr>
            <w:tcW w:w="6600" w:type="dxa"/>
            <w:vAlign w:val="bottom"/>
          </w:tcPr>
          <w:p>
            <w:pPr>
              <w:jc w:val="center"/>
              <w:ind w:left="807"/>
              <w:spacing w:after="0"/>
              <w:rPr>
                <w:sz w:val="20"/>
                <w:szCs w:val="20"/>
                <w:color w:val="auto"/>
              </w:rPr>
            </w:pPr>
            <w:r>
              <w:rPr>
                <w:rFonts w:ascii="Times New Roman" w:cs="Times New Roman" w:eastAsia="Times New Roman" w:hAnsi="Times New Roman"/>
                <w:sz w:val="18"/>
                <w:szCs w:val="18"/>
                <w:b w:val="1"/>
                <w:bCs w:val="1"/>
                <w:color w:val="auto"/>
              </w:rPr>
              <w:t>(416) 367-7388</w:t>
            </w:r>
          </w:p>
        </w:tc>
      </w:tr>
      <w:tr>
        <w:trPr>
          <w:trHeight w:val="348"/>
        </w:trPr>
        <w:tc>
          <w:tcPr>
            <w:tcW w:w="468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74"/>
        </w:trPr>
        <w:tc>
          <w:tcPr>
            <w:tcW w:w="4680" w:type="dxa"/>
            <w:vAlign w:val="bottom"/>
            <w:shd w:val="clear" w:color="auto" w:fill="000000"/>
          </w:tcPr>
          <w:p>
            <w:pPr>
              <w:spacing w:after="0"/>
              <w:rPr>
                <w:sz w:val="6"/>
                <w:szCs w:val="6"/>
                <w:color w:val="auto"/>
              </w:rPr>
            </w:pPr>
          </w:p>
        </w:tc>
        <w:tc>
          <w:tcPr>
            <w:tcW w:w="66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473"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Approximate date of commencement of proposed sale of the securities to the public: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From time to time after this Registration Statement becomes effective.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Province of Ontario, Canada</w:t>
      </w:r>
    </w:p>
    <w:p>
      <w:pPr>
        <w:spacing w:after="0" w:line="1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i w:val="1"/>
          <w:iCs w:val="1"/>
          <w:color w:val="auto"/>
        </w:rPr>
        <w:t>(Principal jurisdiction regulating this offering)</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It is proposed that this filing shall become effective (check appropriate box below):</w:t>
      </w:r>
    </w:p>
    <w:p>
      <w:pPr>
        <w:spacing w:after="0" w:line="174" w:lineRule="exact"/>
        <w:rPr>
          <w:sz w:val="20"/>
          <w:szCs w:val="20"/>
          <w:color w:val="auto"/>
        </w:rPr>
      </w:pPr>
    </w:p>
    <w:p>
      <w:pPr>
        <w:ind w:left="940" w:hanging="932"/>
        <w:spacing w:after="0" w:line="245" w:lineRule="exact"/>
        <w:tabs>
          <w:tab w:leader="none" w:pos="589"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upon filing with the Commission pursuant to Rule 467(a) (if in connection with an offering being made contemporaneously in the United States and Canada).</w:t>
      </w:r>
    </w:p>
    <w:p>
      <w:pPr>
        <w:spacing w:after="0" w:line="1" w:lineRule="exact"/>
        <w:rPr>
          <w:rFonts w:ascii="Times New Roman" w:cs="Times New Roman" w:eastAsia="Times New Roman" w:hAnsi="Times New Roman"/>
          <w:sz w:val="18"/>
          <w:szCs w:val="18"/>
          <w:color w:val="auto"/>
        </w:rPr>
      </w:pPr>
    </w:p>
    <w:p>
      <w:pPr>
        <w:ind w:left="600" w:hanging="592"/>
        <w:spacing w:after="0" w:line="207" w:lineRule="exact"/>
        <w:tabs>
          <w:tab w:leader="none" w:pos="60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some future date (check the appropriate box below):</w:t>
      </w:r>
    </w:p>
    <w:tbl>
      <w:tblPr>
        <w:tblLayout w:type="fixed"/>
        <w:tblInd w:w="600" w:type="dxa"/>
        <w:tblCellMar>
          <w:top w:w="0" w:type="dxa"/>
          <w:left w:w="0" w:type="dxa"/>
          <w:bottom w:w="0" w:type="dxa"/>
          <w:right w:w="0" w:type="dxa"/>
        </w:tblCellMar>
      </w:tblPr>
      <w:tr>
        <w:trPr>
          <w:trHeight w:val="171"/>
        </w:trPr>
        <w:tc>
          <w:tcPr>
            <w:tcW w:w="240" w:type="dxa"/>
            <w:vAlign w:val="bottom"/>
          </w:tcPr>
          <w:p>
            <w:pPr>
              <w:jc w:val="right"/>
              <w:ind w:right="10"/>
              <w:spacing w:after="0" w:line="171" w:lineRule="exact"/>
              <w:rPr>
                <w:sz w:val="20"/>
                <w:szCs w:val="20"/>
                <w:color w:val="auto"/>
              </w:rPr>
            </w:pPr>
            <w:r>
              <w:rPr>
                <w:rFonts w:ascii="Times New Roman" w:cs="Times New Roman" w:eastAsia="Times New Roman" w:hAnsi="Times New Roman"/>
                <w:sz w:val="18"/>
                <w:szCs w:val="18"/>
                <w:color w:val="auto"/>
                <w:w w:val="88"/>
              </w:rPr>
              <w:t>1.</w:t>
            </w:r>
          </w:p>
        </w:tc>
        <w:tc>
          <w:tcPr>
            <w:tcW w:w="2680" w:type="dxa"/>
            <w:vAlign w:val="bottom"/>
          </w:tcPr>
          <w:p>
            <w:pPr>
              <w:ind w:left="100"/>
              <w:spacing w:after="0" w:line="17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Rule 467(b) on (</w:t>
            </w:r>
          </w:p>
        </w:tc>
        <w:tc>
          <w:tcPr>
            <w:tcW w:w="900" w:type="dxa"/>
            <w:vAlign w:val="bottom"/>
          </w:tcPr>
          <w:p>
            <w:pPr>
              <w:ind w:left="260"/>
              <w:spacing w:after="0" w:line="171" w:lineRule="exact"/>
              <w:rPr>
                <w:sz w:val="20"/>
                <w:szCs w:val="20"/>
                <w:color w:val="auto"/>
              </w:rPr>
            </w:pPr>
            <w:r>
              <w:rPr>
                <w:rFonts w:ascii="Times New Roman" w:cs="Times New Roman" w:eastAsia="Times New Roman" w:hAnsi="Times New Roman"/>
                <w:sz w:val="18"/>
                <w:szCs w:val="18"/>
                <w:color w:val="auto"/>
              </w:rPr>
              <w:t>) at (</w:t>
            </w:r>
          </w:p>
        </w:tc>
        <w:tc>
          <w:tcPr>
            <w:tcW w:w="6820" w:type="dxa"/>
            <w:vAlign w:val="bottom"/>
            <w:gridSpan w:val="2"/>
          </w:tcPr>
          <w:p>
            <w:pPr>
              <w:jc w:val="right"/>
              <w:ind w:right="1910"/>
              <w:spacing w:after="0" w:line="171" w:lineRule="exact"/>
              <w:rPr>
                <w:sz w:val="20"/>
                <w:szCs w:val="20"/>
                <w:color w:val="auto"/>
              </w:rPr>
            </w:pPr>
            <w:r>
              <w:rPr>
                <w:rFonts w:ascii="Times New Roman" w:cs="Times New Roman" w:eastAsia="Times New Roman" w:hAnsi="Times New Roman"/>
                <w:sz w:val="18"/>
                <w:szCs w:val="18"/>
                <w:color w:val="auto"/>
              </w:rPr>
              <w:t>) (designate a time not sooner than 7 calendar days after filing).</w:t>
            </w:r>
          </w:p>
        </w:tc>
      </w:tr>
      <w:tr>
        <w:trPr>
          <w:trHeight w:val="252"/>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26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Rule 467(b) on (</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at (</w:t>
            </w:r>
          </w:p>
        </w:tc>
        <w:tc>
          <w:tcPr>
            <w:tcW w:w="6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(designate a time 7 calendar days or sooner after filing) because the securities regulatory</w:t>
            </w:r>
          </w:p>
        </w:tc>
      </w:tr>
      <w:tr>
        <w:trPr>
          <w:trHeight w:val="229"/>
        </w:trPr>
        <w:tc>
          <w:tcPr>
            <w:tcW w:w="240" w:type="dxa"/>
            <w:vAlign w:val="bottom"/>
          </w:tcPr>
          <w:p>
            <w:pPr>
              <w:spacing w:after="0"/>
              <w:rPr>
                <w:sz w:val="19"/>
                <w:szCs w:val="19"/>
                <w:color w:val="auto"/>
              </w:rPr>
            </w:pPr>
          </w:p>
        </w:tc>
        <w:tc>
          <w:tcPr>
            <w:tcW w:w="6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authority in the review jurisdiction has issued a receipt or notification of clearance on (</w:t>
            </w:r>
          </w:p>
        </w:tc>
        <w:tc>
          <w:tcPr>
            <w:tcW w:w="350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r>
    </w:tbl>
    <w:p>
      <w:pPr>
        <w:ind w:left="1200" w:hanging="603"/>
        <w:spacing w:after="0" w:line="219" w:lineRule="exact"/>
        <w:tabs>
          <w:tab w:leader="none" w:pos="944"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ind w:left="940" w:hanging="343"/>
        <w:spacing w:after="0" w:line="207" w:lineRule="exact"/>
        <w:tabs>
          <w:tab w:leader="none" w:pos="94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after the filing of the next amendment to this Form (if preliminary material is being filed).</w:t>
      </w:r>
    </w:p>
    <w:p>
      <w:pPr>
        <w:spacing w:after="0" w:line="198" w:lineRule="exact"/>
        <w:rPr>
          <w:sz w:val="20"/>
          <w:szCs w:val="20"/>
          <w:color w:val="auto"/>
        </w:rPr>
      </w:pPr>
    </w:p>
    <w:p>
      <w:pPr>
        <w:ind w:firstLine="692"/>
        <w:spacing w:after="0" w:line="285" w:lineRule="exact"/>
        <w:rPr>
          <w:sz w:val="20"/>
          <w:szCs w:val="20"/>
          <w:color w:val="auto"/>
        </w:rPr>
      </w:pPr>
      <w:r>
        <w:rPr>
          <w:rFonts w:ascii="Times New Roman" w:cs="Times New Roman" w:eastAsia="Times New Roman" w:hAnsi="Times New Roman"/>
          <w:sz w:val="22"/>
          <w:szCs w:val="22"/>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This post-effective amendment No. 1 is being filed for the sole purpose of modifying the short form base shelf prospectus dated August 17, 2023, as amended by Amendment No. 1 dated December 22, 2023 of Cybin Inc. (the "Registrant") to provide that the securities that may be offered and issued thereunder will include distributions by various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INFORMATION REQUIRED TO BE DELIVERED TO OFFEREES OR PURCHASERS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Amendment No. 2 dated April 8, 2024 to the Short Form Base Shelf Prospectus dated August 17, 2023, as amended by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22, 2023</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short form base shelf prospectus dated August 17, 2023, as amended by Amendment No. 1 dated December 22, 2023 (collectively,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of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is hereby amended by this Amendment No. 2 to provide that the securities that may be offered and issued thereunder will include distributions by various selling securityholders. Capitalized terms used but not otherwise defined in this Amendment No. 2 have the meanings ascribed thereto in the Prospectus.</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567" w:right="339" w:bottom="41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67" w:right="339" w:bottom="418" w:gutter="0" w:footer="0" w:header="0"/>
          <w:type w:val="continuous"/>
        </w:sectPr>
      </w:pPr>
    </w:p>
    <w:bookmarkStart w:id="4" w:name="page5"/>
    <w:bookmarkEnd w:id="4"/>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2.</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paragraph of the text on the face page of the Prospectus, as so amended, is deleted and replaced with the following:</w:t>
      </w:r>
    </w:p>
    <w:p>
      <w:pPr>
        <w:spacing w:after="0" w:line="202"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second, third and fourth paragraphs on page ii of the Prospectus, and replacing with the following:</w:t>
      </w:r>
    </w:p>
    <w:p>
      <w:pPr>
        <w:spacing w:after="0" w:line="15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ectPr>
          <w:pgSz w:w="11900" w:h="16838" w:orient="portrait"/>
          <w:cols w:equalWidth="0" w:num="1">
            <w:col w:w="11240"/>
          </w:cols>
          <w:pgMar w:left="320" w:top="108" w:right="339" w:bottom="63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634" w:gutter="0" w:footer="0" w:header="0"/>
          <w:type w:val="continuous"/>
        </w:sectPr>
      </w:pPr>
    </w:p>
    <w:bookmarkStart w:id="5" w:name="page6"/>
    <w:bookmarkEnd w:id="5"/>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84"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Distributions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right="20" w:hanging="428"/>
        <w:spacing w:after="0" w:line="262"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428"/>
        <w:spacing w:after="0" w:line="258"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468" w:hanging="468"/>
        <w:spacing w:after="0"/>
        <w:tabs>
          <w:tab w:leader="none" w:pos="46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right="20" w:hanging="428"/>
        <w:spacing w:after="0" w:line="258" w:lineRule="auto"/>
        <w:tabs>
          <w:tab w:leader="none" w:pos="4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428" w:hanging="428"/>
        <w:spacing w:after="0" w:line="238" w:lineRule="auto"/>
        <w:tabs>
          <w:tab w:leader="none" w:pos="4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39" w:lineRule="auto"/>
        <w:tabs>
          <w:tab w:leader="none" w:pos="4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428" w:hanging="428"/>
        <w:spacing w:after="0" w:line="241" w:lineRule="auto"/>
        <w:tabs>
          <w:tab w:leader="none" w:pos="47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pacing w:after="0" w:line="217" w:lineRule="exact"/>
        <w:rPr>
          <w:rFonts w:ascii="Times New Roman" w:cs="Times New Roman" w:eastAsia="Times New Roman" w:hAnsi="Times New Roman"/>
          <w:sz w:val="21"/>
          <w:szCs w:val="21"/>
          <w:color w:val="auto"/>
        </w:rPr>
      </w:pPr>
    </w:p>
    <w:p>
      <w:pPr>
        <w:jc w:val="both"/>
        <w:ind w:left="428" w:right="20" w:hanging="428"/>
        <w:spacing w:after="0" w:line="244" w:lineRule="auto"/>
        <w:tabs>
          <w:tab w:leader="none" w:pos="47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March 21, 2024 relating to the private placement offering of 348,837,210 Common Shares of the Corporation at a price of US$0.43 per Common Share for gross proceeds of US150,000,000, before deducting fees and expenses related to the offering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146050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368"/>
          </w:cols>
          <w:pgMar w:left="1192" w:top="111" w:right="339" w:bottom="144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February 13, 2024, the date of the Interim Financial Statements and Interim MD&amp;A.</w:t>
      </w:r>
    </w:p>
    <w:p>
      <w:pPr>
        <w:spacing w:after="0" w:line="17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13, 2024, the Corporation announced that the FDA has granted Breakthrough Therapy Designation to CYB003, the Corporation's proprietary deuterated psilocybin analog in development for the adjunctive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14, 2024, the Corporation announced a positive End-of-Phase 2 meeting with the FDA for CYB003.</w:t>
      </w:r>
    </w:p>
    <w:p>
      <w:pPr>
        <w:spacing w:after="0" w:line="20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15, 2024, the Corporation announced the initiation of a Phase 2 proof-of-concept study of CYB004, its proprietary DMT molecule in development for the treatment of Generalized Anxiety Disorder. In January 2024, the FDA cleared Cybin's Investigational New Drug application for CYB004.</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19, 2024, the Corporation announced the closing of the Private Placement."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first paragraph under the section titled "Use of Proceeds" and replacing it with the following:</w:t>
      </w:r>
    </w:p>
    <w:p>
      <w:pPr>
        <w:spacing w:after="0" w:line="15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section title and accompanying text directly under the section titled "Use of Proceeds":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21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The Prospectus may also from time to time, relate to the Offering of Securities by way of a secondary offering (each, a "</w:t>
      </w:r>
      <w:r>
        <w:rPr>
          <w:rFonts w:ascii="Times New Roman" w:cs="Times New Roman" w:eastAsia="Times New Roman" w:hAnsi="Times New Roman"/>
          <w:sz w:val="21"/>
          <w:szCs w:val="21"/>
          <w:b w:val="1"/>
          <w:bCs w:val="1"/>
          <w:color w:val="auto"/>
        </w:rPr>
        <w:t>Secondary Offering</w:t>
      </w:r>
      <w:r>
        <w:rPr>
          <w:rFonts w:ascii="Times New Roman" w:cs="Times New Roman" w:eastAsia="Times New Roman" w:hAnsi="Times New Roman"/>
          <w:sz w:val="21"/>
          <w:szCs w:val="21"/>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w:t>
      </w:r>
    </w:p>
    <w:p>
      <w:pPr>
        <w:spacing w:after="0" w:line="3" w:lineRule="exact"/>
        <w:rPr>
          <w:sz w:val="20"/>
          <w:szCs w:val="20"/>
          <w:color w:val="auto"/>
        </w:rPr>
      </w:pPr>
    </w:p>
    <w:p>
      <w:pPr>
        <w:jc w:val="both"/>
        <w:ind w:left="660" w:hanging="4"/>
        <w:spacing w:after="0" w:line="231" w:lineRule="auto"/>
        <w:tabs>
          <w:tab w:leader="none" w:pos="105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"Plan of Distribution" and replacing it with the following: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$400,000,000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77"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Shareholders may sell Securities to or through underwriters or dealers purchasing as principals and may also sell Securities to one or more purchasers directly, through statutory exemptions, or through agents designated from time to time.</w:t>
      </w:r>
    </w:p>
    <w:p>
      <w:pPr>
        <w:spacing w:after="0" w:line="181"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8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ectPr>
          <w:pgSz w:w="11900" w:h="16838" w:orient="portrait"/>
          <w:cols w:equalWidth="0" w:num="1">
            <w:col w:w="11240"/>
          </w:cols>
          <w:pgMar w:left="320" w:top="11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9" w:name="page10"/>
    <w:bookmarkEnd w:id="9"/>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22,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filed with the SEC an appointment of agent for service of process on Form F-X relating to the registration statement of which this Prospectus forms a part.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ind w:left="524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INFORMATION NOT REQUIRED TO BE DELIVERED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OFFEREES OR PURCHASERS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Indemnification of Directors and Officers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w:t>
      </w:r>
    </w:p>
    <w:p>
      <w:pPr>
        <w:spacing w:after="0" w:line="1" w:lineRule="exact"/>
        <w:rPr>
          <w:sz w:val="20"/>
          <w:szCs w:val="20"/>
          <w:color w:val="auto"/>
        </w:rPr>
      </w:pPr>
    </w:p>
    <w:p>
      <w:pPr>
        <w:jc w:val="both"/>
        <w:ind w:firstLine="8"/>
        <w:spacing w:after="0" w:line="232" w:lineRule="auto"/>
        <w:tabs>
          <w:tab w:leader="none" w:pos="35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by-laws of the Registrant provide that, subject to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(Ontario).</w:t>
      </w:r>
    </w:p>
    <w:p>
      <w:pPr>
        <w:jc w:val="center"/>
        <w:spacing w:after="0" w:line="231" w:lineRule="auto"/>
        <w:rPr>
          <w:sz w:val="20"/>
          <w:szCs w:val="20"/>
          <w:color w:val="auto"/>
        </w:rPr>
      </w:pPr>
      <w:r>
        <w:rPr>
          <w:rFonts w:ascii="Times New Roman" w:cs="Times New Roman" w:eastAsia="Times New Roman" w:hAnsi="Times New Roman"/>
          <w:sz w:val="22"/>
          <w:szCs w:val="22"/>
          <w:color w:val="auto"/>
        </w:rPr>
        <w:t>* * *</w:t>
      </w:r>
    </w:p>
    <w:p>
      <w:pPr>
        <w:jc w:val="both"/>
        <w:spacing w:after="0" w:line="249" w:lineRule="auto"/>
        <w:rPr>
          <w:sz w:val="20"/>
          <w:szCs w:val="20"/>
          <w:color w:val="auto"/>
        </w:rPr>
      </w:pPr>
      <w:r>
        <w:rPr>
          <w:rFonts w:ascii="Times New Roman" w:cs="Times New Roman" w:eastAsia="Times New Roman" w:hAnsi="Times New Roman"/>
          <w:sz w:val="21"/>
          <w:szCs w:val="21"/>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420"/>
        <w:spacing w:after="0"/>
        <w:tabs>
          <w:tab w:leader="none" w:pos="900" w:val="left"/>
        </w:tabs>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8"/>
            <w:szCs w:val="18"/>
            <w:u w:val="single" w:color="auto"/>
            <w:color w:val="0000EE"/>
          </w:rPr>
          <w:t>The annual information form of the Registrant dated June 27, 2023 for the year ended March 31, 2023 (incorporated by reference from Exhibit</w:t>
        </w:r>
      </w:hyperlink>
    </w:p>
    <w:p>
      <w:pPr>
        <w:spacing w:after="0" w:line="23"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99.1 of the Registrant's Annual Report on Form 40-F, filed with the Commission on June 27, 2023)</w:t>
        </w:r>
      </w:hyperlink>
    </w:p>
    <w:p>
      <w:pPr>
        <w:spacing w:after="0" w:line="207" w:lineRule="exact"/>
        <w:rPr>
          <w:sz w:val="20"/>
          <w:szCs w:val="20"/>
          <w:color w:val="auto"/>
        </w:rPr>
      </w:pPr>
    </w:p>
    <w:p>
      <w:pPr>
        <w:jc w:val="both"/>
        <w:ind w:left="920" w:hanging="494"/>
        <w:spacing w:after="0" w:line="266" w:lineRule="auto"/>
        <w:tabs>
          <w:tab w:leader="none" w:pos="90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The audited consolidated financial statements of the Registrant and the notes thereto as at and for the fiscal year ended March 31, 2023,</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together with the auditor's report thereon (incorporated by reference from Exhibit 99.2 of the Registrant's Annual Report on Form 40-F, filed</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with the Commission on June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EE"/>
        </w:rPr>
      </w:pPr>
    </w:p>
    <w:p>
      <w:pPr>
        <w:jc w:val="both"/>
        <w:ind w:left="920" w:right="20" w:hanging="49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5">
        <w:r>
          <w:rPr>
            <w:rFonts w:ascii="Times New Roman" w:cs="Times New Roman" w:eastAsia="Times New Roman" w:hAnsi="Times New Roman"/>
            <w:sz w:val="18"/>
            <w:szCs w:val="18"/>
            <w:u w:val="single" w:color="auto"/>
            <w:color w:val="0000EE"/>
          </w:rPr>
          <w:t>Management's discussion and analysis of the Registrant for the year ended March 31, 2023 (incorporated by reference from Exhibit 99.3 of the</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Registrant's Annual Report on Form 40-F, filed with the Commission on June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jc w:val="both"/>
        <w:ind w:left="920" w:hanging="404"/>
        <w:spacing w:after="0" w:line="266" w:lineRule="auto"/>
        <w:tabs>
          <w:tab w:leader="none" w:pos="900" w:val="left"/>
        </w:tabs>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4.4</w:t>
        </w:r>
      </w:hyperlink>
      <w:r>
        <w:rPr>
          <w:rFonts w:ascii="Times New Roman" w:cs="Times New Roman" w:eastAsia="Times New Roman" w:hAnsi="Times New Roman"/>
          <w:sz w:val="18"/>
          <w:szCs w:val="18"/>
          <w:u w:val="single" w:color="auto"/>
          <w:color w:val="0000EE"/>
        </w:rPr>
        <w:tab/>
      </w:r>
      <w:hyperlink r:id="rId27">
        <w:r>
          <w:rPr>
            <w:rFonts w:ascii="Times New Roman" w:cs="Times New Roman" w:eastAsia="Times New Roman" w:hAnsi="Times New Roman"/>
            <w:sz w:val="18"/>
            <w:szCs w:val="18"/>
            <w:u w:val="single" w:color="auto"/>
            <w:color w:val="0000EE"/>
          </w:rPr>
          <w:t>The unaudited interim condensed consolidated financial statements of the Registrant and the notes thereto for the three and nine months ended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December 31, 2023 (incorporated by reference from Exhibit 99.1 of the Registrant's Form 6-K/A, furnished to the Commission on February</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15, 2024)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EE"/>
        </w:rPr>
      </w:pPr>
    </w:p>
    <w:p>
      <w:pPr>
        <w:jc w:val="both"/>
        <w:ind w:left="920" w:hanging="40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4.5</w:t>
        </w:r>
      </w:hyperlink>
      <w:r>
        <w:rPr>
          <w:rFonts w:ascii="Times New Roman" w:cs="Times New Roman" w:eastAsia="Times New Roman" w:hAnsi="Times New Roman"/>
          <w:sz w:val="18"/>
          <w:szCs w:val="18"/>
          <w:u w:val="single" w:color="auto"/>
          <w:color w:val="0000EE"/>
        </w:rPr>
        <w:tab/>
      </w:r>
      <w:hyperlink r:id="rId29">
        <w:r>
          <w:rPr>
            <w:rFonts w:ascii="Times New Roman" w:cs="Times New Roman" w:eastAsia="Times New Roman" w:hAnsi="Times New Roman"/>
            <w:sz w:val="18"/>
            <w:szCs w:val="18"/>
            <w:u w:val="single" w:color="auto"/>
            <w:color w:val="0000EE"/>
          </w:rPr>
          <w:t>Management's discussion and analysis of the Registrant for the three and nine months ended December 31, 2023 (incorporated by reference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from Exhibit 99.2 of the Registrant's Form 6-K/A, furnished to the Commission on February 15,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jc w:val="both"/>
        <w:ind w:left="920" w:hanging="494"/>
        <w:spacing w:after="0" w:line="266" w:lineRule="auto"/>
        <w:tabs>
          <w:tab w:leader="none" w:pos="900" w:val="left"/>
        </w:tabs>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4.6*</w:t>
        </w:r>
      </w:hyperlink>
      <w:r>
        <w:rPr>
          <w:rFonts w:ascii="Times New Roman" w:cs="Times New Roman" w:eastAsia="Times New Roman" w:hAnsi="Times New Roman"/>
          <w:sz w:val="18"/>
          <w:szCs w:val="18"/>
          <w:u w:val="single" w:color="auto"/>
          <w:color w:val="0000EE"/>
        </w:rPr>
        <w:tab/>
      </w:r>
      <w:hyperlink r:id="rId31">
        <w:r>
          <w:rPr>
            <w:rFonts w:ascii="Times New Roman" w:cs="Times New Roman" w:eastAsia="Times New Roman" w:hAnsi="Times New Roman"/>
            <w:sz w:val="18"/>
            <w:szCs w:val="18"/>
            <w:u w:val="single" w:color="auto"/>
            <w:color w:val="0000EE"/>
          </w:rPr>
          <w:t>The management information circular of the Registrant dated September 13, 2023 relating to an annual and special meeting of shareholders of</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the Registrant held on October 12, 2023 (incorporated by reference from Exhibit 99.1 of the Registrant's Form 6-K, furnished to the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Commission on September 14,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EE"/>
        </w:rPr>
      </w:pPr>
    </w:p>
    <w:p>
      <w:pPr>
        <w:ind w:left="920" w:hanging="40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4.7</w:t>
        </w:r>
      </w:hyperlink>
      <w:r>
        <w:rPr>
          <w:rFonts w:ascii="Times New Roman" w:cs="Times New Roman" w:eastAsia="Times New Roman" w:hAnsi="Times New Roman"/>
          <w:sz w:val="18"/>
          <w:szCs w:val="18"/>
          <w:u w:val="single" w:color="auto"/>
          <w:color w:val="0000EE"/>
        </w:rPr>
        <w:tab/>
      </w:r>
      <w:hyperlink r:id="rId33">
        <w:r>
          <w:rPr>
            <w:rFonts w:ascii="Times New Roman" w:cs="Times New Roman" w:eastAsia="Times New Roman" w:hAnsi="Times New Roman"/>
            <w:sz w:val="18"/>
            <w:szCs w:val="18"/>
            <w:u w:val="single" w:color="auto"/>
            <w:color w:val="0000EE"/>
          </w:rPr>
          <w:t>The material change report of the Registrant dated March 21, 2024 (incorporated by reference from Exhibit 99.1 of the Registrant's Form 6-K,</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furnished to the Commission on March 22,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420"/>
        <w:spacing w:after="0"/>
        <w:tabs>
          <w:tab w:leader="none" w:pos="900" w:val="left"/>
        </w:tabs>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4.8*</w:t>
        </w:r>
      </w:hyperlink>
      <w:r>
        <w:rPr>
          <w:rFonts w:ascii="Times New Roman" w:cs="Times New Roman" w:eastAsia="Times New Roman" w:hAnsi="Times New Roman"/>
          <w:sz w:val="18"/>
          <w:szCs w:val="18"/>
          <w:u w:val="single" w:color="auto"/>
          <w:color w:val="0000EE"/>
        </w:rPr>
        <w:tab/>
      </w:r>
      <w:hyperlink r:id="rId35">
        <w:r>
          <w:rPr>
            <w:rFonts w:ascii="Times New Roman" w:cs="Times New Roman" w:eastAsia="Times New Roman" w:hAnsi="Times New Roman"/>
            <w:sz w:val="18"/>
            <w:szCs w:val="18"/>
            <w:u w:val="single" w:color="auto"/>
            <w:color w:val="0000EE"/>
          </w:rPr>
          <w:t>The material change report of the Registrant dated November 20, 2023 (incorporated by reference from Exhibit 99.1 of the Registrant's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6-K, furnished to the Commission on November 21, 2023)</w:t>
        </w:r>
      </w:hyperlink>
    </w:p>
    <w:p>
      <w:pPr>
        <w:spacing w:after="0" w:line="207" w:lineRule="exact"/>
        <w:rPr>
          <w:sz w:val="20"/>
          <w:szCs w:val="20"/>
          <w:color w:val="auto"/>
        </w:rPr>
      </w:pPr>
    </w:p>
    <w:p>
      <w:pPr>
        <w:ind w:left="920" w:right="20" w:hanging="49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4.9*</w:t>
        </w:r>
      </w:hyperlink>
      <w:r>
        <w:rPr>
          <w:rFonts w:ascii="Times New Roman" w:cs="Times New Roman" w:eastAsia="Times New Roman" w:hAnsi="Times New Roman"/>
          <w:sz w:val="18"/>
          <w:szCs w:val="18"/>
          <w:u w:val="single" w:color="auto"/>
          <w:color w:val="0000EE"/>
        </w:rPr>
        <w:tab/>
      </w:r>
      <w:hyperlink r:id="rId37">
        <w:r>
          <w:rPr>
            <w:rFonts w:ascii="Times New Roman" w:cs="Times New Roman" w:eastAsia="Times New Roman" w:hAnsi="Times New Roman"/>
            <w:sz w:val="18"/>
            <w:szCs w:val="18"/>
            <w:u w:val="single" w:color="auto"/>
            <w:color w:val="0000EE"/>
          </w:rPr>
          <w:t>The material change report of the Registrant dated October 25, 2023 (incorporated by reference from Exhibit 99.1 of the Registrant's Form 6-</w:t>
        </w:r>
      </w:hyperlink>
      <w:hyperlink r:id="rId37">
        <w:r>
          <w:rPr>
            <w:rFonts w:ascii="Times New Roman" w:cs="Times New Roman" w:eastAsia="Times New Roman" w:hAnsi="Times New Roman"/>
            <w:sz w:val="18"/>
            <w:szCs w:val="18"/>
            <w:u w:val="single" w:color="auto"/>
            <w:color w:val="0000EE"/>
          </w:rPr>
          <w:t>K, furnished to the Commission on October 25,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920" w:hanging="58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4.10*</w:t>
        </w:r>
      </w:hyperlink>
      <w:r>
        <w:rPr>
          <w:rFonts w:ascii="Times New Roman" w:cs="Times New Roman" w:eastAsia="Times New Roman" w:hAnsi="Times New Roman"/>
          <w:sz w:val="18"/>
          <w:szCs w:val="18"/>
          <w:u w:val="single" w:color="auto"/>
          <w:color w:val="0000EE"/>
        </w:rPr>
        <w:tab/>
      </w:r>
      <w:hyperlink r:id="rId39">
        <w:r>
          <w:rPr>
            <w:rFonts w:ascii="Times New Roman" w:cs="Times New Roman" w:eastAsia="Times New Roman" w:hAnsi="Times New Roman"/>
            <w:sz w:val="18"/>
            <w:szCs w:val="18"/>
            <w:u w:val="single" w:color="auto"/>
            <w:color w:val="0000EE"/>
          </w:rPr>
          <w:t>The material change report of the Registrant dated September 7, 2023 (incorporated by reference from Exhibit 99.1 of the Registrant's Form 6-</w:t>
        </w:r>
      </w:hyperlink>
      <w:hyperlink r:id="rId39">
        <w:r>
          <w:rPr>
            <w:rFonts w:ascii="Times New Roman" w:cs="Times New Roman" w:eastAsia="Times New Roman" w:hAnsi="Times New Roman"/>
            <w:sz w:val="18"/>
            <w:szCs w:val="18"/>
            <w:u w:val="single" w:color="auto"/>
            <w:color w:val="0000EE"/>
          </w:rPr>
          <w:t>K, furnished to the Commission on September 12,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920" w:hanging="577"/>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4.11*</w:t>
        </w:r>
      </w:hyperlink>
      <w:r>
        <w:rPr>
          <w:rFonts w:ascii="Times New Roman" w:cs="Times New Roman" w:eastAsia="Times New Roman" w:hAnsi="Times New Roman"/>
          <w:sz w:val="18"/>
          <w:szCs w:val="18"/>
          <w:u w:val="single" w:color="auto"/>
          <w:color w:val="0000EE"/>
        </w:rPr>
        <w:tab/>
      </w:r>
      <w:hyperlink r:id="rId41">
        <w:r>
          <w:rPr>
            <w:rFonts w:ascii="Times New Roman" w:cs="Times New Roman" w:eastAsia="Times New Roman" w:hAnsi="Times New Roman"/>
            <w:sz w:val="18"/>
            <w:szCs w:val="18"/>
            <w:u w:val="single" w:color="auto"/>
            <w:color w:val="0000EE"/>
          </w:rPr>
          <w:t>The material change report of the Registrant dated August 23, 2023 (incorporated by reference from Exhibit 99.5 of the Registrant's Form 6-K,</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furnished to the Commission on August 24,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920" w:hanging="58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4.12*</w:t>
        </w:r>
      </w:hyperlink>
      <w:r>
        <w:rPr>
          <w:rFonts w:ascii="Times New Roman" w:cs="Times New Roman" w:eastAsia="Times New Roman" w:hAnsi="Times New Roman"/>
          <w:sz w:val="18"/>
          <w:szCs w:val="18"/>
          <w:u w:val="single" w:color="auto"/>
          <w:color w:val="0000EE"/>
        </w:rPr>
        <w:tab/>
      </w:r>
      <w:hyperlink r:id="rId43">
        <w:r>
          <w:rPr>
            <w:rFonts w:ascii="Times New Roman" w:cs="Times New Roman" w:eastAsia="Times New Roman" w:hAnsi="Times New Roman"/>
            <w:sz w:val="18"/>
            <w:szCs w:val="18"/>
            <w:u w:val="single" w:color="auto"/>
            <w:color w:val="0000EE"/>
          </w:rPr>
          <w:t>The material change report of the Registrant dated August 8, 2023 (incorporated by reference from Exhibit 99.1 of the Registrant's Form 6-K,</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furnished to the Commission on August 9,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920" w:hanging="58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4.13*</w:t>
        </w:r>
      </w:hyperlink>
      <w:r>
        <w:rPr>
          <w:rFonts w:ascii="Times New Roman" w:cs="Times New Roman" w:eastAsia="Times New Roman" w:hAnsi="Times New Roman"/>
          <w:sz w:val="18"/>
          <w:szCs w:val="18"/>
          <w:u w:val="single" w:color="auto"/>
          <w:color w:val="0000EE"/>
        </w:rPr>
        <w:tab/>
      </w:r>
      <w:hyperlink r:id="rId45">
        <w:r>
          <w:rPr>
            <w:rFonts w:ascii="Times New Roman" w:cs="Times New Roman" w:eastAsia="Times New Roman" w:hAnsi="Times New Roman"/>
            <w:sz w:val="18"/>
            <w:szCs w:val="18"/>
            <w:u w:val="single" w:color="auto"/>
            <w:color w:val="0000EE"/>
          </w:rPr>
          <w:t>The material change report of the Registrant dated May 31, 2023 (incorporated by reference from Exhibit 99.1 of the Registrant's Form 6-K,</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furnished to the Commission on June 1,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920" w:right="20" w:hanging="584"/>
        <w:spacing w:after="0" w:line="282" w:lineRule="auto"/>
        <w:tabs>
          <w:tab w:leader="none" w:pos="900" w:val="left"/>
        </w:tabs>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4.14*</w:t>
        </w:r>
      </w:hyperlink>
      <w:r>
        <w:rPr>
          <w:rFonts w:ascii="Times New Roman" w:cs="Times New Roman" w:eastAsia="Times New Roman" w:hAnsi="Times New Roman"/>
          <w:sz w:val="18"/>
          <w:szCs w:val="18"/>
          <w:u w:val="single" w:color="auto"/>
          <w:color w:val="0000EE"/>
        </w:rPr>
        <w:tab/>
      </w:r>
      <w:hyperlink r:id="rId47">
        <w:r>
          <w:rPr>
            <w:rFonts w:ascii="Times New Roman" w:cs="Times New Roman" w:eastAsia="Times New Roman" w:hAnsi="Times New Roman"/>
            <w:sz w:val="18"/>
            <w:szCs w:val="18"/>
            <w:u w:val="single" w:color="auto"/>
            <w:color w:val="0000EE"/>
          </w:rPr>
          <w:t>The business acquisition report (incorporated by reference from Exhibit 99.1 of the Registrant's Form 6-K, furnished to the Commission on</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October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5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Consent of Zeifmans LLP</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ind w:left="5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7"/>
          <w:szCs w:val="17"/>
          <w:u w:val="single" w:color="auto"/>
          <w:color w:val="0000EE"/>
        </w:rPr>
        <w:t>Consent of MNP LLP</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left="420"/>
        <w:spacing w:after="0"/>
        <w:tabs>
          <w:tab w:leader="none" w:pos="900" w:val="left"/>
        </w:tabs>
        <w:rPr>
          <w:rFonts w:ascii="Times New Roman" w:cs="Times New Roman" w:eastAsia="Times New Roman" w:hAnsi="Times New Roman"/>
          <w:sz w:val="17"/>
          <w:szCs w:val="17"/>
          <w:u w:val="single" w:color="auto"/>
          <w:color w:val="0000EE"/>
        </w:rPr>
      </w:pPr>
      <w:hyperlink r:id="rId52">
        <w:r>
          <w:rPr>
            <w:rFonts w:ascii="Times New Roman" w:cs="Times New Roman" w:eastAsia="Times New Roman" w:hAnsi="Times New Roman"/>
            <w:sz w:val="18"/>
            <w:szCs w:val="18"/>
            <w:u w:val="single" w:color="auto"/>
            <w:color w:val="0000EE"/>
          </w:rPr>
          <w:t>6.1*</w:t>
        </w:r>
      </w:hyperlink>
      <w:r>
        <w:rPr>
          <w:rFonts w:ascii="Times New Roman" w:cs="Times New Roman" w:eastAsia="Times New Roman" w:hAnsi="Times New Roman"/>
          <w:sz w:val="18"/>
          <w:szCs w:val="18"/>
          <w:u w:val="single" w:color="auto"/>
          <w:color w:val="0000EE"/>
        </w:rPr>
        <w:tab/>
      </w:r>
      <w:hyperlink r:id="rId52">
        <w:r>
          <w:rPr>
            <w:rFonts w:ascii="Times New Roman" w:cs="Times New Roman" w:eastAsia="Times New Roman" w:hAnsi="Times New Roman"/>
            <w:sz w:val="17"/>
            <w:szCs w:val="17"/>
            <w:u w:val="single" w:color="auto"/>
            <w:color w:val="0000EE"/>
          </w:rPr>
          <w:t>Powers of Attorney (contained on the signature page of the F-10 Registration Statement filed with the Commission on December 29, 2023)</w:t>
        </w:r>
      </w:hyperlink>
    </w:p>
    <w:p>
      <w:pPr>
        <w:spacing w:after="0" w:line="225" w:lineRule="exact"/>
        <w:rPr>
          <w:sz w:val="20"/>
          <w:szCs w:val="20"/>
          <w:color w:val="auto"/>
        </w:rPr>
      </w:pPr>
    </w:p>
    <w:p>
      <w:pPr>
        <w:ind w:left="420"/>
        <w:spacing w:after="0"/>
        <w:tabs>
          <w:tab w:leader="none" w:pos="900" w:val="left"/>
        </w:tabs>
        <w:rPr>
          <w:rFonts w:ascii="Times New Roman" w:cs="Times New Roman" w:eastAsia="Times New Roman" w:hAnsi="Times New Roman"/>
          <w:sz w:val="17"/>
          <w:szCs w:val="17"/>
          <w:u w:val="single" w:color="auto"/>
          <w:color w:val="0000EE"/>
        </w:rPr>
      </w:pPr>
      <w:hyperlink r:id="rId53">
        <w:r>
          <w:rPr>
            <w:rFonts w:ascii="Times New Roman" w:cs="Times New Roman" w:eastAsia="Times New Roman" w:hAnsi="Times New Roman"/>
            <w:sz w:val="18"/>
            <w:szCs w:val="18"/>
            <w:u w:val="single" w:color="auto"/>
            <w:color w:val="0000EE"/>
          </w:rPr>
          <w:t>7.1*</w:t>
        </w:r>
      </w:hyperlink>
      <w:r>
        <w:rPr>
          <w:rFonts w:ascii="Times New Roman" w:cs="Times New Roman" w:eastAsia="Times New Roman" w:hAnsi="Times New Roman"/>
          <w:sz w:val="18"/>
          <w:szCs w:val="18"/>
          <w:u w:val="single" w:color="auto"/>
          <w:color w:val="0000EE"/>
        </w:rPr>
        <w:tab/>
      </w:r>
      <w:hyperlink r:id="rId53">
        <w:r>
          <w:rPr>
            <w:rFonts w:ascii="Times New Roman" w:cs="Times New Roman" w:eastAsia="Times New Roman" w:hAnsi="Times New Roman"/>
            <w:sz w:val="17"/>
            <w:szCs w:val="17"/>
            <w:u w:val="single" w:color="auto"/>
            <w:color w:val="0000EE"/>
          </w:rPr>
          <w:t>Form of Debt Indenture</w:t>
        </w:r>
      </w:hyperlink>
    </w:p>
    <w:p>
      <w:pPr>
        <w:spacing w:after="0" w:line="225" w:lineRule="exact"/>
        <w:rPr>
          <w:sz w:val="20"/>
          <w:szCs w:val="20"/>
          <w:color w:val="auto"/>
        </w:rPr>
      </w:pPr>
    </w:p>
    <w:p>
      <w:pPr>
        <w:ind w:left="380"/>
        <w:spacing w:after="0"/>
        <w:tabs>
          <w:tab w:leader="none" w:pos="9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u w:val="single" w:color="auto"/>
          <w:color w:val="0000EE"/>
        </w:rPr>
        <w:t>107*</w:t>
      </w:r>
      <w:r>
        <w:rPr>
          <w:sz w:val="20"/>
          <w:szCs w:val="20"/>
          <w:color w:val="auto"/>
        </w:rPr>
        <w:tab/>
      </w:r>
      <w:hyperlink r:id="rId54">
        <w:r>
          <w:rPr>
            <w:rFonts w:ascii="Times New Roman" w:cs="Times New Roman" w:eastAsia="Times New Roman" w:hAnsi="Times New Roman"/>
            <w:sz w:val="17"/>
            <w:szCs w:val="17"/>
            <w:u w:val="single" w:color="auto"/>
            <w:color w:val="0000EE"/>
          </w:rPr>
          <w:t>Filing Fee Table</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40"/>
          </w:cols>
          <w:pgMar w:left="320" w:top="364" w:right="6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as amended, the registrant certifies that it has reasonable grounds to believe that it meets all of the requirements for filing on Form F-10 and has duly caused this Post-Effective Amendment No.1 to the Registration Statement to be signed on its behalf by the undersigned, thereunto duly authorized, in the City of Toronto, Country of Canada on April 10, 2024.</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 Cavers</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as amended, this Post-Effective Amendment No.1 to the Registration Statement has been signed below by the following persons in the capacities indicated and on the dates indicated.</w:t>
      </w:r>
    </w:p>
    <w:p>
      <w:pPr>
        <w:sectPr>
          <w:pgSz w:w="11900" w:h="16838" w:orient="portrait"/>
          <w:cols w:equalWidth="0" w:num="1">
            <w:col w:w="11220"/>
          </w:cols>
          <w:pgMar w:left="320" w:top="108" w:right="359" w:bottom="1440" w:gutter="0" w:footer="0" w:header="0"/>
        </w:sectPr>
      </w:pPr>
    </w:p>
    <w:p>
      <w:pPr>
        <w:spacing w:after="0" w:line="16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/s/ Douglas Drysdale</w:t>
      </w: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/s/ Greg Cavers</w:t>
      </w: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28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Eric So</w:t>
      </w:r>
    </w:p>
    <w:p>
      <w:pPr>
        <w:spacing w:after="0" w:line="21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Eric Hoskins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Grant Froese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Mark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28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Theresa Firestone</w:t>
      </w:r>
    </w:p>
    <w:p>
      <w:pPr>
        <w:spacing w:after="0" w:line="21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4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Paul Glavine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George Tziras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28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__</w:t>
      </w:r>
      <w:r>
        <w:rPr>
          <w:rFonts w:ascii="Times New Roman" w:cs="Times New Roman" w:eastAsia="Times New Roman" w:hAnsi="Times New Roman"/>
          <w:sz w:val="21"/>
          <w:szCs w:val="21"/>
          <w:i w:val="1"/>
          <w:iCs w:val="1"/>
          <w:u w:val="single" w:color="auto"/>
          <w:color w:val="auto"/>
        </w:rPr>
        <w:t>/s/ Douglas Drysdale</w:t>
      </w:r>
      <w:r>
        <w:rPr>
          <w:rFonts w:ascii="Times New Roman" w:cs="Times New Roman" w:eastAsia="Times New Roman" w:hAnsi="Times New Roman"/>
          <w:sz w:val="21"/>
          <w:szCs w:val="21"/>
          <w:b w:val="1"/>
          <w:bCs w:val="1"/>
          <w:color w:val="auto"/>
        </w:rPr>
        <w:t xml:space="preserve"> 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Name: </w:t>
      </w:r>
      <w:r>
        <w:rPr>
          <w:rFonts w:ascii="Times New Roman" w:cs="Times New Roman" w:eastAsia="Times New Roman" w:hAnsi="Times New Roman"/>
          <w:sz w:val="22"/>
          <w:szCs w:val="22"/>
          <w:color w:val="auto"/>
        </w:rPr>
        <w:t>Douglas Drysdale</w:t>
      </w:r>
    </w:p>
    <w:p>
      <w:pPr>
        <w:spacing w:after="0"/>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i w:val="1"/>
          <w:iCs w:val="1"/>
          <w:color w:val="auto"/>
        </w:rPr>
        <w:t>Attorney-in-fact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left="1400"/>
        <w:spacing w:after="0"/>
        <w:tabs>
          <w:tab w:leader="none" w:pos="5420" w:val="left"/>
        </w:tabs>
        <w:rPr>
          <w:sz w:val="20"/>
          <w:szCs w:val="20"/>
          <w:color w:val="auto"/>
        </w:rPr>
      </w:pPr>
      <w:r>
        <w:rPr>
          <w:rFonts w:ascii="Times New Roman" w:cs="Times New Roman" w:eastAsia="Times New Roman" w:hAnsi="Times New Roman"/>
          <w:sz w:val="18"/>
          <w:szCs w:val="18"/>
          <w:b w:val="1"/>
          <w:bCs w:val="1"/>
          <w:color w:val="auto"/>
        </w:rPr>
        <w:t>Capacity</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337"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Chief Executive Officer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36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 and Executive Chairman and President</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36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36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36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967105</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3240" w:space="620"/>
            <w:col w:w="7360"/>
          </w:cols>
          <w:pgMar w:left="320" w:top="108" w:right="35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AUTHORIZED REPRESENTATIVE</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the requirements of Section 6(a) of the Securities Act of 1933, as amended, the undersigned has signed this Post-Effective Amendment No. 1 to the Registration Statement, in the capacity of the duly authorized representative of the Registrant in the United States, on April 10, 2024.</w:t>
      </w:r>
    </w:p>
    <w:p>
      <w:pPr>
        <w:spacing w:after="0" w:line="1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__</w:t>
      </w:r>
      <w:r>
        <w:rPr>
          <w:rFonts w:ascii="Times New Roman" w:cs="Times New Roman" w:eastAsia="Times New Roman" w:hAnsi="Times New Roman"/>
          <w:sz w:val="18"/>
          <w:szCs w:val="18"/>
          <w:b w:val="1"/>
          <w:bCs w:val="1"/>
          <w:i w:val="1"/>
          <w:iCs w:val="1"/>
          <w:color w:val="auto"/>
        </w:rPr>
        <w:t>_</w:t>
      </w:r>
      <w:r>
        <w:rPr>
          <w:rFonts w:ascii="Times New Roman" w:cs="Times New Roman" w:eastAsia="Times New Roman" w:hAnsi="Times New Roman"/>
          <w:sz w:val="18"/>
          <w:szCs w:val="18"/>
          <w:i w:val="1"/>
          <w:iCs w:val="1"/>
          <w:u w:val="single" w:color="auto"/>
          <w:color w:val="auto"/>
        </w:rPr>
        <w:t>/s/ Douglas Drysdale</w:t>
      </w:r>
      <w:r>
        <w:rPr>
          <w:rFonts w:ascii="Times New Roman" w:cs="Times New Roman" w:eastAsia="Times New Roman" w:hAnsi="Times New Roman"/>
          <w:sz w:val="18"/>
          <w:szCs w:val="18"/>
          <w:b w:val="1"/>
          <w:bCs w:val="1"/>
          <w:color w:val="auto"/>
        </w:rPr>
        <w:t xml:space="preserve"> 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Douglas Drysdale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jc w:val="both"/>
        <w:ind w:right="4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1371600"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We consent to the incorporation by reference into this Post-Effective Amendment No. 1 to the Registration Statement on Form F-10 (File No. 333-276333) of Cybin Inc. (the "Company") being filed with the United States Securities and Exchange Commission, and any amendments thereto, of our report, dated June 27, 2023, with respect to the consolidated statements of financial position of the Company as of March 31, 2023 and 2022, and the consolidated statements of loss and comprehensive loss, changes in shareholders' equity and cash flows for the years then ended, and notes to the consolidated financial statements, including a summary of significant accounting policies.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Zeifmans LLP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Toronto, Canada</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Chartered Professional Accountants</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April 10, 2024</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Licensed Public Accountants</w:t>
            </w:r>
          </w:p>
        </w:tc>
        <w:tc>
          <w:tcPr>
            <w:tcW w:w="0" w:type="dxa"/>
            <w:vAlign w:val="bottom"/>
          </w:tcPr>
          <w:p>
            <w:pPr>
              <w:spacing w:after="0"/>
              <w:rPr>
                <w:sz w:val="1"/>
                <w:szCs w:val="1"/>
                <w:color w:val="auto"/>
              </w:rPr>
            </w:pPr>
          </w:p>
        </w:tc>
      </w:tr>
      <w:tr>
        <w:trPr>
          <w:trHeight w:val="243"/>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6A6A6"/>
              </w:rPr>
              <w:t>201 Bridgeland Avenue | Toronto Ontario | M6A</w:t>
            </w:r>
          </w:p>
        </w:tc>
        <w:tc>
          <w:tcPr>
            <w:tcW w:w="20" w:type="dxa"/>
            <w:vAlign w:val="bottom"/>
          </w:tcPr>
          <w:p>
            <w:pPr>
              <w:spacing w:after="0"/>
              <w:rPr>
                <w:sz w:val="21"/>
                <w:szCs w:val="21"/>
                <w:color w:val="auto"/>
              </w:rPr>
            </w:pPr>
          </w:p>
        </w:tc>
        <w:tc>
          <w:tcPr>
            <w:tcW w:w="640" w:type="dxa"/>
            <w:vAlign w:val="bottom"/>
            <w:vMerge w:val="restart"/>
          </w:tcPr>
          <w:p>
            <w:pPr>
              <w:spacing w:after="0"/>
              <w:rPr>
                <w:sz w:val="21"/>
                <w:szCs w:val="21"/>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8"/>
              </w:rPr>
              <w:t>zeifmans.ca</w:t>
            </w:r>
          </w:p>
        </w:tc>
        <w:tc>
          <w:tcPr>
            <w:tcW w:w="82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20" w:type="dxa"/>
            <w:vAlign w:val="bottom"/>
            <w:tcBorders>
              <w:bottom w:val="single" w:sz="8" w:color="BEBEBE"/>
            </w:tcBorders>
            <w:shd w:val="clear" w:color="auto" w:fill="BEBEBE"/>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tcBorders>
              <w:bottom w:val="single" w:sz="8" w:color="0000FF"/>
            </w:tcBorders>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Borders>
              <w:bottom w:val="single" w:sz="8" w:color="BEBEBE"/>
            </w:tcBorders>
            <w:shd w:val="clear" w:color="auto" w:fill="BEBEBE"/>
          </w:tcPr>
          <w:p>
            <w:pPr>
              <w:spacing w:after="0"/>
              <w:rPr>
                <w:sz w:val="16"/>
                <w:szCs w:val="16"/>
                <w:color w:val="auto"/>
              </w:rPr>
            </w:pPr>
          </w:p>
        </w:tc>
        <w:tc>
          <w:tcPr>
            <w:tcW w:w="5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6A6A6"/>
              </w:rPr>
              <w:t>1Y7 | Canada</w:t>
            </w:r>
          </w:p>
        </w:tc>
        <w:tc>
          <w:tcPr>
            <w:tcW w:w="20" w:type="dxa"/>
            <w:vAlign w:val="bottom"/>
            <w:shd w:val="clear" w:color="auto" w:fill="BEBEBE"/>
          </w:tcPr>
          <w:p>
            <w:pPr>
              <w:spacing w:after="0"/>
              <w:rPr>
                <w:sz w:val="21"/>
                <w:szCs w:val="21"/>
                <w:color w:val="auto"/>
              </w:rPr>
            </w:pPr>
          </w:p>
        </w:tc>
        <w:tc>
          <w:tcPr>
            <w:tcW w:w="6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6A6A6"/>
              </w:rPr>
              <w:t>T: 416.256.4000</w:t>
            </w:r>
          </w:p>
        </w:tc>
        <w:tc>
          <w:tcPr>
            <w:tcW w:w="20" w:type="dxa"/>
            <w:vAlign w:val="bottom"/>
            <w:shd w:val="clear" w:color="auto" w:fill="BEBEBE"/>
          </w:tcPr>
          <w:p>
            <w:pPr>
              <w:spacing w:after="0"/>
              <w:rPr>
                <w:sz w:val="21"/>
                <w:szCs w:val="21"/>
                <w:color w:val="auto"/>
              </w:rPr>
            </w:pPr>
          </w:p>
        </w:tc>
        <w:tc>
          <w:tcPr>
            <w:tcW w:w="5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8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0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-558800</wp:posOffset>
            </wp:positionV>
            <wp:extent cx="66865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ectPr>
          <w:pgSz w:w="11900" w:h="16838" w:orient="portrait"/>
          <w:cols w:equalWidth="0" w:num="1">
            <w:col w:w="11280"/>
          </w:cols>
          <w:pgMar w:left="320" w:top="1219" w:right="2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6165850</wp:posOffset>
            </wp:positionH>
            <wp:positionV relativeFrom="page">
              <wp:posOffset>252095</wp:posOffset>
            </wp:positionV>
            <wp:extent cx="1174115" cy="386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Consent of Independent Registered Public Accounting Firm</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this Post-Effective Amendment No. 1 to the Registration Statement on Form F-10 (File No. 333-276333) of Cybin Inc. (the "Company"), of our auditor's report dated June 28, 2023, with respect to the consolidated financial statements of Small Pharma Inc. as at February 28, 2023 and February 28, 2022, and for each of the years in the two year period ended February 28,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MNP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Chartered Professional Accountants</w:t>
      </w:r>
    </w:p>
    <w:p>
      <w:pPr>
        <w:spacing w:after="0"/>
        <w:rPr>
          <w:sz w:val="20"/>
          <w:szCs w:val="20"/>
          <w:color w:val="auto"/>
        </w:rPr>
      </w:pPr>
      <w:r>
        <w:rPr>
          <w:rFonts w:ascii="Times New Roman" w:cs="Times New Roman" w:eastAsia="Times New Roman" w:hAnsi="Times New Roman"/>
          <w:sz w:val="22"/>
          <w:szCs w:val="22"/>
          <w:color w:val="auto"/>
        </w:rPr>
        <w:t>Licensed Public Accountants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Canada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1"/>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lowerRoman"/>
      <w:start w:val="4"/>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6" Type="http://schemas.openxmlformats.org/officeDocument/2006/relationships/image" Target="media/image16.png"/><Relationship Id="rId28" Type="http://schemas.openxmlformats.org/officeDocument/2006/relationships/image" Target="media/image17.png"/><Relationship Id="rId30" Type="http://schemas.openxmlformats.org/officeDocument/2006/relationships/image" Target="media/image18.png"/><Relationship Id="rId32" Type="http://schemas.openxmlformats.org/officeDocument/2006/relationships/image" Target="media/image19.png"/><Relationship Id="rId34" Type="http://schemas.openxmlformats.org/officeDocument/2006/relationships/image" Target="media/image20.png"/><Relationship Id="rId36" Type="http://schemas.openxmlformats.org/officeDocument/2006/relationships/image" Target="media/image21.png"/><Relationship Id="rId38" Type="http://schemas.openxmlformats.org/officeDocument/2006/relationships/image" Target="media/image22.png"/><Relationship Id="rId40" Type="http://schemas.openxmlformats.org/officeDocument/2006/relationships/image" Target="media/image23.png"/><Relationship Id="rId42" Type="http://schemas.openxmlformats.org/officeDocument/2006/relationships/image" Target="media/image24.png"/><Relationship Id="rId44" Type="http://schemas.openxmlformats.org/officeDocument/2006/relationships/image" Target="media/image25.png"/><Relationship Id="rId46"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jpeg"/><Relationship Id="rId71" Type="http://schemas.openxmlformats.org/officeDocument/2006/relationships/image" Target="media/image47.jpeg"/><Relationship Id="rId72" Type="http://schemas.openxmlformats.org/officeDocument/2006/relationships/image" Target="media/image48.png"/><Relationship Id="rId73" Type="http://schemas.openxmlformats.org/officeDocument/2006/relationships/image" Target="media/image49.jpeg"/><Relationship Id="rId74" Type="http://schemas.openxmlformats.org/officeDocument/2006/relationships/image" Target="media/image50.png"/><Relationship Id="rId22" Type="http://schemas.openxmlformats.org/officeDocument/2006/relationships/hyperlink" Target="http://www.sec.gov/Archives/edgar/data/1833141/000183314123000004/annualinformationformaif-c.htm" TargetMode="External"/><Relationship Id="rId23" Type="http://schemas.openxmlformats.org/officeDocument/2006/relationships/hyperlink" Target="http://www.sec.gov/ix?doc=/Archives/edgar/data/0001833141/000183314123000004/cybn-20230331.htm" TargetMode="External"/><Relationship Id="rId25" Type="http://schemas.openxmlformats.org/officeDocument/2006/relationships/hyperlink" Target="http://www.sec.gov/Archives/edgar/data/1833141/000183314123000004/cybin-mdaxq4x23xmarch312023.htm" TargetMode="External"/><Relationship Id="rId27" Type="http://schemas.openxmlformats.org/officeDocument/2006/relationships/hyperlink" Target="http://www.sec.gov/Archives/edgar/data/1833141/000183314124000002/cybinincfs-q3x24xfinalxdec.htm" TargetMode="External"/><Relationship Id="rId29" Type="http://schemas.openxmlformats.org/officeDocument/2006/relationships/hyperlink" Target="http://www.sec.gov/Archives/edgar/data/1833141/000183314124000002/cybin-mdaxq3x24xdecember31.htm" TargetMode="External"/><Relationship Id="rId31" Type="http://schemas.openxmlformats.org/officeDocument/2006/relationships/hyperlink" Target="http://www.sec.gov/Archives/edgar/data/1833141/000183314123000013/cybin-informationcircularx.htm" TargetMode="External"/><Relationship Id="rId33" Type="http://schemas.openxmlformats.org/officeDocument/2006/relationships/hyperlink" Target="http://www.sec.gov/Archives/edgar/data/1833141/000106299324006949/exhibit99-1.htm" TargetMode="External"/><Relationship Id="rId35" Type="http://schemas.openxmlformats.org/officeDocument/2006/relationships/hyperlink" Target="http://www.sec.gov/Archives/edgar/data/1833141/000183314123000018/cybn-draftmaterialchangere.htm" TargetMode="External"/><Relationship Id="rId37" Type="http://schemas.openxmlformats.org/officeDocument/2006/relationships/hyperlink" Target="http://www.sec.gov/Archives/edgar/data/1833141/000183314123000015/materialchangereport-cybin.htm" TargetMode="External"/><Relationship Id="rId39" Type="http://schemas.openxmlformats.org/officeDocument/2006/relationships/hyperlink" Target="http://www.sec.gov/Archives/edgar/data/1833141/000183314123000012/materialchangereportdateds.htm" TargetMode="External"/><Relationship Id="rId41" Type="http://schemas.openxmlformats.org/officeDocument/2006/relationships/hyperlink" Target="http://www.sec.gov/Archives/edgar/data/1833141/000183314123000011/cybn-materialchangereporta.htm" TargetMode="External"/><Relationship Id="rId43" Type="http://schemas.openxmlformats.org/officeDocument/2006/relationships/hyperlink" Target="http://www.sec.gov/Archives/edgar/data/1833141/000183314123000007/cybn-materialchangereporta.htm" TargetMode="External"/><Relationship Id="rId45" Type="http://schemas.openxmlformats.org/officeDocument/2006/relationships/hyperlink" Target="http://www.sec.gov/Archives/edgar/data/1833141/000162828023020480/cybn-materialchangereportj.htm" TargetMode="External"/><Relationship Id="rId47" Type="http://schemas.openxmlformats.org/officeDocument/2006/relationships/hyperlink" Target="http://www.sec.gov/Archives/edgar/data/1833141/000183314123000016/cybin-businessacquisitionr.htm" TargetMode="External"/><Relationship Id="rId52" Type="http://schemas.openxmlformats.org/officeDocument/2006/relationships/hyperlink" Target="http://www.sec.gov/Archives/edgar/data/1833141/000106299323023283/formf10.htm#page_50" TargetMode="External"/><Relationship Id="rId53" Type="http://schemas.openxmlformats.org/officeDocument/2006/relationships/hyperlink" Target="http://www.sec.gov/Archives/edgar/data/1833141/000106299323023283/exhibit7-1.htm" TargetMode="External"/><Relationship Id="rId54" Type="http://schemas.openxmlformats.org/officeDocument/2006/relationships/hyperlink" Target="http://www.sec.gov/Archives/edgar/data/1833141/000106299323023283/exhibit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2024-04-11T05:14:15Z</dcterms:created>
  <dcterms:modified xsi:type="dcterms:W3CDTF">2024-04-11T05:14:15Z</dcterms:modified>
</cp:coreProperties>
</file>