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rPr>
        <w:t>UNITED STATES</w:t>
        <w:br/>
        <w:t>SECURITIES AND EXCHANGE COMMISSION</w:t>
      </w:r>
      <w:r>
        <w:rPr>
          <w:rFonts w:ascii="Times New Roman;sans-serif" w:hAnsi="Times New Roman;sans-serif"/>
          <w:b w:val="false"/>
          <w:color w:val="000000"/>
          <w:sz w:val="20"/>
        </w:rPr>
        <w:br/>
      </w:r>
      <w:r>
        <w:rPr>
          <w:rFonts w:ascii="Times New Roman;sans-serif" w:hAnsi="Times New Roman;sans-serif"/>
          <w:b/>
          <w:color w:val="000000"/>
          <w:sz w:val="20"/>
        </w:rPr>
        <w:t>Washington, D.C. 20549</w:t>
      </w:r>
      <w:r>
        <w:rPr>
          <w:rFonts w:ascii="Times New Roman;sans-serif" w:hAnsi="Times New Roman;sans-serif"/>
          <w:b w:val="false"/>
          <w:color w:val="000000"/>
          <w:sz w:val="20"/>
        </w:rPr>
        <w:br/>
        <w:br/>
      </w:r>
      <w:r>
        <w:rPr>
          <w:rFonts w:ascii="Times New Roman;sans-serif" w:hAnsi="Times New Roman;sans-serif"/>
          <w:b/>
          <w:color w:val="000000"/>
          <w:sz w:val="20"/>
        </w:rPr>
        <w:t>Form 6-K</w:t>
      </w:r>
      <w:r>
        <w:rPr>
          <w:rFonts w:ascii="Times New Roman;sans-serif" w:hAnsi="Times New Roman;sans-serif"/>
          <w:b w:val="false"/>
          <w:color w:val="000000"/>
          <w:sz w:val="20"/>
        </w:rPr>
        <w:br/>
        <w:br/>
      </w:r>
      <w:r>
        <w:rPr>
          <w:rFonts w:ascii="Times New Roman;sans-serif" w:hAnsi="Times New Roman;sans-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the month of June, 2025.</w:t>
      </w:r>
    </w:p>
    <w:p>
      <w:pPr>
        <w:pStyle w:val="TextBody"/>
        <w:bidi w:val="0"/>
        <w:spacing w:lineRule="auto" w:line="276" w:before="0" w:after="0"/>
        <w:jc w:val="left"/>
        <w:rPr/>
      </w:pPr>
      <w:r>
        <w:rPr>
          <w:rFonts w:ascii="Times New Roman;sans-serif" w:hAnsi="Times New Roman;sans-serif"/>
          <w:b w:val="false"/>
          <w:color w:val="000000"/>
          <w:sz w:val="20"/>
        </w:rPr>
        <w:t xml:space="preserve">Commission File Number: </w:t>
      </w:r>
      <w:r>
        <w:rPr>
          <w:rFonts w:ascii="Times New Roman;sans-serif" w:hAnsi="Times New Roman;sans-serif"/>
          <w:b/>
          <w:color w:val="000000"/>
          <w:sz w:val="20"/>
        </w:rPr>
        <w:t>001-40673</w:t>
      </w:r>
    </w:p>
    <w:p>
      <w:pPr>
        <w:pStyle w:val="TextBody"/>
        <w:bidi w:val="0"/>
        <w:spacing w:lineRule="auto" w:line="276" w:before="0" w:after="0"/>
        <w:jc w:val="center"/>
        <w:rPr/>
      </w:pPr>
      <w:r>
        <w:rPr>
          <w:rFonts w:ascii="Times New Roman;sans-serif" w:hAnsi="Times New Roman;sans-serif"/>
          <w:b/>
          <w:color w:val="000000"/>
          <w:sz w:val="20"/>
        </w:rPr>
        <w:br/>
      </w:r>
      <w:r>
        <w:rPr>
          <w:rFonts w:ascii="Times New Roman;sans-serif" w:hAnsi="Times New Roman;sans-serif"/>
          <w:b w:val="false"/>
          <w:color w:val="000000"/>
          <w:sz w:val="20"/>
        </w:rPr>
        <w:br/>
      </w:r>
      <w:r>
        <w:rPr>
          <w:rFonts w:ascii="Times New Roman;sans-serif" w:hAnsi="Times New Roman;sans-serif"/>
          <w:b/>
          <w:color w:val="000000"/>
          <w:sz w:val="24"/>
          <w:u w:val="single"/>
        </w:rPr>
        <w:t>Cybin Inc.</w:t>
      </w:r>
      <w:r>
        <w:rPr>
          <w:rFonts w:ascii="Times New Roman;sans-serif" w:hAnsi="Times New Roman;sans-serif"/>
          <w:b w:val="false"/>
          <w:color w:val="000000"/>
          <w:sz w:val="24"/>
        </w:rPr>
        <w:br/>
      </w:r>
      <w:r>
        <w:rPr>
          <w:rFonts w:ascii="Times New Roman;sans-serif" w:hAnsi="Times New Roman;sans-serif"/>
          <w:b w:val="false"/>
          <w:color w:val="000000"/>
          <w:sz w:val="20"/>
        </w:rPr>
        <w:t>(Exact Name of Registrant as Specified in Charter)</w:t>
        <w:br/>
        <w:br/>
      </w:r>
      <w:r>
        <w:rPr>
          <w:rFonts w:ascii="Times New Roman;sans-serif" w:hAnsi="Times New Roman;sans-serif"/>
          <w:b/>
          <w:color w:val="000000"/>
          <w:sz w:val="20"/>
        </w:rPr>
        <w:t xml:space="preserve">100 King Street West, Suite 5600, Toronto, Ontario, M5X 1C9 </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ans-serif" w:hAnsi="Times New Roman;sans-serif"/>
          <w:b w:val="false"/>
          <w:color w:val="000000"/>
          <w:sz w:val="20"/>
        </w:rPr>
        <w:t xml:space="preserve">Form 20-F </w:t>
      </w:r>
      <w:r>
        <w:rPr>
          <w:color w:val="000000"/>
        </w:rPr>
        <w:t xml:space="preserve">□ </w:t>
      </w:r>
      <w:r>
        <w:rPr>
          <w:rFonts w:ascii="Times New Roman;sans-serif" w:hAnsi="Times New Roman;sans-serif"/>
          <w:b w:val="false"/>
          <w:color w:val="000000"/>
          <w:sz w:val="20"/>
        </w:rPr>
        <w:t>Form 40-F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76" w:before="100" w:after="1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826"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210"/>
        <w:gridCol w:w="210"/>
        <w:gridCol w:w="210"/>
        <w:gridCol w:w="888"/>
        <w:gridCol w:w="563"/>
        <w:gridCol w:w="57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12, 2025</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i/>
                <w:color w:val="000000"/>
                <w:sz w:val="20"/>
              </w:rPr>
              <w:t>/s/ Doug Drysdale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 Drysdale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2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INDEX</w:t>
      </w:r>
    </w:p>
    <w:p>
      <w:pPr>
        <w:pStyle w:val="TextBody"/>
        <w:bidi w:val="0"/>
        <w:spacing w:before="0" w:after="0"/>
        <w:jc w:val="left"/>
        <w:rPr/>
      </w:pPr>
      <w:r>
        <w:rPr/>
      </w:r>
    </w:p>
    <w:tbl>
      <w:tblPr>
        <w:tblW w:w="3420" w:type="dxa"/>
        <w:jc w:val="left"/>
        <w:tblInd w:w="0" w:type="dxa"/>
        <w:tblLayout w:type="fixed"/>
        <w:tblCellMar>
          <w:top w:w="28" w:type="dxa"/>
          <w:left w:w="28" w:type="dxa"/>
          <w:bottom w:w="28" w:type="dxa"/>
          <w:right w:w="28" w:type="dxa"/>
        </w:tblCellMar>
      </w:tblPr>
      <w:tblGrid>
        <w:gridCol w:w="174"/>
        <w:gridCol w:w="153"/>
        <w:gridCol w:w="154"/>
        <w:gridCol w:w="858"/>
        <w:gridCol w:w="858"/>
        <w:gridCol w:w="122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293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06-12x2025hcwneuroperspec.htm">
              <w:r>
                <w:rPr>
                  <w:rStyle w:val="InternetLink"/>
                  <w:rFonts w:ascii="Times New Roman;sans-serif" w:hAnsi="Times New Roman;sans-serif"/>
                  <w:b w:val="false"/>
                  <w:color w:val="0000FF"/>
                  <w:sz w:val="20"/>
                  <w:u w:val="single"/>
                </w:rPr>
                <w:t>News Release dated June 12, 2025</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962150" cy="1143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11430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19" w:before="0" w:after="0"/>
        <w:jc w:val="center"/>
        <w:rPr/>
      </w:pPr>
      <w:r>
        <w:rPr>
          <w:rFonts w:ascii="Arial;sans-serif" w:hAnsi="Arial;sans-serif"/>
          <w:b/>
          <w:color w:val="000000"/>
          <w:sz w:val="28"/>
        </w:rPr>
        <w:t>Cybin to Participate in the H.C. Wainwright 6</w:t>
      </w:r>
      <w:r>
        <w:rPr>
          <w:rFonts w:ascii="Arial;sans-serif" w:hAnsi="Arial;sans-serif"/>
          <w:b/>
          <w:color w:val="000000"/>
          <w:sz w:val="18"/>
        </w:rPr>
        <w:t>th</w:t>
      </w:r>
      <w:r>
        <w:rPr>
          <w:color w:val="000000"/>
        </w:rPr>
        <w:t xml:space="preserve"> </w:t>
      </w:r>
      <w:r>
        <w:rPr>
          <w:rFonts w:ascii="Arial;sans-serif" w:hAnsi="Arial;sans-serif"/>
          <w:b/>
          <w:color w:val="000000"/>
          <w:sz w:val="28"/>
        </w:rPr>
        <w:t>Annual Neuro Perspectives Conference</w:t>
      </w:r>
    </w:p>
    <w:p>
      <w:pPr>
        <w:pStyle w:val="TextBody"/>
        <w:bidi w:val="0"/>
        <w:spacing w:lineRule="auto" w:line="319" w:before="0" w:after="0"/>
        <w:jc w:val="both"/>
        <w:rPr/>
      </w:pPr>
      <w:r>
        <w:rPr>
          <w:rFonts w:ascii="Times New Roman;sans-serif" w:hAnsi="Times New Roman;sans-serif"/>
          <w:b w:val="false"/>
          <w:color w:val="000000"/>
          <w:sz w:val="24"/>
        </w:rPr>
        <w:br/>
      </w:r>
      <w:r>
        <w:rPr>
          <w:rFonts w:ascii="Arial;sans-serif" w:hAnsi="Arial;sans-serif"/>
          <w:b/>
          <w:color w:val="000000"/>
          <w:sz w:val="22"/>
        </w:rPr>
        <w:t xml:space="preserve">TORONTO, CANADA </w:t>
      </w:r>
      <w:r>
        <w:rPr>
          <w:color w:val="000000"/>
        </w:rPr>
        <w:t xml:space="preserve">– </w:t>
      </w:r>
      <w:r>
        <w:rPr>
          <w:rFonts w:ascii="Arial;sans-serif" w:hAnsi="Arial;sans-serif"/>
          <w:b w:val="false"/>
          <w:color w:val="000000"/>
          <w:sz w:val="22"/>
        </w:rPr>
        <w:t xml:space="preserve">June 12, 2025 – </w:t>
      </w:r>
      <w:r>
        <w:rPr>
          <w:rFonts w:ascii="Arial;sans-serif" w:hAnsi="Arial;sans-serif"/>
          <w:b w:val="false"/>
          <w:color w:val="0563C1"/>
          <w:sz w:val="22"/>
          <w:u w:val="single"/>
        </w:rPr>
        <w:t>Cybin Inc.</w:t>
      </w:r>
      <w:r>
        <w:rPr>
          <w:color w:val="000000"/>
        </w:rPr>
        <w:t xml:space="preserve"> </w:t>
      </w:r>
      <w:r>
        <w:rPr>
          <w:rFonts w:ascii="Arial;sans-serif" w:hAnsi="Arial;sans-serif"/>
          <w:b w:val="false"/>
          <w:color w:val="000000"/>
          <w:sz w:val="22"/>
        </w:rPr>
        <w:t>(NYSE American:CYBN) (Cboe CA:CYBN) (“</w:t>
      </w:r>
      <w:r>
        <w:rPr>
          <w:rFonts w:ascii="Arial;sans-serif" w:hAnsi="Arial;sans-serif"/>
          <w:b/>
          <w:color w:val="000000"/>
          <w:sz w:val="22"/>
        </w:rPr>
        <w:t>Cybin</w:t>
      </w:r>
      <w:r>
        <w:rPr>
          <w:color w:val="000000"/>
        </w:rPr>
        <w:t xml:space="preserve">” </w:t>
      </w:r>
      <w:r>
        <w:rPr>
          <w:rFonts w:ascii="Arial;sans-serif" w:hAnsi="Arial;sans-serif"/>
          <w:b w:val="false"/>
          <w:color w:val="000000"/>
          <w:sz w:val="22"/>
        </w:rPr>
        <w:t>or the “</w:t>
      </w:r>
      <w:r>
        <w:rPr>
          <w:rFonts w:ascii="Arial;sans-serif" w:hAnsi="Arial;sans-serif"/>
          <w:b/>
          <w:color w:val="000000"/>
          <w:sz w:val="22"/>
        </w:rPr>
        <w:t>Company</w:t>
      </w:r>
      <w:r>
        <w:rPr>
          <w:color w:val="000000"/>
        </w:rPr>
        <w:t>”</w:t>
      </w:r>
      <w:r>
        <w:rPr>
          <w:rFonts w:ascii="Arial;sans-serif" w:hAnsi="Arial;sans-serif"/>
          <w:b w:val="false"/>
          <w:color w:val="000000"/>
          <w:sz w:val="22"/>
        </w:rPr>
        <w:t>), a clinical-stage breakthrough neuropsychiatry company committed to revolutionizing mental healthcare by developing new and innovative next-generation treatment options, is pleased to announce that Doug Drysdale, Cybin’s Chief Executive Officer, will participate in a virtual fireside chat at the H.C. Wainwright 6</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 xml:space="preserve">Annual Neuro Perspectives Conference, taking place June 16-17, 2025 . </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 xml:space="preserve">Mr. Drysdale’s fireside chat will be available on demand beginning on Monday, June 16, 2025, at 7:00 a.m. ET. To listen to the event, please </w:t>
      </w:r>
      <w:r>
        <w:rPr>
          <w:rFonts w:ascii="Arial;sans-serif" w:hAnsi="Arial;sans-serif"/>
          <w:b w:val="false"/>
          <w:color w:val="0000FF"/>
          <w:sz w:val="22"/>
          <w:u w:val="single"/>
        </w:rPr>
        <w:t>click here</w:t>
      </w:r>
      <w:r>
        <w:rPr>
          <w:color w:val="000000"/>
        </w:rPr>
        <w:t xml:space="preserve"> </w:t>
      </w:r>
      <w:r>
        <w:rPr>
          <w:rFonts w:ascii="Arial;sans-serif" w:hAnsi="Arial;sans-serif"/>
          <w:b w:val="false"/>
          <w:color w:val="000000"/>
          <w:sz w:val="22"/>
        </w:rPr>
        <w:t xml:space="preserve">to access the webcast. The archived webcast will also be available on the Company’s investor relations website on the </w:t>
      </w:r>
      <w:r>
        <w:rPr>
          <w:rFonts w:ascii="Arial;sans-serif" w:hAnsi="Arial;sans-serif"/>
          <w:b w:val="false"/>
          <w:color w:val="0000FF"/>
          <w:sz w:val="22"/>
          <w:u w:val="single"/>
        </w:rPr>
        <w:t>Events &amp; Presentations</w:t>
      </w:r>
      <w:r>
        <w:rPr>
          <w:color w:val="000000"/>
        </w:rPr>
        <w:t xml:space="preserve"> </w:t>
      </w:r>
      <w:r>
        <w:rPr>
          <w:rFonts w:ascii="Arial;sans-serif" w:hAnsi="Arial;sans-serif"/>
          <w:b w:val="false"/>
          <w:color w:val="000000"/>
          <w:sz w:val="22"/>
        </w:rPr>
        <w:t>page.</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About Cybin</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Cybin is working to change the mental health treatment landscape through the introduction of intermittent treatments that provide long lasting results. The Company is currently developing CYB003, a proprietary deuterated psilocin analog, in Phase 3 studies for the adjunctive treatment of major depressive disorder and CYB004, a proprietary deuterated N, N-dimethyltryptamine molecule in a Phase 2 study for generalized anxiety disorder. The Company also has a research pipeline of investigational, 5-HT-receptor focused compounds.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Founded in 2019, Cybin is operational in Canada, the United States, the United Kingdom, the Netherlands and Ireland. For Company updates and to learn more about Cybin, visit www.cybin.com or follow the team on X, LinkedIn, YouTube and Instagram.</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Investor &amp; Media Contact: </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Gabriel Fahel</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Chief Legal Officer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Cybin Inc.</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1-866-292-4601</w:t>
      </w:r>
    </w:p>
    <w:p>
      <w:pPr>
        <w:pStyle w:val="TextBody"/>
        <w:bidi w:val="0"/>
        <w:spacing w:lineRule="auto" w:line="319" w:before="0" w:after="0"/>
        <w:jc w:val="both"/>
        <w:rPr/>
      </w:pPr>
      <w:r>
        <w:rPr>
          <w:rFonts w:ascii="Arial;sans-serif" w:hAnsi="Arial;sans-serif"/>
          <w:b w:val="false"/>
          <w:color w:val="0000FF"/>
          <w:sz w:val="22"/>
          <w:u w:val="single"/>
        </w:rPr>
        <w:t>irteam@cybin.com</w:t>
      </w:r>
      <w:r>
        <w:rPr>
          <w:color w:val="000000"/>
        </w:rPr>
        <w:t xml:space="preserve"> – </w:t>
      </w:r>
      <w:r>
        <w:rPr>
          <w:rFonts w:ascii="Arial;sans-serif" w:hAnsi="Arial;sans-serif"/>
          <w:b w:val="false"/>
          <w:color w:val="000000"/>
          <w:sz w:val="22"/>
        </w:rPr>
        <w:t xml:space="preserve">or – </w:t>
      </w:r>
      <w:r>
        <w:rPr>
          <w:rFonts w:ascii="Arial;sans-serif" w:hAnsi="Arial;sans-serif"/>
          <w:b w:val="false"/>
          <w:color w:val="0000FF"/>
          <w:sz w:val="22"/>
          <w:u w:val="single"/>
        </w:rPr>
        <w:t>media@cybin.com</w:t>
      </w:r>
      <w:r>
        <w:rPr>
          <w:color w:val="000000"/>
        </w:rPr>
        <w:t xml:space="preserve"> </w:t>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439</Words>
  <Characters>2531</Characters>
  <CharactersWithSpaces>2956</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