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March, 2023.</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8, 2023</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March 8, 2023</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1075055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Cybin to Participate in the Oppenheimer 33rd Annual Healthcare Conference</w:t>
      </w:r>
    </w:p>
    <w:p>
      <w:pPr>
        <w:spacing w:after="0" w:line="37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March 8,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(NEO:CYBN) (NYSE American:CYBN)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is pleased to announce that Doug Drysdale, Cybin’s Chief Executive Officer, will participate in a virtual fireside chat at the Oppenheimer 33rd Annual Healthcare Conference taking place on March 13-15, 2023.</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Mr. Drysdale’s fireside chat will be webcast live on Tuesday, March 14, 2023 at 12:40 p.m. ET. To listen to the event, please </w:t>
      </w:r>
      <w:r>
        <w:rPr>
          <w:rFonts w:ascii="Arial" w:cs="Arial" w:eastAsia="Arial" w:hAnsi="Arial"/>
          <w:sz w:val="20"/>
          <w:szCs w:val="20"/>
          <w:u w:val="single" w:color="auto"/>
          <w:color w:val="0000FF"/>
        </w:rPr>
        <w:t>click</w:t>
      </w:r>
      <w:r>
        <w:rPr>
          <w:rFonts w:ascii="Arial" w:cs="Arial" w:eastAsia="Arial" w:hAnsi="Arial"/>
          <w:sz w:val="20"/>
          <w:szCs w:val="20"/>
          <w:color w:val="auto"/>
        </w:rPr>
        <w:t xml:space="preserve"> </w:t>
      </w:r>
      <w:r>
        <w:rPr>
          <w:rFonts w:ascii="Arial" w:cs="Arial" w:eastAsia="Arial" w:hAnsi="Arial"/>
          <w:sz w:val="20"/>
          <w:szCs w:val="20"/>
          <w:u w:val="single" w:color="auto"/>
          <w:color w:val="0000FF"/>
        </w:rPr>
        <w:t>here</w:t>
      </w:r>
      <w:r>
        <w:rPr>
          <w:rFonts w:ascii="Arial" w:cs="Arial" w:eastAsia="Arial" w:hAnsi="Arial"/>
          <w:sz w:val="20"/>
          <w:szCs w:val="20"/>
          <w:color w:val="0000FF"/>
        </w:rPr>
        <w:t xml:space="preserve"> </w:t>
      </w:r>
      <w:r>
        <w:rPr>
          <w:rFonts w:ascii="Arial" w:cs="Arial" w:eastAsia="Arial" w:hAnsi="Arial"/>
          <w:sz w:val="20"/>
          <w:szCs w:val="20"/>
          <w:color w:val="000000"/>
        </w:rPr>
        <w:t>to access the webcast. The archived webcast will also be available on the Company’s investor relations website on the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Events &amp; Presentations</w:t>
      </w:r>
      <w:r>
        <w:rPr>
          <w:rFonts w:ascii="Arial" w:cs="Arial" w:eastAsia="Arial" w:hAnsi="Arial"/>
          <w:sz w:val="20"/>
          <w:szCs w:val="20"/>
          <w:color w:val="0000FF"/>
        </w:rPr>
        <w:t xml:space="preserve"> </w:t>
      </w:r>
      <w:r>
        <w:rPr>
          <w:rFonts w:ascii="Arial" w:cs="Arial" w:eastAsia="Arial" w:hAnsi="Arial"/>
          <w:sz w:val="20"/>
          <w:szCs w:val="20"/>
          <w:color w:val="000000"/>
          <w:highlight w:val="white"/>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-352425</wp:posOffset>
            </wp:positionV>
            <wp:extent cx="6875145"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5145" cy="13716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2023-03-08T12:36:29Z</dcterms:created>
  <dcterms:modified xsi:type="dcterms:W3CDTF">2023-03-08T12:36:29Z</dcterms:modified>
</cp:coreProperties>
</file>