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June 9,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920750</wp:posOffset>
            </wp:positionV>
            <wp:extent cx="2108835" cy="1517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line="343" w:lineRule="auto"/>
        <w:rPr>
          <w:sz w:val="20"/>
          <w:szCs w:val="20"/>
          <w:color w:val="auto"/>
        </w:rPr>
      </w:pPr>
      <w:r>
        <w:rPr>
          <w:rFonts w:ascii="Arial" w:cs="Arial" w:eastAsia="Arial" w:hAnsi="Arial"/>
          <w:sz w:val="25"/>
          <w:szCs w:val="25"/>
          <w:b w:val="1"/>
          <w:bCs w:val="1"/>
          <w:color w:val="auto"/>
        </w:rPr>
        <w:t>Cybin Receives Institutional Review Board Approval for its Phase 1/2a Clinical Trial Evaluating CYB003 for the Treatment of Major Depressive Disorder</w:t>
      </w:r>
    </w:p>
    <w:p>
      <w:pPr>
        <w:spacing w:after="0" w:line="162" w:lineRule="exact"/>
        <w:rPr>
          <w:sz w:val="20"/>
          <w:szCs w:val="20"/>
          <w:color w:val="auto"/>
        </w:rPr>
      </w:pPr>
    </w:p>
    <w:p>
      <w:pPr>
        <w:ind w:left="280" w:hanging="203"/>
        <w:spacing w:after="0"/>
        <w:tabs>
          <w:tab w:leader="none" w:pos="280" w:val="left"/>
        </w:tabs>
        <w:numPr>
          <w:ilvl w:val="0"/>
          <w:numId w:val="1"/>
        </w:numPr>
        <w:rPr>
          <w:rFonts w:ascii="Arial" w:cs="Arial" w:eastAsia="Arial" w:hAnsi="Arial"/>
          <w:sz w:val="21"/>
          <w:szCs w:val="21"/>
          <w:i w:val="1"/>
          <w:iCs w:val="1"/>
          <w:color w:val="auto"/>
        </w:rPr>
      </w:pPr>
      <w:r>
        <w:rPr>
          <w:rFonts w:ascii="Arial" w:cs="Arial" w:eastAsia="Arial" w:hAnsi="Arial"/>
          <w:sz w:val="21"/>
          <w:szCs w:val="21"/>
          <w:i w:val="1"/>
          <w:iCs w:val="1"/>
          <w:color w:val="auto"/>
        </w:rPr>
        <w:t>First-in-human Phase 1/2a trial evaluating the proprietary deuterated psilocybin analog CYB003 expected to begin</w:t>
      </w:r>
    </w:p>
    <w:p>
      <w:pPr>
        <w:spacing w:after="0" w:line="55" w:lineRule="exact"/>
        <w:rPr>
          <w:rFonts w:ascii="Arial" w:cs="Arial" w:eastAsia="Arial" w:hAnsi="Arial"/>
          <w:sz w:val="21"/>
          <w:szCs w:val="21"/>
          <w:i w:val="1"/>
          <w:iCs w:val="1"/>
          <w:color w:val="auto"/>
        </w:rPr>
      </w:pPr>
    </w:p>
    <w:p>
      <w:pPr>
        <w:ind w:left="4960"/>
        <w:spacing w:after="0"/>
        <w:rPr>
          <w:rFonts w:ascii="Arial" w:cs="Arial" w:eastAsia="Arial" w:hAnsi="Arial"/>
          <w:sz w:val="21"/>
          <w:szCs w:val="21"/>
          <w:i w:val="1"/>
          <w:iCs w:val="1"/>
          <w:color w:val="auto"/>
        </w:rPr>
      </w:pPr>
      <w:r>
        <w:rPr>
          <w:rFonts w:ascii="Arial" w:cs="Arial" w:eastAsia="Arial" w:hAnsi="Arial"/>
          <w:sz w:val="22"/>
          <w:szCs w:val="22"/>
          <w:i w:val="1"/>
          <w:iCs w:val="1"/>
          <w:color w:val="auto"/>
        </w:rPr>
        <w:t>in mid-2022 --</w:t>
      </w:r>
    </w:p>
    <w:p>
      <w:pPr>
        <w:spacing w:after="0" w:line="30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9,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today announced that it has received Institutional Review Board (“IRB”) approval to begin the first-in-human Phase 1/2a clinical trial evaluating CYB003, its proprietary deuterated psilocybin analog, for the treatment of major depressive disorder (“MDD”).</w:t>
      </w:r>
    </w:p>
    <w:p>
      <w:pPr>
        <w:spacing w:after="0" w:line="23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“IRB approval of our trial protocol is a significant regulatory milestone for CYB003 as it leads us one step closer to potentially providing this important treatment option to people in need. The team has worked tirelessly to move this program into the clinic, and we look forward to initiating the study in mid-2022 and further supporting our mission to develop psychedelics into therapeutics,” said Doug Drysdale, Chief Executive Officer of Cybin.</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In May 2022, the Company announced that it had submitted an Investigational New Drug application to the U.S. Food and Drug Administration (FDA) for the Phase 1/2a clinical trial. Cybin IRL Limited, a wholly owned subsidiary of Cybin, has engaged Clinilabs Drug Development Corporation, a global, full-service contract research organization with deep expertise in central nervous system drug development, to carry out the Phase 1/2a clinical trial of CYB003.</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CYB003 Phase 1/2a Trial</w:t>
      </w:r>
    </w:p>
    <w:p>
      <w:pPr>
        <w:spacing w:after="0" w:line="4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Phase 1/2a trial is a randomized, double blind, placebo-controlled study evaluating people with moderate to severe MDD. Subjects will receive two administrations (placebo/active and active/active) and a response/remission will be assessed at Week 3 (after single dose) and at Week 6 (after receiving a second dose). Using the Montgomery-Asberg Depression Rating Scale, the trial will assess rapid onset of antidepressant effect on the day of dosing. The study</w:t>
      </w:r>
    </w:p>
    <w:p>
      <w:pPr>
        <w:sectPr>
          <w:pgSz w:w="11900" w:h="16838" w:orient="portrait"/>
          <w:cols w:equalWidth="0" w:num="1">
            <w:col w:w="11240"/>
          </w:cols>
          <w:pgMar w:left="320" w:top="1440" w:right="339" w:bottom="1440" w:gutter="0" w:footer="0" w:header="0"/>
        </w:sectPr>
      </w:pPr>
    </w:p>
    <w:bookmarkStart w:id="4" w:name="page5"/>
    <w:bookmarkEnd w:id="4"/>
    <w:p>
      <w:pPr>
        <w:jc w:val="both"/>
        <w:ind w:right="20"/>
        <w:spacing w:after="0" w:line="290" w:lineRule="auto"/>
        <w:rPr>
          <w:sz w:val="20"/>
          <w:szCs w:val="20"/>
          <w:color w:val="auto"/>
        </w:rPr>
      </w:pPr>
      <w:r>
        <w:rPr>
          <w:rFonts w:ascii="Arial" w:cs="Arial" w:eastAsia="Arial" w:hAnsi="Arial"/>
          <w:sz w:val="20"/>
          <w:szCs w:val="20"/>
          <w:color w:val="auto"/>
        </w:rPr>
        <w:t>will also evaluate the benefit of more than one administration and will provide pharmacokinetic and safety data. The trial design will allow for people to continue their treatment with selective serotonin reuptake inhibitors (SSRIs). An optional open-label follow-up study (up to 12 weeks) will allow an assessment of durability of treatment effects.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detailed Phase 1/2a study protocol is available at </w:t>
      </w:r>
      <w:r>
        <w:rPr>
          <w:rFonts w:ascii="Arial" w:cs="Arial" w:eastAsia="Arial" w:hAnsi="Arial"/>
          <w:sz w:val="20"/>
          <w:szCs w:val="20"/>
          <w:u w:val="single" w:color="auto"/>
          <w:color w:val="0000FF"/>
        </w:rPr>
        <w:t>clinicaltrials.gov</w:t>
      </w:r>
      <w:r>
        <w:rPr>
          <w:rFonts w:ascii="Arial" w:cs="Arial" w:eastAsia="Arial" w:hAnsi="Arial"/>
          <w:sz w:val="20"/>
          <w:szCs w:val="20"/>
          <w:color w:val="auto"/>
        </w:rPr>
        <w:t xml:space="preserve"> under the Identifier number: NCT05385783.</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CYB003</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CYB003 is derived from psilocybin, which is part of a family of molecules called indolamines that include more common neurotransmitters, such as serotonin. Psilocybin is dephosphorylated to form its metabolite, psilocin, which can cross the blood-brain-barrier. Given its structural similarity to serotonin, psilocin can easily activate the serotonin 5-HT2A receptor. CYB003 is a deuterated psilocybin analog designed to achieve less variability in plasma levels, faster onset of action, shorter duration of effect and potentially better tolerability for an overall better outcome for patients. CYB003 has the potential to effectively treat major depressive disorder and alcohol use disorder.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43"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00"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w:t>
      </w:r>
    </w:p>
    <w:p>
      <w:pPr>
        <w:sectPr>
          <w:pgSz w:w="11900" w:h="16838" w:orient="portrait"/>
          <w:cols w:equalWidth="0" w:num="1">
            <w:col w:w="11240"/>
          </w:cols>
          <w:pgMar w:left="320" w:top="1427" w:right="339" w:bottom="1440" w:gutter="0" w:footer="0" w:header="0"/>
        </w:sectPr>
      </w:pPr>
    </w:p>
    <w:bookmarkStart w:id="5" w:name="page6"/>
    <w:bookmarkEnd w:id="5"/>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4" w:lineRule="exact"/>
        <w:rPr>
          <w:sz w:val="20"/>
          <w:szCs w:val="20"/>
          <w:color w:val="auto"/>
        </w:rPr>
      </w:pPr>
    </w:p>
    <w:p>
      <w:pPr>
        <w:jc w:val="both"/>
        <w:spacing w:after="0" w:line="328" w:lineRule="auto"/>
        <w:rPr>
          <w:sz w:val="20"/>
          <w:szCs w:val="20"/>
          <w:color w:val="auto"/>
        </w:rPr>
      </w:pPr>
      <w:r>
        <w:rPr>
          <w:rFonts w:ascii="Arial" w:cs="Arial" w:eastAsia="Arial" w:hAnsi="Arial"/>
          <w:sz w:val="20"/>
          <w:szCs w:val="20"/>
          <w:color w:val="auto"/>
        </w:rPr>
        <w:t>Neither the Neo Exchange Inc.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2022-06-09T16:09:08Z</dcterms:created>
  <dcterms:modified xsi:type="dcterms:W3CDTF">2022-06-09T16:09:08Z</dcterms:modified>
</cp:coreProperties>
</file>