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June 27,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June 27,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920750</wp:posOffset>
            </wp:positionV>
            <wp:extent cx="182626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2626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Announces Appointment of Sanford R. Climan as Strategic Advisor</w:t>
      </w:r>
    </w:p>
    <w:p>
      <w:pPr>
        <w:spacing w:after="0" w:line="200" w:lineRule="exact"/>
        <w:rPr>
          <w:sz w:val="20"/>
          <w:szCs w:val="20"/>
          <w:color w:val="auto"/>
        </w:rPr>
      </w:pPr>
    </w:p>
    <w:p>
      <w:pPr>
        <w:spacing w:after="0" w:line="352" w:lineRule="exact"/>
        <w:rPr>
          <w:sz w:val="20"/>
          <w:szCs w:val="20"/>
          <w:color w:val="auto"/>
        </w:rPr>
      </w:pPr>
    </w:p>
    <w:p>
      <w:pPr>
        <w:jc w:val="both"/>
        <w:spacing w:after="0" w:line="29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27,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is pleased to announce that Mr. Sanford R. Climan has joined Cybin as a strategic advisor. Mr. Climan is the CEO and founder of Entertainment Media Ventures, Inc., a Los Angeles based advisory and investment company specializing in identifying opportunities in healthcare, technology, and media &amp; entertainment industries.</w:t>
      </w:r>
    </w:p>
    <w:p>
      <w:pPr>
        <w:spacing w:after="0" w:line="199"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Widely viewed as a media visionary, Mr. Climan is an active venture investor, board member, and senior advisor to a wide range of transformational companies spanning healthcare, media, and technology. Mr. Climan has held senior management positions in the media and entertainment industry, including serving as Corporate Executive Vice President and President of Worldwide Business Development of Universal Studios, where Mr. Climan oversaw corporate international strategy, strategic marketing and five studio operating divisions. In addition, Mr. Climan served in senior positions in motion picture and television production and distribution at Metro-Goldwyn-Mayer Studios (MGM”) and its affiliated production companies. As a key member of the senior management team at Creative Artists Agency, Mr. Climan led teams working with various Fortune 500 Companies, including Sony Corporation on its acquisition of Columbia Pictures, Matsushita Electric on its acquisition of MCA/Universal, and Credit Lyonnais on its restructuring of MGM.</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Mr. Climan holds a Master of Business Administration degree from Harvard Business School, a Master of Science degree in Health Policy and Management from the Harvard T.H. Chan School of Public Health, and a Bachelor of Arts degree in Chemistry from Harvard College. Mr. Climan previously served as a member of the Advisory Committee to the Director of the Centers for Disease Control and Prevention.</w:t>
      </w:r>
    </w:p>
    <w:p>
      <w:pPr>
        <w:spacing w:after="0" w:line="200"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Mr. Climan commented, “Cybin is a leader in the development of new therapeutics that have the potential to meaningfully impact the current crisis in mental health and wellness. We need more innovative thinking in healthcare, and I am excited to be joining Cybin’s mission to improve the health and quality of life of people suffering from mental health conditions.”</w:t>
      </w:r>
    </w:p>
    <w:p>
      <w:pPr>
        <w:sectPr>
          <w:pgSz w:w="11900" w:h="16838" w:orient="portrait"/>
          <w:cols w:equalWidth="0" w:num="1">
            <w:col w:w="11240"/>
          </w:cols>
          <w:pgMar w:left="320" w:top="1440" w:right="339" w:bottom="1440" w:gutter="0" w:footer="0" w:header="0"/>
        </w:sectPr>
      </w:pPr>
    </w:p>
    <w:bookmarkStart w:id="4" w:name="page5"/>
    <w:bookmarkEnd w:id="4"/>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“Mr. Climan’s impressive background and experience in financial and healthcare industries, particularly in innovative sectors, aligns with Cybin’s mission of developing new, differentiated therapeutics for mental health conditions,” said Doug Drysdale, Chief Executive Officer of Cybin. “We are pleased to have Mr. Climan’s expertise in shaping our strategic initiatives as we continue to advance our clinical-stage programs towards key data catalysts later this year, with the goal of bringing transformative therapies to people in need of improved treatment options.”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4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15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ability to address the need for new and innovative treatment options for people who suffer from mental health conditions.</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20"/>
          <w:szCs w:val="20"/>
          <w:color w:val="auto"/>
        </w:rPr>
        <w:t>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nine month periods ended December 31, 2022, the Company’s annual information form for the year ended March 31, 2022, and the Company's listing statement dated November 9, 2020, which are available under the Company's profile on www.sedar.com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r>
        <w:rPr>
          <w:rFonts w:ascii="Arial" w:cs="Arial" w:eastAsia="Arial" w:hAnsi="Arial"/>
          <w:sz w:val="20"/>
          <w:szCs w:val="20"/>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2023-06-27T10:04:24Z</dcterms:created>
  <dcterms:modified xsi:type="dcterms:W3CDTF">2023-06-27T10:04:24Z</dcterms:modified>
</cp:coreProperties>
</file>