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25,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at the 27th Annual Milken Institute Global Conference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Doug Drysdale, CEO, to appear on panel entitled “Collaborating for Improved Mental Health,” on May 8, 2024 -</w:t>
      </w:r>
    </w:p>
    <w:p>
      <w:pPr>
        <w:spacing w:after="0" w:line="32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25,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that Doug Drysdale, Cybin’s Chief Executive Officer, will be speaking at the 27th Annual Milken Institute Global Conference on a panel entitled “Collaborating for Improved Mental Health.” The Conference will take place May 5-8, 2024, at the Beverly Hilton in Los Angeles, and the panel will be held on Wednesday, May 8, 2024, at 10:00 a.m. PDT.</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Milken Institute Global Conference focuses on numerous global challenges across multiple domains, and we are thrilled to be part of the important conversation addressing today’s mental health crisis,” stated Doug Drysdale, Cybin’s Chief Executive Officer. “The Conference provides a meaningful platform to exchange ideas with global thought leaders and share our vision for transforming the treatment paradigm for mental health. With the recent receipt of FDA Breakthrough Therapy Designation for CYB003, our deuterated psilocybin analog for the adjunctive treatment of major depressive disorder entering a Phase 3 trial around mid-year; and CYB004, our deuterated DMT program in Phase 2 development for the treatment of generalized anxiety disorder, we are excited to share the groundbreaking work that Cybin is carrying out with the goal of bringing improved therapeutic options for treating mental health conditions.”</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The live panel discussion and archived webcast will be available on the Company’s investor relations website on the </w:t>
      </w:r>
      <w:r>
        <w:rPr>
          <w:rFonts w:ascii="Arial" w:cs="Arial" w:eastAsia="Arial" w:hAnsi="Arial"/>
          <w:sz w:val="20"/>
          <w:szCs w:val="20"/>
          <w:u w:val="single" w:color="auto"/>
          <w:color w:val="0000FF"/>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Presentations</w:t>
      </w:r>
      <w:r>
        <w:rPr>
          <w:rFonts w:ascii="Arial" w:cs="Arial" w:eastAsia="Arial" w:hAnsi="Arial"/>
          <w:sz w:val="20"/>
          <w:szCs w:val="20"/>
          <w:color w:val="0000FF"/>
        </w:rPr>
        <w:t xml:space="preserve"> </w:t>
      </w:r>
      <w:r>
        <w:rPr>
          <w:rFonts w:ascii="Arial" w:cs="Arial" w:eastAsia="Arial" w:hAnsi="Arial"/>
          <w:sz w:val="20"/>
          <w:szCs w:val="20"/>
          <w:color w:val="000000"/>
        </w:rPr>
        <w:t>page. For more information on the Milken Institute and the upcoming conference visit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www.milkeninstitute.org</w:t>
      </w:r>
      <w:r>
        <w:rPr>
          <w:rFonts w:ascii="Arial" w:cs="Arial" w:eastAsia="Arial" w:hAnsi="Arial"/>
          <w:sz w:val="20"/>
          <w:szCs w:val="20"/>
          <w:color w:val="000000"/>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2024-04-25T14:58:02Z</dcterms:created>
  <dcterms:modified xsi:type="dcterms:W3CDTF">2024-04-25T14:58:02Z</dcterms:modified>
</cp:coreProperties>
</file>