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99.1 - 99.2 and 99.5 of this Form 6-K of Cybin Inc. (the "Company") are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333-289139</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20"/>
          </w:cols>
          <w:pgMar w:left="320" w:top="1440" w:right="35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74"/>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6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Interim Consolidated Financial Statements for the three months ended June 30, 2025</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5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for the three months ended June 30, 2025</w:t>
            </w:r>
          </w:p>
        </w:tc>
        <w:tc>
          <w:tcPr>
            <w:tcW w:w="200" w:type="dxa"/>
            <w:vAlign w:val="bottom"/>
          </w:tcPr>
          <w:p>
            <w:pPr>
              <w:spacing w:after="0"/>
              <w:rPr>
                <w:sz w:val="20"/>
                <w:szCs w:val="20"/>
                <w:color w:val="auto"/>
              </w:rPr>
            </w:pPr>
          </w:p>
        </w:tc>
      </w:tr>
      <w:tr>
        <w:trPr>
          <w:trHeight w:val="23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99.3</w:t>
            </w:r>
          </w:p>
        </w:tc>
        <w:tc>
          <w:tcPr>
            <w:tcW w:w="4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Interim Filings by CEO dated August 13, 2025</w:t>
            </w:r>
          </w:p>
        </w:tc>
        <w:tc>
          <w:tcPr>
            <w:tcW w:w="1560" w:type="dxa"/>
            <w:vAlign w:val="bottom"/>
            <w:gridSpan w:val="3"/>
          </w:tcPr>
          <w:p>
            <w:pPr>
              <w:spacing w:after="0"/>
              <w:rPr>
                <w:sz w:val="20"/>
                <w:szCs w:val="20"/>
                <w:color w:val="auto"/>
              </w:rPr>
            </w:pPr>
          </w:p>
        </w:tc>
      </w:tr>
      <w:tr>
        <w:trPr>
          <w:trHeight w:val="23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99.4</w:t>
            </w:r>
          </w:p>
        </w:tc>
        <w:tc>
          <w:tcPr>
            <w:tcW w:w="4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Interim Filings by CFO dated August 13, 2025</w:t>
            </w:r>
          </w:p>
        </w:tc>
        <w:tc>
          <w:tcPr>
            <w:tcW w:w="1580" w:type="dxa"/>
            <w:vAlign w:val="bottom"/>
            <w:gridSpan w:val="4"/>
          </w:tcPr>
          <w:p>
            <w:pPr>
              <w:spacing w:after="0"/>
              <w:rPr>
                <w:sz w:val="20"/>
                <w:szCs w:val="20"/>
                <w:color w:val="auto"/>
              </w:rPr>
            </w:pP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99.5</w:t>
            </w: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News Release dated August 13, 2025</w:t>
            </w:r>
          </w:p>
        </w:tc>
      </w:tr>
      <w:tr>
        <w:trPr>
          <w:trHeight w:val="20"/>
        </w:trPr>
        <w:tc>
          <w:tcPr>
            <w:tcW w:w="114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2875280</wp:posOffset>
            </wp:positionV>
            <wp:extent cx="154305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CYBIN INC.</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CONDENSED INTERIM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JUNE 30, 2025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 xml:space="preserve">The accompanying unaudited condensed interim consolidated financial statements of Cybin Inc. ("Cybin") have been prepared by and are the responsibility of Cybin's management in accordance with International Accounting Standards (“IAS”) 34, Interim Financial Reporting as issued by the International Accounting Standards Board ("IASB''). These unaudited condensed interim consolidated financial statements do not include all the information and notes required by International Financial Reporting Standards ("IFRS'') for annual financial statements and should be read in conjunction with Cybin’s annual financial statements and notes for the year ended March 31, 2025, which are available on SEDAR+ at </w:t>
      </w:r>
      <w:r>
        <w:rPr>
          <w:rFonts w:ascii="Arial" w:cs="Arial" w:eastAsia="Arial" w:hAnsi="Arial"/>
          <w:sz w:val="22"/>
          <w:szCs w:val="22"/>
          <w:u w:val="single" w:color="auto"/>
          <w:color w:val="0000E1"/>
        </w:rPr>
        <w:t>www.sedarplus.com</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900"/>
        <w:spacing w:after="0" w:line="254" w:lineRule="auto"/>
        <w:rPr>
          <w:sz w:val="20"/>
          <w:szCs w:val="20"/>
          <w:color w:val="auto"/>
        </w:rPr>
      </w:pPr>
      <w:r>
        <w:rPr>
          <w:rFonts w:ascii="Arial" w:cs="Arial" w:eastAsia="Arial" w:hAnsi="Arial"/>
          <w:sz w:val="22"/>
          <w:szCs w:val="22"/>
          <w:b w:val="1"/>
          <w:bCs w:val="1"/>
          <w:color w:val="auto"/>
        </w:rPr>
        <w:t>CONDENSED INTERIM CONSOLIDATED STATEMENTS OF FINANCIAL POSITION (All amounts expressed in thousands of United States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As at</w:t>
            </w:r>
          </w:p>
        </w:tc>
        <w:tc>
          <w:tcPr>
            <w:tcW w:w="226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i w:val="1"/>
                <w:iCs w:val="1"/>
                <w:color w:val="auto"/>
              </w:rPr>
              <w:t>Notes</w:t>
            </w:r>
          </w:p>
        </w:tc>
        <w:tc>
          <w:tcPr>
            <w:tcW w:w="2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ASSETS</w:t>
            </w: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Restated - Note 2</w:t>
            </w:r>
          </w:p>
        </w:tc>
        <w:tc>
          <w:tcPr>
            <w:tcW w:w="0" w:type="dxa"/>
            <w:vAlign w:val="bottom"/>
          </w:tcPr>
          <w:p>
            <w:pPr>
              <w:spacing w:after="0"/>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Current</w:t>
            </w: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300" w:type="dxa"/>
            <w:vAlign w:val="bottom"/>
          </w:tcPr>
          <w:p>
            <w:pPr>
              <w:ind w:left="560"/>
              <w:spacing w:after="0"/>
              <w:rPr>
                <w:sz w:val="20"/>
                <w:szCs w:val="20"/>
                <w:color w:val="auto"/>
              </w:rPr>
            </w:pPr>
            <w:r>
              <w:rPr>
                <w:rFonts w:ascii="Arial" w:cs="Arial" w:eastAsia="Arial" w:hAnsi="Arial"/>
                <w:sz w:val="16"/>
                <w:szCs w:val="16"/>
                <w:color w:val="auto"/>
              </w:rPr>
              <w:t>Cash</w:t>
            </w:r>
          </w:p>
        </w:tc>
        <w:tc>
          <w:tcPr>
            <w:tcW w:w="2260" w:type="dxa"/>
            <w:vAlign w:val="bottom"/>
          </w:tcPr>
          <w:p>
            <w:pPr>
              <w:spacing w:after="0"/>
              <w:rPr>
                <w:sz w:val="24"/>
                <w:szCs w:val="24"/>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118,692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93,922</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2260" w:type="dxa"/>
            <w:vAlign w:val="bottom"/>
          </w:tcPr>
          <w:p>
            <w:pPr>
              <w:spacing w:after="0"/>
              <w:rPr>
                <w:sz w:val="24"/>
                <w:szCs w:val="24"/>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4,105</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4,094</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Prepaid expenses</w:t>
            </w:r>
          </w:p>
        </w:tc>
        <w:tc>
          <w:tcPr>
            <w:tcW w:w="2260" w:type="dxa"/>
            <w:vAlign w:val="bottom"/>
          </w:tcPr>
          <w:p>
            <w:pPr>
              <w:spacing w:after="0"/>
              <w:rPr>
                <w:sz w:val="24"/>
                <w:szCs w:val="24"/>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19,164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15,412</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700"/>
              <w:spacing w:after="0"/>
              <w:rPr>
                <w:sz w:val="20"/>
                <w:szCs w:val="20"/>
                <w:color w:val="auto"/>
              </w:rPr>
            </w:pPr>
            <w:r>
              <w:rPr>
                <w:rFonts w:ascii="Arial" w:cs="Arial" w:eastAsia="Arial" w:hAnsi="Arial"/>
                <w:sz w:val="16"/>
                <w:szCs w:val="16"/>
                <w:color w:val="auto"/>
              </w:rPr>
              <w:t>Other current assets</w:t>
            </w:r>
          </w:p>
        </w:tc>
        <w:tc>
          <w:tcPr>
            <w:tcW w:w="2260" w:type="dxa"/>
            <w:vAlign w:val="bottom"/>
          </w:tcPr>
          <w:p>
            <w:pPr>
              <w:spacing w:after="0"/>
              <w:rPr>
                <w:sz w:val="24"/>
                <w:szCs w:val="24"/>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1,689</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Assets</w:t>
            </w:r>
          </w:p>
        </w:tc>
        <w:tc>
          <w:tcPr>
            <w:tcW w:w="2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143,650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115,452</w:t>
            </w:r>
          </w:p>
        </w:tc>
        <w:tc>
          <w:tcPr>
            <w:tcW w:w="0" w:type="dxa"/>
            <w:vAlign w:val="bottom"/>
          </w:tcPr>
          <w:p>
            <w:pPr>
              <w:spacing w:after="0"/>
              <w:rPr>
                <w:sz w:val="1"/>
                <w:szCs w:val="1"/>
                <w:color w:val="auto"/>
              </w:rPr>
            </w:pPr>
          </w:p>
        </w:tc>
      </w:tr>
      <w:tr>
        <w:trPr>
          <w:trHeight w:val="472"/>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Non-current</w:t>
            </w: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Equipment</w:t>
            </w:r>
          </w:p>
        </w:tc>
        <w:tc>
          <w:tcPr>
            <w:tcW w:w="2260" w:type="dxa"/>
            <w:vAlign w:val="bottom"/>
          </w:tcPr>
          <w:p>
            <w:pPr>
              <w:jc w:val="center"/>
              <w:ind w:left="579"/>
              <w:spacing w:after="0"/>
              <w:rPr>
                <w:sz w:val="20"/>
                <w:szCs w:val="20"/>
                <w:color w:val="auto"/>
              </w:rPr>
            </w:pPr>
            <w:r>
              <w:rPr>
                <w:rFonts w:ascii="Arial" w:cs="Arial" w:eastAsia="Arial" w:hAnsi="Arial"/>
                <w:sz w:val="16"/>
                <w:szCs w:val="16"/>
                <w:i w:val="1"/>
                <w:iCs w:val="1"/>
                <w:color w:val="auto"/>
                <w:w w:val="89"/>
              </w:rPr>
              <w:t>3</w:t>
            </w: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82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Intangible assets</w:t>
            </w:r>
          </w:p>
        </w:tc>
        <w:tc>
          <w:tcPr>
            <w:tcW w:w="2260" w:type="dxa"/>
            <w:vAlign w:val="bottom"/>
          </w:tcPr>
          <w:p>
            <w:pPr>
              <w:jc w:val="center"/>
              <w:ind w:left="579"/>
              <w:spacing w:after="0"/>
              <w:rPr>
                <w:sz w:val="20"/>
                <w:szCs w:val="20"/>
                <w:color w:val="auto"/>
              </w:rPr>
            </w:pPr>
            <w:r>
              <w:rPr>
                <w:rFonts w:ascii="Arial" w:cs="Arial" w:eastAsia="Arial" w:hAnsi="Arial"/>
                <w:sz w:val="16"/>
                <w:szCs w:val="16"/>
                <w:i w:val="1"/>
                <w:iCs w:val="1"/>
                <w:color w:val="auto"/>
                <w:w w:val="89"/>
              </w:rPr>
              <w:t>4</w:t>
            </w: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30,184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28,532</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Goodwill</w:t>
            </w:r>
          </w:p>
        </w:tc>
        <w:tc>
          <w:tcPr>
            <w:tcW w:w="2260" w:type="dxa"/>
            <w:vAlign w:val="bottom"/>
          </w:tcPr>
          <w:p>
            <w:pPr>
              <w:jc w:val="center"/>
              <w:ind w:left="579"/>
              <w:spacing w:after="0"/>
              <w:rPr>
                <w:sz w:val="20"/>
                <w:szCs w:val="20"/>
                <w:color w:val="auto"/>
              </w:rPr>
            </w:pPr>
            <w:r>
              <w:rPr>
                <w:rFonts w:ascii="Arial" w:cs="Arial" w:eastAsia="Arial" w:hAnsi="Arial"/>
                <w:sz w:val="16"/>
                <w:szCs w:val="16"/>
                <w:i w:val="1"/>
                <w:iCs w:val="1"/>
                <w:color w:val="auto"/>
                <w:w w:val="89"/>
              </w:rPr>
              <w:t>5</w:t>
            </w: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36,897</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35,815</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Non-Current Assets</w:t>
            </w:r>
          </w:p>
        </w:tc>
        <w:tc>
          <w:tcPr>
            <w:tcW w:w="2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67,163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64,445</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ASSETS</w:t>
            </w:r>
          </w:p>
        </w:tc>
        <w:tc>
          <w:tcPr>
            <w:tcW w:w="2260" w:type="dxa"/>
            <w:vAlign w:val="bottom"/>
            <w:tcBorders>
              <w:bottom w:val="single" w:sz="8" w:color="auto"/>
            </w:tcBorders>
            <w:shd w:val="clear" w:color="auto" w:fill="D9D9D9"/>
          </w:tcPr>
          <w:p>
            <w:pPr>
              <w:spacing w:after="0"/>
              <w:rPr>
                <w:sz w:val="18"/>
                <w:szCs w:val="18"/>
                <w:color w:val="auto"/>
              </w:rPr>
            </w:pPr>
          </w:p>
        </w:tc>
        <w:tc>
          <w:tcPr>
            <w:tcW w:w="200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210,813</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179,897</w:t>
            </w:r>
          </w:p>
        </w:tc>
        <w:tc>
          <w:tcPr>
            <w:tcW w:w="0" w:type="dxa"/>
            <w:vAlign w:val="bottom"/>
          </w:tcPr>
          <w:p>
            <w:pPr>
              <w:spacing w:after="0"/>
              <w:rPr>
                <w:sz w:val="1"/>
                <w:szCs w:val="1"/>
                <w:color w:val="auto"/>
              </w:rPr>
            </w:pPr>
          </w:p>
        </w:tc>
      </w:tr>
      <w:tr>
        <w:trPr>
          <w:trHeight w:val="256"/>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LIABILITIES</w:t>
            </w:r>
          </w:p>
        </w:tc>
        <w:tc>
          <w:tcPr>
            <w:tcW w:w="22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Current</w:t>
            </w: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300" w:type="dxa"/>
            <w:vAlign w:val="bottom"/>
          </w:tcPr>
          <w:p>
            <w:pPr>
              <w:ind w:left="560"/>
              <w:spacing w:after="0"/>
              <w:rPr>
                <w:sz w:val="20"/>
                <w:szCs w:val="20"/>
                <w:color w:val="auto"/>
              </w:rPr>
            </w:pPr>
            <w:r>
              <w:rPr>
                <w:rFonts w:ascii="Arial" w:cs="Arial" w:eastAsia="Arial" w:hAnsi="Arial"/>
                <w:sz w:val="16"/>
                <w:szCs w:val="16"/>
                <w:color w:val="auto"/>
              </w:rPr>
              <w:t>Accounts payable and accrued liabilities</w:t>
            </w:r>
          </w:p>
        </w:tc>
        <w:tc>
          <w:tcPr>
            <w:tcW w:w="2260" w:type="dxa"/>
            <w:vAlign w:val="bottom"/>
          </w:tcPr>
          <w:p>
            <w:pPr>
              <w:spacing w:after="0"/>
              <w:rPr>
                <w:sz w:val="24"/>
                <w:szCs w:val="24"/>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color w:val="auto"/>
              </w:rPr>
              <w:t>14,553</w:t>
            </w:r>
          </w:p>
        </w:tc>
        <w:tc>
          <w:tcPr>
            <w:tcW w:w="1680" w:type="dxa"/>
            <w:vAlign w:val="bottom"/>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150"/>
        </w:trPr>
        <w:tc>
          <w:tcPr>
            <w:tcW w:w="53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Liabilities</w:t>
            </w:r>
          </w:p>
        </w:tc>
        <w:tc>
          <w:tcPr>
            <w:tcW w:w="2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14,553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14,900</w:t>
            </w:r>
          </w:p>
        </w:tc>
        <w:tc>
          <w:tcPr>
            <w:tcW w:w="0" w:type="dxa"/>
            <w:vAlign w:val="bottom"/>
          </w:tcPr>
          <w:p>
            <w:pPr>
              <w:spacing w:after="0"/>
              <w:rPr>
                <w:sz w:val="1"/>
                <w:szCs w:val="1"/>
                <w:color w:val="auto"/>
              </w:rPr>
            </w:pPr>
          </w:p>
        </w:tc>
      </w:tr>
      <w:tr>
        <w:trPr>
          <w:trHeight w:val="337"/>
        </w:trPr>
        <w:tc>
          <w:tcPr>
            <w:tcW w:w="5300" w:type="dxa"/>
            <w:vAlign w:val="bottom"/>
          </w:tcPr>
          <w:p>
            <w:pPr>
              <w:ind w:left="240"/>
              <w:spacing w:after="0"/>
              <w:rPr>
                <w:sz w:val="20"/>
                <w:szCs w:val="20"/>
                <w:color w:val="auto"/>
              </w:rPr>
            </w:pPr>
            <w:r>
              <w:rPr>
                <w:rFonts w:ascii="Arial" w:cs="Arial" w:eastAsia="Arial" w:hAnsi="Arial"/>
                <w:sz w:val="16"/>
                <w:szCs w:val="16"/>
                <w:b w:val="1"/>
                <w:bCs w:val="1"/>
                <w:color w:val="auto"/>
              </w:rPr>
              <w:t>Non-current</w:t>
            </w: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00" w:type="dxa"/>
            <w:vAlign w:val="bottom"/>
          </w:tcPr>
          <w:p>
            <w:pPr>
              <w:ind w:left="500"/>
              <w:spacing w:after="0"/>
              <w:rPr>
                <w:sz w:val="20"/>
                <w:szCs w:val="20"/>
                <w:color w:val="auto"/>
              </w:rPr>
            </w:pPr>
            <w:r>
              <w:rPr>
                <w:rFonts w:ascii="Arial" w:cs="Arial" w:eastAsia="Arial" w:hAnsi="Arial"/>
                <w:sz w:val="16"/>
                <w:szCs w:val="16"/>
                <w:color w:val="auto"/>
              </w:rPr>
              <w:t>Convertible Debentures</w:t>
            </w:r>
          </w:p>
        </w:tc>
        <w:tc>
          <w:tcPr>
            <w:tcW w:w="2260" w:type="dxa"/>
            <w:vAlign w:val="bottom"/>
          </w:tcPr>
          <w:p>
            <w:pPr>
              <w:jc w:val="center"/>
              <w:ind w:left="579"/>
              <w:spacing w:after="0"/>
              <w:rPr>
                <w:sz w:val="20"/>
                <w:szCs w:val="20"/>
                <w:color w:val="auto"/>
              </w:rPr>
            </w:pPr>
            <w:r>
              <w:rPr>
                <w:rFonts w:ascii="Arial" w:cs="Arial" w:eastAsia="Arial" w:hAnsi="Arial"/>
                <w:sz w:val="16"/>
                <w:szCs w:val="16"/>
                <w:i w:val="1"/>
                <w:iCs w:val="1"/>
                <w:color w:val="auto"/>
                <w:w w:val="89"/>
              </w:rPr>
              <w:t>6</w:t>
            </w:r>
          </w:p>
        </w:tc>
        <w:tc>
          <w:tcPr>
            <w:tcW w:w="2000" w:type="dxa"/>
            <w:vAlign w:val="bottom"/>
          </w:tcPr>
          <w:p>
            <w:pPr>
              <w:jc w:val="right"/>
              <w:ind w:right="319"/>
              <w:spacing w:after="0"/>
              <w:rPr>
                <w:sz w:val="20"/>
                <w:szCs w:val="20"/>
                <w:color w:val="auto"/>
              </w:rPr>
            </w:pPr>
            <w:r>
              <w:rPr>
                <w:rFonts w:ascii="Arial" w:cs="Arial" w:eastAsia="Arial" w:hAnsi="Arial"/>
                <w:sz w:val="16"/>
                <w:szCs w:val="16"/>
                <w:color w:val="auto"/>
              </w:rPr>
              <w:t>44,500</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53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Non-Current Liabilities</w:t>
            </w:r>
          </w:p>
        </w:tc>
        <w:tc>
          <w:tcPr>
            <w:tcW w:w="2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44,500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53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TOTAL LIABILITIES</w:t>
            </w:r>
          </w:p>
        </w:tc>
        <w:tc>
          <w:tcPr>
            <w:tcW w:w="2260" w:type="dxa"/>
            <w:vAlign w:val="bottom"/>
            <w:tcBorders>
              <w:bottom w:val="single" w:sz="8" w:color="auto"/>
            </w:tcBorders>
            <w:shd w:val="clear" w:color="auto" w:fill="DBDBDB"/>
          </w:tcPr>
          <w:p>
            <w:pPr>
              <w:spacing w:after="0"/>
              <w:rPr>
                <w:sz w:val="18"/>
                <w:szCs w:val="18"/>
                <w:color w:val="auto"/>
              </w:rPr>
            </w:pPr>
          </w:p>
        </w:tc>
        <w:tc>
          <w:tcPr>
            <w:tcW w:w="200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b w:val="1"/>
                <w:bCs w:val="1"/>
                <w:color w:val="auto"/>
              </w:rPr>
              <w:t>59,053</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256"/>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SHAREHOLDERS' EQUITY</w:t>
            </w:r>
          </w:p>
        </w:tc>
        <w:tc>
          <w:tcPr>
            <w:tcW w:w="2260" w:type="dxa"/>
            <w:vAlign w:val="bottom"/>
            <w:vMerge w:val="restart"/>
          </w:tcPr>
          <w:p>
            <w:pPr>
              <w:jc w:val="center"/>
              <w:ind w:left="579"/>
              <w:spacing w:after="0"/>
              <w:rPr>
                <w:sz w:val="20"/>
                <w:szCs w:val="20"/>
                <w:color w:val="auto"/>
              </w:rPr>
            </w:pPr>
            <w:r>
              <w:rPr>
                <w:rFonts w:ascii="Arial" w:cs="Arial" w:eastAsia="Arial" w:hAnsi="Arial"/>
                <w:sz w:val="16"/>
                <w:szCs w:val="16"/>
                <w:i w:val="1"/>
                <w:iCs w:val="1"/>
                <w:color w:val="auto"/>
                <w:w w:val="89"/>
              </w:rPr>
              <w:t>7</w:t>
            </w:r>
          </w:p>
        </w:tc>
        <w:tc>
          <w:tcPr>
            <w:tcW w:w="20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Share capital</w:t>
            </w:r>
          </w:p>
        </w:tc>
        <w:tc>
          <w:tcPr>
            <w:tcW w:w="2260" w:type="dxa"/>
            <w:vAlign w:val="bottom"/>
            <w:vMerge w:val="continue"/>
          </w:tcPr>
          <w:p>
            <w:pPr>
              <w:spacing w:after="0"/>
              <w:rPr>
                <w:sz w:val="18"/>
                <w:szCs w:val="18"/>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333,146</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344,949</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Contributed surplus</w:t>
            </w:r>
          </w:p>
        </w:tc>
        <w:tc>
          <w:tcPr>
            <w:tcW w:w="2260" w:type="dxa"/>
            <w:vAlign w:val="bottom"/>
          </w:tcPr>
          <w:p>
            <w:pPr>
              <w:spacing w:after="0"/>
              <w:rPr>
                <w:sz w:val="24"/>
                <w:szCs w:val="24"/>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31,024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32,626</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Options reserve</w:t>
            </w:r>
          </w:p>
        </w:tc>
        <w:tc>
          <w:tcPr>
            <w:tcW w:w="2260" w:type="dxa"/>
            <w:vAlign w:val="bottom"/>
          </w:tcPr>
          <w:p>
            <w:pPr>
              <w:jc w:val="center"/>
              <w:ind w:left="579"/>
              <w:spacing w:after="0"/>
              <w:rPr>
                <w:sz w:val="20"/>
                <w:szCs w:val="20"/>
                <w:color w:val="auto"/>
              </w:rPr>
            </w:pPr>
            <w:r>
              <w:rPr>
                <w:rFonts w:ascii="Arial" w:cs="Arial" w:eastAsia="Arial" w:hAnsi="Arial"/>
                <w:sz w:val="16"/>
                <w:szCs w:val="16"/>
                <w:i w:val="1"/>
                <w:iCs w:val="1"/>
                <w:color w:val="auto"/>
                <w:w w:val="89"/>
              </w:rPr>
              <w:t>7</w:t>
            </w: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33,614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36,262</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vMerge w:val="restart"/>
          </w:tcPr>
          <w:p>
            <w:pPr>
              <w:ind w:left="560"/>
              <w:spacing w:after="0"/>
              <w:rPr>
                <w:sz w:val="20"/>
                <w:szCs w:val="20"/>
                <w:color w:val="auto"/>
              </w:rPr>
            </w:pPr>
            <w:r>
              <w:rPr>
                <w:rFonts w:ascii="Arial" w:cs="Arial" w:eastAsia="Arial" w:hAnsi="Arial"/>
                <w:sz w:val="16"/>
                <w:szCs w:val="16"/>
                <w:color w:val="auto"/>
              </w:rPr>
              <w:t>Warrants reserve</w:t>
            </w:r>
          </w:p>
        </w:tc>
        <w:tc>
          <w:tcPr>
            <w:tcW w:w="2260" w:type="dxa"/>
            <w:vAlign w:val="bottom"/>
          </w:tcPr>
          <w:p>
            <w:pPr>
              <w:jc w:val="center"/>
              <w:ind w:left="579"/>
              <w:spacing w:after="0"/>
              <w:rPr>
                <w:sz w:val="20"/>
                <w:szCs w:val="20"/>
                <w:color w:val="auto"/>
              </w:rPr>
            </w:pPr>
            <w:r>
              <w:rPr>
                <w:rFonts w:ascii="Arial" w:cs="Arial" w:eastAsia="Arial" w:hAnsi="Arial"/>
                <w:sz w:val="16"/>
                <w:szCs w:val="16"/>
                <w:i w:val="1"/>
                <w:iCs w:val="1"/>
                <w:color w:val="auto"/>
                <w:w w:val="89"/>
              </w:rPr>
              <w:t>7</w:t>
            </w: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19,194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20,493</w:t>
            </w:r>
          </w:p>
        </w:tc>
        <w:tc>
          <w:tcPr>
            <w:tcW w:w="0" w:type="dxa"/>
            <w:vAlign w:val="bottom"/>
          </w:tcPr>
          <w:p>
            <w:pPr>
              <w:spacing w:after="0"/>
              <w:rPr>
                <w:sz w:val="1"/>
                <w:szCs w:val="1"/>
                <w:color w:val="auto"/>
              </w:rPr>
            </w:pPr>
          </w:p>
        </w:tc>
      </w:tr>
      <w:tr>
        <w:trPr>
          <w:trHeight w:val="81"/>
        </w:trPr>
        <w:tc>
          <w:tcPr>
            <w:tcW w:w="530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Accumulated other comprehensive income (loss)</w:t>
            </w:r>
          </w:p>
        </w:tc>
        <w:tc>
          <w:tcPr>
            <w:tcW w:w="2260" w:type="dxa"/>
            <w:vAlign w:val="bottom"/>
          </w:tcPr>
          <w:p>
            <w:pPr>
              <w:spacing w:after="0"/>
              <w:rPr>
                <w:sz w:val="24"/>
                <w:szCs w:val="24"/>
                <w:color w:val="auto"/>
              </w:rPr>
            </w:pPr>
          </w:p>
        </w:tc>
        <w:tc>
          <w:tcPr>
            <w:tcW w:w="2000" w:type="dxa"/>
            <w:vAlign w:val="bottom"/>
            <w:vMerge w:val="restart"/>
          </w:tcPr>
          <w:p>
            <w:pPr>
              <w:jc w:val="right"/>
              <w:ind w:right="319"/>
              <w:spacing w:after="0"/>
              <w:rPr>
                <w:sz w:val="20"/>
                <w:szCs w:val="20"/>
                <w:color w:val="auto"/>
              </w:rPr>
            </w:pPr>
            <w:r>
              <w:rPr>
                <w:rFonts w:ascii="Arial" w:cs="Arial" w:eastAsia="Arial" w:hAnsi="Arial"/>
                <w:sz w:val="16"/>
                <w:szCs w:val="16"/>
                <w:color w:val="auto"/>
              </w:rPr>
              <w:t>932</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(13,940)</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560"/>
              <w:spacing w:after="0"/>
              <w:rPr>
                <w:sz w:val="20"/>
                <w:szCs w:val="20"/>
                <w:color w:val="auto"/>
              </w:rPr>
            </w:pPr>
            <w:r>
              <w:rPr>
                <w:rFonts w:ascii="Arial" w:cs="Arial" w:eastAsia="Arial" w:hAnsi="Arial"/>
                <w:sz w:val="16"/>
                <w:szCs w:val="16"/>
                <w:color w:val="auto"/>
              </w:rPr>
              <w:t>Deficit</w:t>
            </w:r>
          </w:p>
        </w:tc>
        <w:tc>
          <w:tcPr>
            <w:tcW w:w="2260" w:type="dxa"/>
            <w:vAlign w:val="bottom"/>
          </w:tcPr>
          <w:p>
            <w:pPr>
              <w:spacing w:after="0"/>
              <w:rPr>
                <w:sz w:val="24"/>
                <w:szCs w:val="24"/>
                <w:color w:val="auto"/>
              </w:rPr>
            </w:pPr>
          </w:p>
        </w:tc>
        <w:tc>
          <w:tcPr>
            <w:tcW w:w="2000" w:type="dxa"/>
            <w:vAlign w:val="bottom"/>
            <w:vMerge w:val="restart"/>
          </w:tcPr>
          <w:p>
            <w:pPr>
              <w:jc w:val="right"/>
              <w:ind w:right="279"/>
              <w:spacing w:after="0"/>
              <w:rPr>
                <w:sz w:val="20"/>
                <w:szCs w:val="20"/>
                <w:color w:val="auto"/>
              </w:rPr>
            </w:pPr>
            <w:r>
              <w:rPr>
                <w:rFonts w:ascii="Arial" w:cs="Arial" w:eastAsia="Arial" w:hAnsi="Arial"/>
                <w:sz w:val="16"/>
                <w:szCs w:val="16"/>
                <w:color w:val="auto"/>
              </w:rPr>
              <w:t>(266,150)</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(255,393)</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SHAREHOLDERS' EQUITY</w:t>
            </w:r>
          </w:p>
        </w:tc>
        <w:tc>
          <w:tcPr>
            <w:tcW w:w="2260" w:type="dxa"/>
            <w:vAlign w:val="bottom"/>
            <w:tcBorders>
              <w:bottom w:val="single" w:sz="8" w:color="auto"/>
            </w:tcBorders>
            <w:shd w:val="clear" w:color="auto" w:fill="D9D9D9"/>
          </w:tcPr>
          <w:p>
            <w:pPr>
              <w:spacing w:after="0"/>
              <w:rPr>
                <w:sz w:val="18"/>
                <w:szCs w:val="18"/>
                <w:color w:val="auto"/>
              </w:rPr>
            </w:pPr>
          </w:p>
        </w:tc>
        <w:tc>
          <w:tcPr>
            <w:tcW w:w="200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151,760</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164,997</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LIABILITIES AND SHAREHOLDERS' EQUITY</w:t>
            </w:r>
          </w:p>
        </w:tc>
        <w:tc>
          <w:tcPr>
            <w:tcW w:w="2260" w:type="dxa"/>
            <w:vAlign w:val="bottom"/>
            <w:tcBorders>
              <w:bottom w:val="single" w:sz="8" w:color="auto"/>
            </w:tcBorders>
            <w:shd w:val="clear" w:color="auto" w:fill="D9D9D9"/>
          </w:tcPr>
          <w:p>
            <w:pPr>
              <w:spacing w:after="0"/>
              <w:rPr>
                <w:sz w:val="18"/>
                <w:szCs w:val="18"/>
                <w:color w:val="auto"/>
              </w:rPr>
            </w:pPr>
          </w:p>
        </w:tc>
        <w:tc>
          <w:tcPr>
            <w:tcW w:w="200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210,813</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179,897</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Corporate information (note 1); Material accounting policy information and basis of preparation (note 2); Contracts, commitments and contingencies (note 11); Subsequent events (note 14)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1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These condensed interim consolidated financial statements were approved for issue on August 13, 2025 by the board of directors and signed on its behalf by:</w:t>
      </w:r>
    </w:p>
    <w:p>
      <w:pPr>
        <w:spacing w:after="0" w:line="72"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i w:val="1"/>
          <w:iCs w:val="1"/>
          <w:color w:val="auto"/>
        </w:rPr>
        <w:t xml:space="preserve">/s/ Paul Glavine </w:t>
      </w:r>
      <w:r>
        <w:rPr>
          <w:rFonts w:ascii="Arial" w:cs="Arial" w:eastAsia="Arial" w:hAnsi="Arial"/>
          <w:sz w:val="18"/>
          <w:szCs w:val="18"/>
          <w:color w:val="auto"/>
        </w:rPr>
        <w:t>Director</w:t>
      </w:r>
      <w:r>
        <w:rPr>
          <w:sz w:val="20"/>
          <w:szCs w:val="20"/>
          <w:color w:val="auto"/>
        </w:rPr>
        <w:tab/>
      </w:r>
      <w:r>
        <w:rPr>
          <w:rFonts w:ascii="Arial" w:cs="Arial" w:eastAsia="Arial" w:hAnsi="Arial"/>
          <w:sz w:val="17"/>
          <w:szCs w:val="17"/>
          <w:i w:val="1"/>
          <w:iCs w:val="1"/>
          <w:color w:val="auto"/>
        </w:rPr>
        <w:t xml:space="preserve">/s/ Eric So </w:t>
      </w:r>
      <w:r>
        <w:rPr>
          <w:rFonts w:ascii="Arial" w:cs="Arial" w:eastAsia="Arial" w:hAnsi="Arial"/>
          <w:sz w:val="17"/>
          <w:szCs w:val="17"/>
          <w:color w:val="auto"/>
        </w:rPr>
        <w:t>Director</w:t>
      </w:r>
    </w:p>
    <w:p>
      <w:pPr>
        <w:sectPr>
          <w:pgSz w:w="11900" w:h="16838" w:orient="portrait"/>
          <w:cols w:equalWidth="0" w:num="1">
            <w:col w:w="11240"/>
          </w:cols>
          <w:pgMar w:left="320" w:top="233" w:right="339" w:bottom="1109" w:gutter="0" w:footer="0" w:header="0"/>
        </w:sectPr>
      </w:pPr>
    </w:p>
    <w:bookmarkStart w:id="6" w:name="page7"/>
    <w:bookmarkEnd w:id="6"/>
    <w:p>
      <w:pPr>
        <w:ind w:left="80"/>
        <w:spacing w:after="0"/>
        <w:rPr>
          <w:sz w:val="20"/>
          <w:szCs w:val="20"/>
          <w:color w:val="auto"/>
        </w:rPr>
      </w:pPr>
      <w:r>
        <w:rPr>
          <w:rFonts w:ascii="Arial" w:cs="Arial" w:eastAsia="Arial" w:hAnsi="Arial"/>
          <w:sz w:val="21"/>
          <w:szCs w:val="21"/>
          <w:b w:val="1"/>
          <w:bCs w:val="1"/>
          <w:color w:val="auto"/>
        </w:rPr>
        <w:t>CYBIN INC.</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INTERIM CONSOLIDATED STATEMENTS OF LOSS AND COMPREHENSIVE LOSS</w:t>
      </w:r>
    </w:p>
    <w:p>
      <w:pPr>
        <w:ind w:left="80"/>
        <w:spacing w:after="0"/>
        <w:rPr>
          <w:sz w:val="20"/>
          <w:szCs w:val="20"/>
          <w:color w:val="auto"/>
        </w:rPr>
      </w:pPr>
      <w:r>
        <w:rPr>
          <w:rFonts w:ascii="Arial" w:cs="Arial" w:eastAsia="Arial" w:hAnsi="Arial"/>
          <w:sz w:val="20"/>
          <w:szCs w:val="20"/>
          <w:b w:val="1"/>
          <w:bCs w:val="1"/>
          <w:color w:val="auto"/>
        </w:rPr>
        <w:t>(All amounts expressed in thousands of United States dollars, except share and per share amounts)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80" w:type="dxa"/>
            <w:vAlign w:val="bottom"/>
            <w:gridSpan w:val="2"/>
          </w:tcPr>
          <w:p>
            <w:pPr>
              <w:jc w:val="right"/>
              <w:ind w:right="861"/>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700" w:type="dxa"/>
            <w:vAlign w:val="bottom"/>
          </w:tcPr>
          <w:p>
            <w:pPr>
              <w:spacing w:after="0"/>
              <w:rPr>
                <w:sz w:val="21"/>
                <w:szCs w:val="21"/>
                <w:color w:val="auto"/>
              </w:rPr>
            </w:pPr>
          </w:p>
        </w:tc>
        <w:tc>
          <w:tcPr>
            <w:tcW w:w="660" w:type="dxa"/>
            <w:vAlign w:val="bottom"/>
          </w:tcPr>
          <w:p>
            <w:pPr>
              <w:ind w:left="180"/>
              <w:spacing w:after="0"/>
              <w:rPr>
                <w:sz w:val="20"/>
                <w:szCs w:val="20"/>
                <w:color w:val="auto"/>
              </w:rPr>
            </w:pPr>
            <w:r>
              <w:rPr>
                <w:rFonts w:ascii="Arial" w:cs="Arial" w:eastAsia="Arial" w:hAnsi="Arial"/>
                <w:sz w:val="16"/>
                <w:szCs w:val="16"/>
                <w:i w:val="1"/>
                <w:iCs w:val="1"/>
                <w:color w:val="auto"/>
              </w:rPr>
              <w:t>Notes</w:t>
            </w:r>
          </w:p>
        </w:tc>
        <w:tc>
          <w:tcPr>
            <w:tcW w:w="2400" w:type="dxa"/>
            <w:vAlign w:val="bottom"/>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56"/>
        </w:trPr>
        <w:tc>
          <w:tcPr>
            <w:tcW w:w="67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7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EXPENSES</w:t>
            </w:r>
          </w:p>
        </w:tc>
        <w:tc>
          <w:tcPr>
            <w:tcW w:w="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Restated - Note 2</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240"/>
              <w:spacing w:after="0"/>
              <w:rPr>
                <w:sz w:val="20"/>
                <w:szCs w:val="20"/>
                <w:color w:val="auto"/>
              </w:rPr>
            </w:pPr>
            <w:r>
              <w:rPr>
                <w:rFonts w:ascii="Arial" w:cs="Arial" w:eastAsia="Arial" w:hAnsi="Arial"/>
                <w:sz w:val="16"/>
                <w:szCs w:val="16"/>
                <w:color w:val="auto"/>
              </w:rPr>
              <w:t>Research</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9</w:t>
            </w:r>
          </w:p>
        </w:tc>
        <w:tc>
          <w:tcPr>
            <w:tcW w:w="2400" w:type="dxa"/>
            <w:vAlign w:val="bottom"/>
          </w:tcPr>
          <w:p>
            <w:pPr>
              <w:jc w:val="right"/>
              <w:ind w:right="401"/>
              <w:spacing w:after="0"/>
              <w:rPr>
                <w:sz w:val="20"/>
                <w:szCs w:val="20"/>
                <w:color w:val="auto"/>
              </w:rPr>
            </w:pPr>
            <w:r>
              <w:rPr>
                <w:rFonts w:ascii="Arial" w:cs="Arial" w:eastAsia="Arial" w:hAnsi="Arial"/>
                <w:sz w:val="16"/>
                <w:szCs w:val="16"/>
                <w:b w:val="1"/>
                <w:bCs w:val="1"/>
                <w:color w:val="auto"/>
              </w:rPr>
              <w:t>14,995</w:t>
            </w:r>
          </w:p>
        </w:tc>
        <w:tc>
          <w:tcPr>
            <w:tcW w:w="1480" w:type="dxa"/>
            <w:vAlign w:val="bottom"/>
          </w:tcPr>
          <w:p>
            <w:pPr>
              <w:jc w:val="right"/>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351"/>
        </w:trPr>
        <w:tc>
          <w:tcPr>
            <w:tcW w:w="6700" w:type="dxa"/>
            <w:vAlign w:val="bottom"/>
          </w:tcPr>
          <w:p>
            <w:pPr>
              <w:ind w:left="240"/>
              <w:spacing w:after="0"/>
              <w:rPr>
                <w:sz w:val="20"/>
                <w:szCs w:val="20"/>
                <w:color w:val="auto"/>
              </w:rPr>
            </w:pPr>
            <w:r>
              <w:rPr>
                <w:rFonts w:ascii="Arial" w:cs="Arial" w:eastAsia="Arial" w:hAnsi="Arial"/>
                <w:sz w:val="16"/>
                <w:szCs w:val="16"/>
                <w:color w:val="auto"/>
              </w:rPr>
              <w:t>General and administrative costs</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10</w:t>
            </w:r>
          </w:p>
        </w:tc>
        <w:tc>
          <w:tcPr>
            <w:tcW w:w="2400" w:type="dxa"/>
            <w:vAlign w:val="bottom"/>
          </w:tcPr>
          <w:p>
            <w:pPr>
              <w:jc w:val="right"/>
              <w:ind w:right="401"/>
              <w:spacing w:after="0"/>
              <w:rPr>
                <w:sz w:val="20"/>
                <w:szCs w:val="20"/>
                <w:color w:val="auto"/>
              </w:rPr>
            </w:pPr>
            <w:r>
              <w:rPr>
                <w:rFonts w:ascii="Arial" w:cs="Arial" w:eastAsia="Arial" w:hAnsi="Arial"/>
                <w:sz w:val="16"/>
                <w:szCs w:val="16"/>
                <w:b w:val="1"/>
                <w:bCs w:val="1"/>
                <w:color w:val="auto"/>
              </w:rPr>
              <w:t>8,876</w:t>
            </w:r>
          </w:p>
        </w:tc>
        <w:tc>
          <w:tcPr>
            <w:tcW w:w="1480" w:type="dxa"/>
            <w:vAlign w:val="bottom"/>
          </w:tcPr>
          <w:p>
            <w:pPr>
              <w:jc w:val="right"/>
              <w:spacing w:after="0"/>
              <w:rPr>
                <w:sz w:val="20"/>
                <w:szCs w:val="20"/>
                <w:color w:val="auto"/>
              </w:rPr>
            </w:pPr>
            <w:r>
              <w:rPr>
                <w:rFonts w:ascii="Arial" w:cs="Arial" w:eastAsia="Arial" w:hAnsi="Arial"/>
                <w:sz w:val="16"/>
                <w:szCs w:val="16"/>
                <w:color w:val="auto"/>
              </w:rPr>
              <w:t>6,068</w:t>
            </w:r>
          </w:p>
        </w:tc>
        <w:tc>
          <w:tcPr>
            <w:tcW w:w="0" w:type="dxa"/>
            <w:vAlign w:val="bottom"/>
          </w:tcPr>
          <w:p>
            <w:pPr>
              <w:spacing w:after="0"/>
              <w:rPr>
                <w:sz w:val="1"/>
                <w:szCs w:val="1"/>
                <w:color w:val="auto"/>
              </w:rPr>
            </w:pPr>
          </w:p>
        </w:tc>
      </w:tr>
      <w:tr>
        <w:trPr>
          <w:trHeight w:val="351"/>
        </w:trPr>
        <w:tc>
          <w:tcPr>
            <w:tcW w:w="670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7</w:t>
            </w:r>
          </w:p>
        </w:tc>
        <w:tc>
          <w:tcPr>
            <w:tcW w:w="2400" w:type="dxa"/>
            <w:vAlign w:val="bottom"/>
          </w:tcPr>
          <w:p>
            <w:pPr>
              <w:jc w:val="right"/>
              <w:ind w:right="401"/>
              <w:spacing w:after="0"/>
              <w:rPr>
                <w:sz w:val="20"/>
                <w:szCs w:val="20"/>
                <w:color w:val="auto"/>
              </w:rPr>
            </w:pPr>
            <w:r>
              <w:rPr>
                <w:rFonts w:ascii="Arial" w:cs="Arial" w:eastAsia="Arial" w:hAnsi="Arial"/>
                <w:sz w:val="16"/>
                <w:szCs w:val="16"/>
                <w:b w:val="1"/>
                <w:bCs w:val="1"/>
                <w:color w:val="auto"/>
              </w:rPr>
              <w:t>753</w:t>
            </w:r>
          </w:p>
        </w:tc>
        <w:tc>
          <w:tcPr>
            <w:tcW w:w="148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05"/>
        </w:trPr>
        <w:tc>
          <w:tcPr>
            <w:tcW w:w="6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EXPENSES</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24,624</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14,849</w:t>
            </w:r>
          </w:p>
        </w:tc>
        <w:tc>
          <w:tcPr>
            <w:tcW w:w="0" w:type="dxa"/>
            <w:vAlign w:val="bottom"/>
          </w:tcPr>
          <w:p>
            <w:pPr>
              <w:spacing w:after="0"/>
              <w:rPr>
                <w:sz w:val="1"/>
                <w:szCs w:val="1"/>
                <w:color w:val="auto"/>
              </w:rPr>
            </w:pPr>
          </w:p>
        </w:tc>
      </w:tr>
      <w:tr>
        <w:trPr>
          <w:trHeight w:val="459"/>
        </w:trPr>
        <w:tc>
          <w:tcPr>
            <w:tcW w:w="6700" w:type="dxa"/>
            <w:vAlign w:val="bottom"/>
          </w:tcPr>
          <w:p>
            <w:pPr>
              <w:ind w:left="80"/>
              <w:spacing w:after="0"/>
              <w:rPr>
                <w:sz w:val="20"/>
                <w:szCs w:val="20"/>
                <w:color w:val="auto"/>
              </w:rPr>
            </w:pPr>
            <w:r>
              <w:rPr>
                <w:rFonts w:ascii="Arial" w:cs="Arial" w:eastAsia="Arial" w:hAnsi="Arial"/>
                <w:sz w:val="16"/>
                <w:szCs w:val="16"/>
                <w:b w:val="1"/>
                <w:bCs w:val="1"/>
                <w:color w:val="auto"/>
              </w:rPr>
              <w:t>OTHER INCOME (EXPENSES)</w:t>
            </w:r>
          </w:p>
        </w:tc>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240"/>
              <w:spacing w:after="0"/>
              <w:rPr>
                <w:sz w:val="20"/>
                <w:szCs w:val="20"/>
                <w:color w:val="auto"/>
              </w:rPr>
            </w:pPr>
            <w:r>
              <w:rPr>
                <w:rFonts w:ascii="Arial" w:cs="Arial" w:eastAsia="Arial" w:hAnsi="Arial"/>
                <w:sz w:val="16"/>
                <w:szCs w:val="16"/>
                <w:color w:val="auto"/>
              </w:rPr>
              <w:t>Foreign currency translation gain</w:t>
            </w:r>
          </w:p>
        </w:tc>
        <w:tc>
          <w:tcPr>
            <w:tcW w:w="660" w:type="dxa"/>
            <w:vAlign w:val="bottom"/>
          </w:tcPr>
          <w:p>
            <w:pPr>
              <w:spacing w:after="0"/>
              <w:rPr>
                <w:sz w:val="24"/>
                <w:szCs w:val="24"/>
                <w:color w:val="auto"/>
              </w:rPr>
            </w:pPr>
          </w:p>
        </w:tc>
        <w:tc>
          <w:tcPr>
            <w:tcW w:w="240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1,944</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62"/>
        </w:trPr>
        <w:tc>
          <w:tcPr>
            <w:tcW w:w="6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660" w:type="dxa"/>
            <w:vAlign w:val="bottom"/>
          </w:tcPr>
          <w:p>
            <w:pPr>
              <w:spacing w:after="0"/>
              <w:rPr>
                <w:sz w:val="24"/>
                <w:szCs w:val="24"/>
                <w:color w:val="auto"/>
              </w:rPr>
            </w:pPr>
          </w:p>
        </w:tc>
        <w:tc>
          <w:tcPr>
            <w:tcW w:w="240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955</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55"/>
        </w:trPr>
        <w:tc>
          <w:tcPr>
            <w:tcW w:w="6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660" w:type="dxa"/>
            <w:vAlign w:val="bottom"/>
          </w:tcPr>
          <w:p>
            <w:pPr>
              <w:spacing w:after="0"/>
              <w:rPr>
                <w:sz w:val="18"/>
                <w:szCs w:val="18"/>
                <w:color w:val="auto"/>
              </w:rPr>
            </w:pPr>
          </w:p>
        </w:tc>
        <w:tc>
          <w:tcPr>
            <w:tcW w:w="2400" w:type="dxa"/>
            <w:vAlign w:val="bottom"/>
          </w:tcPr>
          <w:p>
            <w:pPr>
              <w:jc w:val="right"/>
              <w:ind w:right="401"/>
              <w:spacing w:after="0"/>
              <w:rPr>
                <w:sz w:val="20"/>
                <w:szCs w:val="20"/>
                <w:color w:val="auto"/>
              </w:rPr>
            </w:pPr>
            <w:r>
              <w:rPr>
                <w:rFonts w:ascii="Arial" w:cs="Arial" w:eastAsia="Arial" w:hAnsi="Arial"/>
                <w:sz w:val="16"/>
                <w:szCs w:val="16"/>
                <w:b w:val="1"/>
                <w:bCs w:val="1"/>
                <w:color w:val="auto"/>
              </w:rPr>
              <w:t>29</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Debt issuance costs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rPr>
              <w:t>6</w:t>
            </w:r>
          </w:p>
        </w:tc>
        <w:tc>
          <w:tcPr>
            <w:tcW w:w="24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(2,917)</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OTHER INCOME</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11</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4,015</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NET LOSS FOR THE PERIOD</w:t>
            </w:r>
          </w:p>
        </w:tc>
        <w:tc>
          <w:tcPr>
            <w:tcW w:w="660" w:type="dxa"/>
            <w:vAlign w:val="bottom"/>
            <w:tcBorders>
              <w:bottom w:val="single" w:sz="8" w:color="auto"/>
            </w:tcBorders>
            <w:shd w:val="clear" w:color="auto" w:fill="DBDBDB"/>
          </w:tcPr>
          <w:p>
            <w:pPr>
              <w:spacing w:after="0"/>
              <w:rPr>
                <w:sz w:val="18"/>
                <w:szCs w:val="18"/>
                <w:color w:val="auto"/>
              </w:rPr>
            </w:pPr>
          </w:p>
        </w:tc>
        <w:tc>
          <w:tcPr>
            <w:tcW w:w="2400" w:type="dxa"/>
            <w:vAlign w:val="bottom"/>
            <w:tcBorders>
              <w:bottom w:val="single" w:sz="8" w:color="auto"/>
            </w:tcBorders>
            <w:shd w:val="clear" w:color="auto" w:fill="DBDBDB"/>
          </w:tcPr>
          <w:p>
            <w:pPr>
              <w:jc w:val="right"/>
              <w:ind w:right="361"/>
              <w:spacing w:after="0"/>
              <w:rPr>
                <w:sz w:val="20"/>
                <w:szCs w:val="20"/>
                <w:color w:val="auto"/>
              </w:rPr>
            </w:pPr>
            <w:r>
              <w:rPr>
                <w:rFonts w:ascii="Arial" w:cs="Arial" w:eastAsia="Arial" w:hAnsi="Arial"/>
                <w:sz w:val="16"/>
                <w:szCs w:val="16"/>
                <w:b w:val="1"/>
                <w:bCs w:val="1"/>
                <w:color w:val="auto"/>
              </w:rPr>
              <w:t>(24,613)</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(10,834)</w:t>
            </w:r>
          </w:p>
        </w:tc>
        <w:tc>
          <w:tcPr>
            <w:tcW w:w="0" w:type="dxa"/>
            <w:vAlign w:val="bottom"/>
          </w:tcPr>
          <w:p>
            <w:pPr>
              <w:spacing w:after="0"/>
              <w:rPr>
                <w:sz w:val="1"/>
                <w:szCs w:val="1"/>
                <w:color w:val="auto"/>
              </w:rPr>
            </w:pPr>
          </w:p>
        </w:tc>
      </w:tr>
      <w:tr>
        <w:trPr>
          <w:trHeight w:val="459"/>
        </w:trPr>
        <w:tc>
          <w:tcPr>
            <w:tcW w:w="6700" w:type="dxa"/>
            <w:vAlign w:val="bottom"/>
          </w:tcPr>
          <w:p>
            <w:pPr>
              <w:ind w:left="80"/>
              <w:spacing w:after="0"/>
              <w:rPr>
                <w:sz w:val="20"/>
                <w:szCs w:val="20"/>
                <w:color w:val="auto"/>
              </w:rPr>
            </w:pPr>
            <w:r>
              <w:rPr>
                <w:rFonts w:ascii="Arial" w:cs="Arial" w:eastAsia="Arial" w:hAnsi="Arial"/>
                <w:sz w:val="16"/>
                <w:szCs w:val="16"/>
                <w:b w:val="1"/>
                <w:bCs w:val="1"/>
                <w:color w:val="auto"/>
              </w:rPr>
              <w:t>OTHER COMPREHENSIVE INCOME (LOSS)</w:t>
            </w:r>
          </w:p>
        </w:tc>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180"/>
              <w:spacing w:after="0"/>
              <w:rPr>
                <w:sz w:val="20"/>
                <w:szCs w:val="20"/>
                <w:color w:val="auto"/>
              </w:rPr>
            </w:pPr>
            <w:r>
              <w:rPr>
                <w:rFonts w:ascii="Arial" w:cs="Arial" w:eastAsia="Arial" w:hAnsi="Arial"/>
                <w:sz w:val="16"/>
                <w:szCs w:val="16"/>
                <w:color w:val="auto"/>
              </w:rPr>
              <w:t>Foreign currency translation differences for foreign operations</w:t>
            </w:r>
          </w:p>
        </w:tc>
        <w:tc>
          <w:tcPr>
            <w:tcW w:w="660" w:type="dxa"/>
            <w:vAlign w:val="bottom"/>
          </w:tcPr>
          <w:p>
            <w:pPr>
              <w:spacing w:after="0"/>
              <w:rPr>
                <w:sz w:val="24"/>
                <w:szCs w:val="24"/>
                <w:color w:val="auto"/>
              </w:rPr>
            </w:pPr>
          </w:p>
        </w:tc>
        <w:tc>
          <w:tcPr>
            <w:tcW w:w="2400" w:type="dxa"/>
            <w:vAlign w:val="bottom"/>
            <w:vMerge w:val="restart"/>
          </w:tcPr>
          <w:p>
            <w:pPr>
              <w:jc w:val="right"/>
              <w:ind w:right="401"/>
              <w:spacing w:after="0"/>
              <w:rPr>
                <w:sz w:val="20"/>
                <w:szCs w:val="20"/>
                <w:color w:val="auto"/>
              </w:rPr>
            </w:pPr>
            <w:r>
              <w:rPr>
                <w:rFonts w:ascii="Arial" w:cs="Arial" w:eastAsia="Arial" w:hAnsi="Arial"/>
                <w:sz w:val="16"/>
                <w:szCs w:val="16"/>
                <w:color w:val="auto"/>
              </w:rPr>
              <w:t>490</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55"/>
        </w:trPr>
        <w:tc>
          <w:tcPr>
            <w:tcW w:w="67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vMerge w:val="continue"/>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COMPREHENSIVE LOSS FOR THE PERIOD</w:t>
            </w:r>
          </w:p>
        </w:tc>
        <w:tc>
          <w:tcPr>
            <w:tcW w:w="660" w:type="dxa"/>
            <w:vAlign w:val="bottom"/>
            <w:tcBorders>
              <w:bottom w:val="single" w:sz="8" w:color="auto"/>
            </w:tcBorders>
            <w:shd w:val="clear" w:color="auto" w:fill="D9D9D9"/>
          </w:tcPr>
          <w:p>
            <w:pPr>
              <w:spacing w:after="0"/>
              <w:rPr>
                <w:sz w:val="18"/>
                <w:szCs w:val="18"/>
                <w:color w:val="auto"/>
              </w:rPr>
            </w:pPr>
          </w:p>
        </w:tc>
        <w:tc>
          <w:tcPr>
            <w:tcW w:w="2400" w:type="dxa"/>
            <w:vAlign w:val="bottom"/>
            <w:tcBorders>
              <w:bottom w:val="single" w:sz="8" w:color="auto"/>
            </w:tcBorders>
            <w:shd w:val="clear" w:color="auto" w:fill="DBDBDB"/>
          </w:tcPr>
          <w:p>
            <w:pPr>
              <w:jc w:val="right"/>
              <w:ind w:right="361"/>
              <w:spacing w:after="0"/>
              <w:rPr>
                <w:sz w:val="20"/>
                <w:szCs w:val="20"/>
                <w:color w:val="auto"/>
              </w:rPr>
            </w:pPr>
            <w:r>
              <w:rPr>
                <w:rFonts w:ascii="Arial" w:cs="Arial" w:eastAsia="Arial" w:hAnsi="Arial"/>
                <w:sz w:val="16"/>
                <w:szCs w:val="16"/>
                <w:b w:val="1"/>
                <w:bCs w:val="1"/>
                <w:color w:val="auto"/>
              </w:rPr>
              <w:t>(24,123)</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(13,789)</w:t>
            </w:r>
          </w:p>
        </w:tc>
        <w:tc>
          <w:tcPr>
            <w:tcW w:w="0" w:type="dxa"/>
            <w:vAlign w:val="bottom"/>
          </w:tcPr>
          <w:p>
            <w:pPr>
              <w:spacing w:after="0"/>
              <w:rPr>
                <w:sz w:val="1"/>
                <w:szCs w:val="1"/>
                <w:color w:val="auto"/>
              </w:rPr>
            </w:pPr>
          </w:p>
        </w:tc>
      </w:tr>
      <w:tr>
        <w:trPr>
          <w:trHeight w:val="453"/>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Basic loss per share for the period</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(1.10)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Weighted average number of common shares outstanding - basic</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22,401,197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20,001,404</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29"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1000"/>
        <w:spacing w:after="0" w:line="239" w:lineRule="auto"/>
        <w:rPr>
          <w:sz w:val="20"/>
          <w:szCs w:val="20"/>
          <w:color w:val="auto"/>
        </w:rPr>
      </w:pPr>
      <w:r>
        <w:rPr>
          <w:rFonts w:ascii="Arial" w:cs="Arial" w:eastAsia="Arial" w:hAnsi="Arial"/>
          <w:sz w:val="22"/>
          <w:szCs w:val="22"/>
          <w:b w:val="1"/>
          <w:bCs w:val="1"/>
          <w:color w:val="auto"/>
        </w:rPr>
        <w:t>CONDENSED INTERIM CONSOLIDATED STATEMENTS OF CHANGES IN SHAREHOLDERS’ EQUITY For the three-month periods ended June 30, 2025 and 2024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 except share amounts)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Share capital</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Number of</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Warrants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3"/>
                <w:szCs w:val="13"/>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3"/>
                <w:szCs w:val="13"/>
                <w:color w:val="auto"/>
              </w:rPr>
            </w:pP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3200" w:type="dxa"/>
            <w:vAlign w:val="bottom"/>
            <w:shd w:val="clear" w:color="auto" w:fill="D9D9D9"/>
          </w:tcPr>
          <w:p>
            <w:pPr>
              <w:ind w:left="80"/>
              <w:spacing w:after="0" w:line="143" w:lineRule="exact"/>
              <w:rPr>
                <w:sz w:val="20"/>
                <w:szCs w:val="20"/>
                <w:color w:val="auto"/>
              </w:rPr>
            </w:pPr>
            <w:r>
              <w:rPr>
                <w:rFonts w:ascii="Arial" w:cs="Arial" w:eastAsia="Arial" w:hAnsi="Arial"/>
                <w:sz w:val="14"/>
                <w:szCs w:val="14"/>
                <w:b w:val="1"/>
                <w:bCs w:val="1"/>
                <w:color w:val="auto"/>
              </w:rPr>
              <w:t xml:space="preserve">Balance as at March 31, 2024 - </w:t>
            </w:r>
            <w:r>
              <w:rPr>
                <w:rFonts w:ascii="Arial" w:cs="Arial" w:eastAsia="Arial" w:hAnsi="Arial"/>
                <w:sz w:val="14"/>
                <w:szCs w:val="14"/>
                <w:b w:val="1"/>
                <w:bCs w:val="1"/>
                <w:i w:val="1"/>
                <w:iCs w:val="1"/>
                <w:color w:val="auto"/>
              </w:rPr>
              <w:t>Restated -</w:t>
            </w:r>
          </w:p>
        </w:tc>
        <w:tc>
          <w:tcPr>
            <w:tcW w:w="620" w:type="dxa"/>
            <w:vAlign w:val="bottom"/>
            <w:shd w:val="clear" w:color="auto" w:fill="D9D9D9"/>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vMerge w:val="restart"/>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20,001,404</w:t>
            </w: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331,000</w:t>
            </w:r>
          </w:p>
        </w:tc>
        <w:tc>
          <w:tcPr>
            <w:tcW w:w="980" w:type="dxa"/>
            <w:vAlign w:val="bottom"/>
            <w:gridSpan w:val="2"/>
            <w:vMerge w:val="restart"/>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19,060</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30,283</w:t>
            </w:r>
          </w:p>
        </w:tc>
        <w:tc>
          <w:tcPr>
            <w:tcW w:w="8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8,756</w:t>
            </w:r>
          </w:p>
        </w:tc>
        <w:tc>
          <w:tcPr>
            <w:tcW w:w="94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(173,786)</w:t>
            </w:r>
          </w:p>
        </w:tc>
        <w:tc>
          <w:tcPr>
            <w:tcW w:w="11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132</w:t>
            </w:r>
          </w:p>
        </w:tc>
        <w:tc>
          <w:tcPr>
            <w:tcW w:w="9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215,445</w:t>
            </w:r>
          </w:p>
        </w:tc>
        <w:tc>
          <w:tcPr>
            <w:tcW w:w="0" w:type="dxa"/>
            <w:vAlign w:val="bottom"/>
          </w:tcPr>
          <w:p>
            <w:pPr>
              <w:spacing w:after="0"/>
              <w:rPr>
                <w:sz w:val="1"/>
                <w:szCs w:val="1"/>
                <w:color w:val="auto"/>
              </w:rPr>
            </w:pPr>
          </w:p>
        </w:tc>
      </w:tr>
      <w:tr>
        <w:trPr>
          <w:trHeight w:val="119"/>
        </w:trPr>
        <w:tc>
          <w:tcPr>
            <w:tcW w:w="3200" w:type="dxa"/>
            <w:vAlign w:val="bottom"/>
            <w:vMerge w:val="restart"/>
            <w:shd w:val="clear" w:color="auto" w:fill="D9D9D9"/>
          </w:tcPr>
          <w:p>
            <w:pPr>
              <w:ind w:left="80"/>
              <w:spacing w:after="0"/>
              <w:rPr>
                <w:sz w:val="20"/>
                <w:szCs w:val="20"/>
                <w:color w:val="auto"/>
              </w:rPr>
            </w:pPr>
            <w:r>
              <w:rPr>
                <w:rFonts w:ascii="Arial" w:cs="Arial" w:eastAsia="Arial" w:hAnsi="Arial"/>
                <w:sz w:val="14"/>
                <w:szCs w:val="14"/>
                <w:b w:val="1"/>
                <w:bCs w:val="1"/>
                <w:i w:val="1"/>
                <w:iCs w:val="1"/>
                <w:color w:val="auto"/>
              </w:rPr>
              <w:t>Note 2</w:t>
            </w:r>
          </w:p>
        </w:tc>
        <w:tc>
          <w:tcPr>
            <w:tcW w:w="620" w:type="dxa"/>
            <w:vAlign w:val="bottom"/>
            <w:shd w:val="clear" w:color="auto" w:fill="D9D9D9"/>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BDBDB"/>
          </w:tcPr>
          <w:p>
            <w:pPr>
              <w:spacing w:after="0"/>
              <w:rPr>
                <w:sz w:val="10"/>
                <w:szCs w:val="10"/>
                <w:color w:val="auto"/>
              </w:rPr>
            </w:pPr>
          </w:p>
        </w:tc>
        <w:tc>
          <w:tcPr>
            <w:tcW w:w="980" w:type="dxa"/>
            <w:vAlign w:val="bottom"/>
            <w:gridSpan w:val="2"/>
            <w:vMerge w:val="continue"/>
            <w:shd w:val="clear" w:color="auto" w:fill="DBDBDB"/>
          </w:tcPr>
          <w:p>
            <w:pPr>
              <w:spacing w:after="0"/>
              <w:rPr>
                <w:sz w:val="10"/>
                <w:szCs w:val="10"/>
                <w:color w:val="auto"/>
              </w:rPr>
            </w:pPr>
          </w:p>
        </w:tc>
        <w:tc>
          <w:tcPr>
            <w:tcW w:w="780" w:type="dxa"/>
            <w:vAlign w:val="bottom"/>
            <w:vMerge w:val="continue"/>
            <w:shd w:val="clear" w:color="auto" w:fill="DBDBDB"/>
          </w:tcPr>
          <w:p>
            <w:pPr>
              <w:spacing w:after="0"/>
              <w:rPr>
                <w:sz w:val="10"/>
                <w:szCs w:val="10"/>
                <w:color w:val="auto"/>
              </w:rPr>
            </w:pPr>
          </w:p>
        </w:tc>
        <w:tc>
          <w:tcPr>
            <w:tcW w:w="880" w:type="dxa"/>
            <w:vAlign w:val="bottom"/>
            <w:vMerge w:val="continue"/>
            <w:shd w:val="clear" w:color="auto" w:fill="DBDBDB"/>
          </w:tcPr>
          <w:p>
            <w:pPr>
              <w:spacing w:after="0"/>
              <w:rPr>
                <w:sz w:val="10"/>
                <w:szCs w:val="10"/>
                <w:color w:val="auto"/>
              </w:rPr>
            </w:pPr>
          </w:p>
        </w:tc>
        <w:tc>
          <w:tcPr>
            <w:tcW w:w="940" w:type="dxa"/>
            <w:vAlign w:val="bottom"/>
            <w:gridSpan w:val="2"/>
            <w:vMerge w:val="continue"/>
            <w:shd w:val="clear" w:color="auto" w:fill="DBDBDB"/>
          </w:tcPr>
          <w:p>
            <w:pPr>
              <w:spacing w:after="0"/>
              <w:rPr>
                <w:sz w:val="10"/>
                <w:szCs w:val="10"/>
                <w:color w:val="auto"/>
              </w:rPr>
            </w:pPr>
          </w:p>
        </w:tc>
        <w:tc>
          <w:tcPr>
            <w:tcW w:w="1180" w:type="dxa"/>
            <w:vAlign w:val="bottom"/>
            <w:gridSpan w:val="2"/>
            <w:vMerge w:val="continue"/>
            <w:shd w:val="clear" w:color="auto" w:fill="DBDBDB"/>
          </w:tcPr>
          <w:p>
            <w:pPr>
              <w:spacing w:after="0"/>
              <w:rPr>
                <w:sz w:val="10"/>
                <w:szCs w:val="10"/>
                <w:color w:val="auto"/>
              </w:rPr>
            </w:pPr>
          </w:p>
        </w:tc>
        <w:tc>
          <w:tcPr>
            <w:tcW w:w="980" w:type="dxa"/>
            <w:vAlign w:val="bottom"/>
            <w:gridSpan w:val="2"/>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200" w:type="dxa"/>
            <w:vAlign w:val="bottom"/>
            <w:tcBorders>
              <w:bottom w:val="single" w:sz="8" w:color="auto"/>
            </w:tcBorders>
            <w:vMerge w:val="continue"/>
            <w:shd w:val="clear" w:color="auto" w:fill="D9D9D9"/>
          </w:tcPr>
          <w:p>
            <w:pPr>
              <w:spacing w:after="0"/>
              <w:rPr>
                <w:sz w:val="6"/>
                <w:szCs w:val="6"/>
                <w:color w:val="auto"/>
              </w:rPr>
            </w:pPr>
          </w:p>
        </w:tc>
        <w:tc>
          <w:tcPr>
            <w:tcW w:w="62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BDBDB"/>
          </w:tcPr>
          <w:p>
            <w:pPr>
              <w:spacing w:after="0"/>
              <w:rPr>
                <w:sz w:val="6"/>
                <w:szCs w:val="6"/>
                <w:color w:val="auto"/>
              </w:rPr>
            </w:pPr>
          </w:p>
        </w:tc>
        <w:tc>
          <w:tcPr>
            <w:tcW w:w="820" w:type="dxa"/>
            <w:vAlign w:val="bottom"/>
            <w:tcBorders>
              <w:bottom w:val="single" w:sz="8" w:color="auto"/>
            </w:tcBorders>
            <w:shd w:val="clear" w:color="auto" w:fill="D9D9D9"/>
          </w:tcPr>
          <w:p>
            <w:pPr>
              <w:spacing w:after="0"/>
              <w:rPr>
                <w:sz w:val="6"/>
                <w:szCs w:val="6"/>
                <w:color w:val="auto"/>
              </w:rPr>
            </w:pPr>
          </w:p>
        </w:tc>
        <w:tc>
          <w:tcPr>
            <w:tcW w:w="760" w:type="dxa"/>
            <w:vAlign w:val="bottom"/>
            <w:tcBorders>
              <w:bottom w:val="single" w:sz="8" w:color="auto"/>
            </w:tcBorders>
            <w:vMerge w:val="continue"/>
            <w:shd w:val="clear" w:color="auto" w:fill="DBDBDB"/>
          </w:tcPr>
          <w:p>
            <w:pPr>
              <w:spacing w:after="0"/>
              <w:rPr>
                <w:sz w:val="6"/>
                <w:szCs w:val="6"/>
                <w:color w:val="auto"/>
              </w:rPr>
            </w:pPr>
          </w:p>
        </w:tc>
        <w:tc>
          <w:tcPr>
            <w:tcW w:w="980" w:type="dxa"/>
            <w:vAlign w:val="bottom"/>
            <w:tcBorders>
              <w:bottom w:val="single" w:sz="8" w:color="auto"/>
            </w:tcBorders>
            <w:gridSpan w:val="2"/>
            <w:vMerge w:val="continue"/>
            <w:shd w:val="clear" w:color="auto" w:fill="DBDBDB"/>
          </w:tcPr>
          <w:p>
            <w:pPr>
              <w:spacing w:after="0"/>
              <w:rPr>
                <w:sz w:val="6"/>
                <w:szCs w:val="6"/>
                <w:color w:val="auto"/>
              </w:rPr>
            </w:pPr>
          </w:p>
        </w:tc>
        <w:tc>
          <w:tcPr>
            <w:tcW w:w="780" w:type="dxa"/>
            <w:vAlign w:val="bottom"/>
            <w:tcBorders>
              <w:bottom w:val="single" w:sz="8" w:color="auto"/>
            </w:tcBorders>
            <w:vMerge w:val="continue"/>
            <w:shd w:val="clear" w:color="auto" w:fill="DBDBDB"/>
          </w:tcPr>
          <w:p>
            <w:pPr>
              <w:spacing w:after="0"/>
              <w:rPr>
                <w:sz w:val="6"/>
                <w:szCs w:val="6"/>
                <w:color w:val="auto"/>
              </w:rPr>
            </w:pPr>
          </w:p>
        </w:tc>
        <w:tc>
          <w:tcPr>
            <w:tcW w:w="880" w:type="dxa"/>
            <w:vAlign w:val="bottom"/>
            <w:tcBorders>
              <w:bottom w:val="single" w:sz="8" w:color="auto"/>
            </w:tcBorders>
            <w:vMerge w:val="continue"/>
            <w:shd w:val="clear" w:color="auto" w:fill="DBDBDB"/>
          </w:tcPr>
          <w:p>
            <w:pPr>
              <w:spacing w:after="0"/>
              <w:rPr>
                <w:sz w:val="6"/>
                <w:szCs w:val="6"/>
                <w:color w:val="auto"/>
              </w:rPr>
            </w:pPr>
          </w:p>
        </w:tc>
        <w:tc>
          <w:tcPr>
            <w:tcW w:w="940" w:type="dxa"/>
            <w:vAlign w:val="bottom"/>
            <w:tcBorders>
              <w:bottom w:val="single" w:sz="8" w:color="auto"/>
            </w:tcBorders>
            <w:gridSpan w:val="2"/>
            <w:vMerge w:val="continue"/>
            <w:shd w:val="clear" w:color="auto" w:fill="DBDBDB"/>
          </w:tcPr>
          <w:p>
            <w:pPr>
              <w:spacing w:after="0"/>
              <w:rPr>
                <w:sz w:val="6"/>
                <w:szCs w:val="6"/>
                <w:color w:val="auto"/>
              </w:rPr>
            </w:pPr>
          </w:p>
        </w:tc>
        <w:tc>
          <w:tcPr>
            <w:tcW w:w="1180" w:type="dxa"/>
            <w:vAlign w:val="bottom"/>
            <w:tcBorders>
              <w:bottom w:val="single" w:sz="8" w:color="auto"/>
            </w:tcBorders>
            <w:gridSpan w:val="2"/>
            <w:vMerge w:val="continue"/>
            <w:shd w:val="clear" w:color="auto" w:fill="DBDBDB"/>
          </w:tcPr>
          <w:p>
            <w:pPr>
              <w:spacing w:after="0"/>
              <w:rPr>
                <w:sz w:val="6"/>
                <w:szCs w:val="6"/>
                <w:color w:val="auto"/>
              </w:rPr>
            </w:pPr>
          </w:p>
        </w:tc>
        <w:tc>
          <w:tcPr>
            <w:tcW w:w="980" w:type="dxa"/>
            <w:vAlign w:val="bottom"/>
            <w:tcBorders>
              <w:bottom w:val="single" w:sz="8" w:color="auto"/>
            </w:tcBorders>
            <w:gridSpan w:val="2"/>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100"/>
              <w:spacing w:after="0"/>
              <w:rPr>
                <w:sz w:val="20"/>
                <w:szCs w:val="20"/>
                <w:color w:val="auto"/>
              </w:rPr>
            </w:pPr>
            <w:r>
              <w:rPr>
                <w:rFonts w:ascii="Arial" w:cs="Arial" w:eastAsia="Arial" w:hAnsi="Arial"/>
                <w:sz w:val="14"/>
                <w:szCs w:val="14"/>
                <w:color w:val="auto"/>
              </w:rPr>
              <w:t>Share issuance costs</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4"/>
                <w:szCs w:val="14"/>
                <w:color w:val="auto"/>
              </w:rPr>
              <w:t>Options cancelled</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(23,435)</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23,435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4"/>
                <w:szCs w:val="14"/>
                <w:color w:val="auto"/>
              </w:rPr>
              <w:t>Share-based compensation</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2,904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2,904</w:t>
            </w:r>
          </w:p>
        </w:tc>
        <w:tc>
          <w:tcPr>
            <w:tcW w:w="0" w:type="dxa"/>
            <w:vAlign w:val="bottom"/>
          </w:tcPr>
          <w:p>
            <w:pPr>
              <w:spacing w:after="0"/>
              <w:rPr>
                <w:sz w:val="1"/>
                <w:szCs w:val="1"/>
                <w:color w:val="auto"/>
              </w:rPr>
            </w:pPr>
          </w:p>
        </w:tc>
      </w:tr>
      <w:tr>
        <w:trPr>
          <w:trHeight w:val="151"/>
        </w:trPr>
        <w:tc>
          <w:tcPr>
            <w:tcW w:w="3200" w:type="dxa"/>
            <w:vAlign w:val="bottom"/>
          </w:tcPr>
          <w:p>
            <w:pPr>
              <w:ind w:left="80"/>
              <w:spacing w:after="0" w:line="151" w:lineRule="exact"/>
              <w:rPr>
                <w:sz w:val="20"/>
                <w:szCs w:val="20"/>
                <w:color w:val="auto"/>
              </w:rPr>
            </w:pPr>
            <w:r>
              <w:rPr>
                <w:rFonts w:ascii="Arial" w:cs="Arial" w:eastAsia="Arial" w:hAnsi="Arial"/>
                <w:sz w:val="14"/>
                <w:szCs w:val="14"/>
                <w:color w:val="auto"/>
              </w:rPr>
              <w:t>Unrealized loss on translation of foreign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(2,955)</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(2,955)</w:t>
            </w:r>
          </w:p>
        </w:tc>
        <w:tc>
          <w:tcPr>
            <w:tcW w:w="0" w:type="dxa"/>
            <w:vAlign w:val="bottom"/>
          </w:tcPr>
          <w:p>
            <w:pPr>
              <w:spacing w:after="0"/>
              <w:rPr>
                <w:sz w:val="1"/>
                <w:szCs w:val="1"/>
                <w:color w:val="auto"/>
              </w:rPr>
            </w:pPr>
          </w:p>
        </w:tc>
      </w:tr>
      <w:tr>
        <w:trPr>
          <w:trHeight w:val="190"/>
        </w:trPr>
        <w:tc>
          <w:tcPr>
            <w:tcW w:w="320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loss for the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(10,834)</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(10,834)</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4"/>
                <w:szCs w:val="14"/>
                <w:b w:val="1"/>
                <w:bCs w:val="1"/>
                <w:color w:val="auto"/>
              </w:rPr>
              <w:t>Balance as at June 30, 2024</w:t>
            </w:r>
          </w:p>
        </w:tc>
        <w:tc>
          <w:tcPr>
            <w:tcW w:w="6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20,001,404</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330,891</w:t>
            </w:r>
          </w:p>
        </w:tc>
        <w:tc>
          <w:tcPr>
            <w:tcW w:w="980" w:type="dxa"/>
            <w:vAlign w:val="bottom"/>
            <w:tcBorders>
              <w:bottom w:val="single" w:sz="8" w:color="auto"/>
            </w:tcBorders>
            <w:gridSpan w:val="2"/>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19,060</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9,752</w:t>
            </w:r>
          </w:p>
        </w:tc>
        <w:tc>
          <w:tcPr>
            <w:tcW w:w="8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32,191</w:t>
            </w:r>
          </w:p>
        </w:tc>
        <w:tc>
          <w:tcPr>
            <w:tcW w:w="9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(184,620)</w:t>
            </w:r>
          </w:p>
        </w:tc>
        <w:tc>
          <w:tcPr>
            <w:tcW w:w="1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(2,823)</w:t>
            </w:r>
          </w:p>
        </w:tc>
        <w:tc>
          <w:tcPr>
            <w:tcW w:w="9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204,451</w:t>
            </w:r>
          </w:p>
        </w:tc>
        <w:tc>
          <w:tcPr>
            <w:tcW w:w="0" w:type="dxa"/>
            <w:vAlign w:val="bottom"/>
          </w:tcPr>
          <w:p>
            <w:pPr>
              <w:spacing w:after="0"/>
              <w:rPr>
                <w:sz w:val="1"/>
                <w:szCs w:val="1"/>
                <w:color w:val="auto"/>
              </w:rPr>
            </w:pPr>
          </w:p>
        </w:tc>
      </w:tr>
      <w:tr>
        <w:trPr>
          <w:trHeight w:val="89"/>
        </w:trPr>
        <w:tc>
          <w:tcPr>
            <w:tcW w:w="3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D9D9D9"/>
          </w:tcPr>
          <w:p>
            <w:pPr>
              <w:ind w:left="80"/>
              <w:spacing w:after="0" w:line="142" w:lineRule="exact"/>
              <w:rPr>
                <w:sz w:val="20"/>
                <w:szCs w:val="20"/>
                <w:color w:val="auto"/>
              </w:rPr>
            </w:pPr>
            <w:r>
              <w:rPr>
                <w:rFonts w:ascii="Arial" w:cs="Arial" w:eastAsia="Arial" w:hAnsi="Arial"/>
                <w:sz w:val="14"/>
                <w:szCs w:val="14"/>
                <w:b w:val="1"/>
                <w:bCs w:val="1"/>
                <w:color w:val="auto"/>
              </w:rPr>
              <w:t xml:space="preserve">Balance as at March 31,2025 - </w:t>
            </w:r>
            <w:r>
              <w:rPr>
                <w:rFonts w:ascii="Arial" w:cs="Arial" w:eastAsia="Arial" w:hAnsi="Arial"/>
                <w:sz w:val="14"/>
                <w:szCs w:val="14"/>
                <w:b w:val="1"/>
                <w:bCs w:val="1"/>
                <w:i w:val="1"/>
                <w:iCs w:val="1"/>
                <w:color w:val="auto"/>
              </w:rPr>
              <w:t>Restated -</w:t>
            </w:r>
          </w:p>
        </w:tc>
        <w:tc>
          <w:tcPr>
            <w:tcW w:w="620" w:type="dxa"/>
            <w:vAlign w:val="bottom"/>
            <w:shd w:val="clear" w:color="auto" w:fill="D9D9D9"/>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vMerge w:val="restart"/>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21,610,704</w:t>
            </w: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344,949</w:t>
            </w:r>
          </w:p>
        </w:tc>
        <w:tc>
          <w:tcPr>
            <w:tcW w:w="980" w:type="dxa"/>
            <w:vAlign w:val="bottom"/>
            <w:gridSpan w:val="2"/>
            <w:vMerge w:val="restart"/>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20,493</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36,262</w:t>
            </w:r>
          </w:p>
        </w:tc>
        <w:tc>
          <w:tcPr>
            <w:tcW w:w="8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32,626</w:t>
            </w:r>
          </w:p>
        </w:tc>
        <w:tc>
          <w:tcPr>
            <w:tcW w:w="94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(255,393)</w:t>
            </w:r>
          </w:p>
        </w:tc>
        <w:tc>
          <w:tcPr>
            <w:tcW w:w="11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(13,940)</w:t>
            </w:r>
          </w:p>
        </w:tc>
        <w:tc>
          <w:tcPr>
            <w:tcW w:w="100" w:type="dxa"/>
            <w:vAlign w:val="bottom"/>
            <w:shd w:val="clear" w:color="auto" w:fill="D9D9D9"/>
          </w:tcPr>
          <w:p>
            <w:pPr>
              <w:spacing w:after="0"/>
              <w:rPr>
                <w:sz w:val="12"/>
                <w:szCs w:val="12"/>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164,997</w:t>
            </w:r>
          </w:p>
        </w:tc>
        <w:tc>
          <w:tcPr>
            <w:tcW w:w="0" w:type="dxa"/>
            <w:vAlign w:val="bottom"/>
          </w:tcPr>
          <w:p>
            <w:pPr>
              <w:spacing w:after="0"/>
              <w:rPr>
                <w:sz w:val="1"/>
                <w:szCs w:val="1"/>
                <w:color w:val="auto"/>
              </w:rPr>
            </w:pPr>
          </w:p>
        </w:tc>
      </w:tr>
      <w:tr>
        <w:trPr>
          <w:trHeight w:val="119"/>
        </w:trPr>
        <w:tc>
          <w:tcPr>
            <w:tcW w:w="3200" w:type="dxa"/>
            <w:vAlign w:val="bottom"/>
            <w:vMerge w:val="restart"/>
            <w:shd w:val="clear" w:color="auto" w:fill="D9D9D9"/>
          </w:tcPr>
          <w:p>
            <w:pPr>
              <w:ind w:left="80"/>
              <w:spacing w:after="0"/>
              <w:rPr>
                <w:sz w:val="20"/>
                <w:szCs w:val="20"/>
                <w:color w:val="auto"/>
              </w:rPr>
            </w:pPr>
            <w:r>
              <w:rPr>
                <w:rFonts w:ascii="Arial" w:cs="Arial" w:eastAsia="Arial" w:hAnsi="Arial"/>
                <w:sz w:val="14"/>
                <w:szCs w:val="14"/>
                <w:b w:val="1"/>
                <w:bCs w:val="1"/>
                <w:i w:val="1"/>
                <w:iCs w:val="1"/>
                <w:color w:val="auto"/>
              </w:rPr>
              <w:t>Note 2</w:t>
            </w:r>
          </w:p>
        </w:tc>
        <w:tc>
          <w:tcPr>
            <w:tcW w:w="620" w:type="dxa"/>
            <w:vAlign w:val="bottom"/>
            <w:shd w:val="clear" w:color="auto" w:fill="D9D9D9"/>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BDBDB"/>
          </w:tcPr>
          <w:p>
            <w:pPr>
              <w:spacing w:after="0"/>
              <w:rPr>
                <w:sz w:val="10"/>
                <w:szCs w:val="10"/>
                <w:color w:val="auto"/>
              </w:rPr>
            </w:pPr>
          </w:p>
        </w:tc>
        <w:tc>
          <w:tcPr>
            <w:tcW w:w="980" w:type="dxa"/>
            <w:vAlign w:val="bottom"/>
            <w:gridSpan w:val="2"/>
            <w:vMerge w:val="continue"/>
            <w:shd w:val="clear" w:color="auto" w:fill="DBDBDB"/>
          </w:tcPr>
          <w:p>
            <w:pPr>
              <w:spacing w:after="0"/>
              <w:rPr>
                <w:sz w:val="10"/>
                <w:szCs w:val="10"/>
                <w:color w:val="auto"/>
              </w:rPr>
            </w:pPr>
          </w:p>
        </w:tc>
        <w:tc>
          <w:tcPr>
            <w:tcW w:w="780" w:type="dxa"/>
            <w:vAlign w:val="bottom"/>
            <w:vMerge w:val="continue"/>
            <w:shd w:val="clear" w:color="auto" w:fill="DBDBDB"/>
          </w:tcPr>
          <w:p>
            <w:pPr>
              <w:spacing w:after="0"/>
              <w:rPr>
                <w:sz w:val="10"/>
                <w:szCs w:val="10"/>
                <w:color w:val="auto"/>
              </w:rPr>
            </w:pPr>
          </w:p>
        </w:tc>
        <w:tc>
          <w:tcPr>
            <w:tcW w:w="880" w:type="dxa"/>
            <w:vAlign w:val="bottom"/>
            <w:vMerge w:val="continue"/>
            <w:shd w:val="clear" w:color="auto" w:fill="DBDBDB"/>
          </w:tcPr>
          <w:p>
            <w:pPr>
              <w:spacing w:after="0"/>
              <w:rPr>
                <w:sz w:val="10"/>
                <w:szCs w:val="10"/>
                <w:color w:val="auto"/>
              </w:rPr>
            </w:pPr>
          </w:p>
        </w:tc>
        <w:tc>
          <w:tcPr>
            <w:tcW w:w="940" w:type="dxa"/>
            <w:vAlign w:val="bottom"/>
            <w:gridSpan w:val="2"/>
            <w:vMerge w:val="continue"/>
            <w:shd w:val="clear" w:color="auto" w:fill="DBDBDB"/>
          </w:tcPr>
          <w:p>
            <w:pPr>
              <w:spacing w:after="0"/>
              <w:rPr>
                <w:sz w:val="10"/>
                <w:szCs w:val="10"/>
                <w:color w:val="auto"/>
              </w:rPr>
            </w:pPr>
          </w:p>
        </w:tc>
        <w:tc>
          <w:tcPr>
            <w:tcW w:w="1180" w:type="dxa"/>
            <w:vAlign w:val="bottom"/>
            <w:gridSpan w:val="2"/>
            <w:vMerge w:val="continue"/>
            <w:shd w:val="clear" w:color="auto" w:fill="DBDBDB"/>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8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200" w:type="dxa"/>
            <w:vAlign w:val="bottom"/>
            <w:tcBorders>
              <w:bottom w:val="single" w:sz="8" w:color="auto"/>
            </w:tcBorders>
            <w:vMerge w:val="continue"/>
            <w:shd w:val="clear" w:color="auto" w:fill="D9D9D9"/>
          </w:tcPr>
          <w:p>
            <w:pPr>
              <w:spacing w:after="0"/>
              <w:rPr>
                <w:sz w:val="6"/>
                <w:szCs w:val="6"/>
                <w:color w:val="auto"/>
              </w:rPr>
            </w:pPr>
          </w:p>
        </w:tc>
        <w:tc>
          <w:tcPr>
            <w:tcW w:w="62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BDBDB"/>
          </w:tcPr>
          <w:p>
            <w:pPr>
              <w:spacing w:after="0"/>
              <w:rPr>
                <w:sz w:val="6"/>
                <w:szCs w:val="6"/>
                <w:color w:val="auto"/>
              </w:rPr>
            </w:pPr>
          </w:p>
        </w:tc>
        <w:tc>
          <w:tcPr>
            <w:tcW w:w="820" w:type="dxa"/>
            <w:vAlign w:val="bottom"/>
            <w:tcBorders>
              <w:bottom w:val="single" w:sz="8" w:color="auto"/>
            </w:tcBorders>
            <w:shd w:val="clear" w:color="auto" w:fill="D9D9D9"/>
          </w:tcPr>
          <w:p>
            <w:pPr>
              <w:spacing w:after="0"/>
              <w:rPr>
                <w:sz w:val="6"/>
                <w:szCs w:val="6"/>
                <w:color w:val="auto"/>
              </w:rPr>
            </w:pPr>
          </w:p>
        </w:tc>
        <w:tc>
          <w:tcPr>
            <w:tcW w:w="760" w:type="dxa"/>
            <w:vAlign w:val="bottom"/>
            <w:tcBorders>
              <w:bottom w:val="single" w:sz="8" w:color="auto"/>
            </w:tcBorders>
            <w:vMerge w:val="continue"/>
            <w:shd w:val="clear" w:color="auto" w:fill="DBDBDB"/>
          </w:tcPr>
          <w:p>
            <w:pPr>
              <w:spacing w:after="0"/>
              <w:rPr>
                <w:sz w:val="6"/>
                <w:szCs w:val="6"/>
                <w:color w:val="auto"/>
              </w:rPr>
            </w:pPr>
          </w:p>
        </w:tc>
        <w:tc>
          <w:tcPr>
            <w:tcW w:w="980" w:type="dxa"/>
            <w:vAlign w:val="bottom"/>
            <w:tcBorders>
              <w:bottom w:val="single" w:sz="8" w:color="auto"/>
            </w:tcBorders>
            <w:gridSpan w:val="2"/>
            <w:vMerge w:val="continue"/>
            <w:shd w:val="clear" w:color="auto" w:fill="DBDBDB"/>
          </w:tcPr>
          <w:p>
            <w:pPr>
              <w:spacing w:after="0"/>
              <w:rPr>
                <w:sz w:val="6"/>
                <w:szCs w:val="6"/>
                <w:color w:val="auto"/>
              </w:rPr>
            </w:pPr>
          </w:p>
        </w:tc>
        <w:tc>
          <w:tcPr>
            <w:tcW w:w="780" w:type="dxa"/>
            <w:vAlign w:val="bottom"/>
            <w:tcBorders>
              <w:bottom w:val="single" w:sz="8" w:color="auto"/>
            </w:tcBorders>
            <w:vMerge w:val="continue"/>
            <w:shd w:val="clear" w:color="auto" w:fill="DBDBDB"/>
          </w:tcPr>
          <w:p>
            <w:pPr>
              <w:spacing w:after="0"/>
              <w:rPr>
                <w:sz w:val="6"/>
                <w:szCs w:val="6"/>
                <w:color w:val="auto"/>
              </w:rPr>
            </w:pPr>
          </w:p>
        </w:tc>
        <w:tc>
          <w:tcPr>
            <w:tcW w:w="880" w:type="dxa"/>
            <w:vAlign w:val="bottom"/>
            <w:tcBorders>
              <w:bottom w:val="single" w:sz="8" w:color="auto"/>
            </w:tcBorders>
            <w:vMerge w:val="continue"/>
            <w:shd w:val="clear" w:color="auto" w:fill="DBDBDB"/>
          </w:tcPr>
          <w:p>
            <w:pPr>
              <w:spacing w:after="0"/>
              <w:rPr>
                <w:sz w:val="6"/>
                <w:szCs w:val="6"/>
                <w:color w:val="auto"/>
              </w:rPr>
            </w:pPr>
          </w:p>
        </w:tc>
        <w:tc>
          <w:tcPr>
            <w:tcW w:w="940" w:type="dxa"/>
            <w:vAlign w:val="bottom"/>
            <w:tcBorders>
              <w:bottom w:val="single" w:sz="8" w:color="auto"/>
            </w:tcBorders>
            <w:gridSpan w:val="2"/>
            <w:vMerge w:val="continue"/>
            <w:shd w:val="clear" w:color="auto" w:fill="DBDBDB"/>
          </w:tcPr>
          <w:p>
            <w:pPr>
              <w:spacing w:after="0"/>
              <w:rPr>
                <w:sz w:val="6"/>
                <w:szCs w:val="6"/>
                <w:color w:val="auto"/>
              </w:rPr>
            </w:pPr>
          </w:p>
        </w:tc>
        <w:tc>
          <w:tcPr>
            <w:tcW w:w="1180" w:type="dxa"/>
            <w:vAlign w:val="bottom"/>
            <w:tcBorders>
              <w:bottom w:val="single" w:sz="8" w:color="auto"/>
            </w:tcBorders>
            <w:gridSpan w:val="2"/>
            <w:vMerge w:val="continue"/>
            <w:shd w:val="clear" w:color="auto" w:fill="DBDBDB"/>
          </w:tcPr>
          <w:p>
            <w:pPr>
              <w:spacing w:after="0"/>
              <w:rPr>
                <w:sz w:val="6"/>
                <w:szCs w:val="6"/>
                <w:color w:val="auto"/>
              </w:rPr>
            </w:pPr>
          </w:p>
        </w:tc>
        <w:tc>
          <w:tcPr>
            <w:tcW w:w="100" w:type="dxa"/>
            <w:vAlign w:val="bottom"/>
            <w:tcBorders>
              <w:bottom w:val="single" w:sz="8" w:color="auto"/>
            </w:tcBorders>
            <w:shd w:val="clear" w:color="auto" w:fill="D9D9D9"/>
          </w:tcPr>
          <w:p>
            <w:pPr>
              <w:spacing w:after="0"/>
              <w:rPr>
                <w:sz w:val="6"/>
                <w:szCs w:val="6"/>
                <w:color w:val="auto"/>
              </w:rPr>
            </w:pPr>
          </w:p>
        </w:tc>
        <w:tc>
          <w:tcPr>
            <w:tcW w:w="880" w:type="dxa"/>
            <w:vAlign w:val="bottom"/>
            <w:tcBorders>
              <w:bottom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80"/>
              <w:spacing w:after="0" w:line="142" w:lineRule="exact"/>
              <w:rPr>
                <w:sz w:val="20"/>
                <w:szCs w:val="20"/>
                <w:color w:val="auto"/>
              </w:rPr>
            </w:pPr>
            <w:r>
              <w:rPr>
                <w:rFonts w:ascii="Arial" w:cs="Arial" w:eastAsia="Arial" w:hAnsi="Arial"/>
                <w:sz w:val="14"/>
                <w:szCs w:val="14"/>
                <w:color w:val="auto"/>
              </w:rPr>
              <w:t>Foreign exchange impact of change in functional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00" w:type="dxa"/>
            <w:vAlign w:val="bottom"/>
            <w:vMerge w:val="restart"/>
          </w:tcPr>
          <w:p>
            <w:pPr>
              <w:ind w:left="80"/>
              <w:spacing w:after="0"/>
              <w:rPr>
                <w:sz w:val="20"/>
                <w:szCs w:val="20"/>
                <w:color w:val="auto"/>
              </w:rPr>
            </w:pPr>
            <w:r>
              <w:rPr>
                <w:rFonts w:ascii="Arial" w:cs="Arial" w:eastAsia="Arial" w:hAnsi="Arial"/>
                <w:sz w:val="14"/>
                <w:szCs w:val="14"/>
                <w:color w:val="auto"/>
              </w:rPr>
              <w:t>currency</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(21,936)</w:t>
            </w:r>
          </w:p>
        </w:tc>
        <w:tc>
          <w:tcPr>
            <w:tcW w:w="9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(1,299)</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(3,272)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(1,731)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13,856</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14,382</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0"/>
        </w:trPr>
        <w:tc>
          <w:tcPr>
            <w:tcW w:w="32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line="145" w:lineRule="exact"/>
              <w:rPr>
                <w:sz w:val="20"/>
                <w:szCs w:val="20"/>
                <w:color w:val="auto"/>
              </w:rPr>
            </w:pPr>
            <w:r>
              <w:rPr>
                <w:rFonts w:ascii="Arial" w:cs="Arial" w:eastAsia="Arial" w:hAnsi="Arial"/>
                <w:sz w:val="14"/>
                <w:szCs w:val="14"/>
                <w:color w:val="auto"/>
              </w:rPr>
              <w:t>At-the-market offering - net of share issuance</w:t>
            </w:r>
          </w:p>
        </w:tc>
        <w:tc>
          <w:tcPr>
            <w:tcW w:w="620" w:type="dxa"/>
            <w:vAlign w:val="bottom"/>
          </w:tcPr>
          <w:p>
            <w:pPr>
              <w:spacing w:after="0"/>
              <w:rPr>
                <w:sz w:val="12"/>
                <w:szCs w:val="12"/>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1,422,423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00" w:type="dxa"/>
            <w:vAlign w:val="bottom"/>
            <w:vMerge w:val="restart"/>
          </w:tcPr>
          <w:p>
            <w:pPr>
              <w:ind w:left="80"/>
              <w:spacing w:after="0"/>
              <w:rPr>
                <w:sz w:val="20"/>
                <w:szCs w:val="20"/>
                <w:color w:val="auto"/>
              </w:rPr>
            </w:pPr>
            <w:r>
              <w:rPr>
                <w:rFonts w:ascii="Arial" w:cs="Arial" w:eastAsia="Arial" w:hAnsi="Arial"/>
                <w:sz w:val="14"/>
                <w:szCs w:val="14"/>
                <w:color w:val="auto"/>
              </w:rPr>
              <w:t>costs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9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10,133</w:t>
            </w:r>
          </w:p>
        </w:tc>
        <w:tc>
          <w:tcPr>
            <w:tcW w:w="100" w:type="dxa"/>
            <w:vAlign w:val="bottom"/>
          </w:tcPr>
          <w:p>
            <w:pPr>
              <w:spacing w:after="0"/>
              <w:rPr>
                <w:sz w:val="9"/>
                <w:szCs w:val="9"/>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10,133</w:t>
            </w:r>
          </w:p>
        </w:tc>
        <w:tc>
          <w:tcPr>
            <w:tcW w:w="0" w:type="dxa"/>
            <w:vAlign w:val="bottom"/>
          </w:tcPr>
          <w:p>
            <w:pPr>
              <w:spacing w:after="0"/>
              <w:rPr>
                <w:sz w:val="1"/>
                <w:szCs w:val="1"/>
                <w:color w:val="auto"/>
              </w:rPr>
            </w:pPr>
          </w:p>
        </w:tc>
      </w:tr>
      <w:tr>
        <w:trPr>
          <w:trHeight w:val="80"/>
        </w:trPr>
        <w:tc>
          <w:tcPr>
            <w:tcW w:w="32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60"/>
              <w:spacing w:after="0"/>
              <w:rPr>
                <w:sz w:val="20"/>
                <w:szCs w:val="20"/>
                <w:color w:val="auto"/>
              </w:rPr>
            </w:pPr>
            <w:r>
              <w:rPr>
                <w:rFonts w:ascii="Arial" w:cs="Arial" w:eastAsia="Arial" w:hAnsi="Arial"/>
                <w:sz w:val="14"/>
                <w:szCs w:val="14"/>
                <w:color w:val="auto"/>
              </w:rPr>
              <w:t>Options forfeited/expired</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200" w:type="dxa"/>
            <w:vAlign w:val="bottom"/>
          </w:tcPr>
          <w:p>
            <w:pPr>
              <w:ind w:left="60"/>
              <w:spacing w:after="0"/>
              <w:rPr>
                <w:sz w:val="20"/>
                <w:szCs w:val="20"/>
                <w:color w:val="auto"/>
              </w:rPr>
            </w:pPr>
            <w:r>
              <w:rPr>
                <w:rFonts w:ascii="Arial" w:cs="Arial" w:eastAsia="Arial" w:hAnsi="Arial"/>
                <w:sz w:val="14"/>
                <w:szCs w:val="14"/>
                <w:color w:val="auto"/>
              </w:rPr>
              <w:t>Share-based compensation</w:t>
            </w:r>
          </w:p>
        </w:tc>
        <w:tc>
          <w:tcPr>
            <w:tcW w:w="6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753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753</w:t>
            </w:r>
          </w:p>
        </w:tc>
        <w:tc>
          <w:tcPr>
            <w:tcW w:w="0" w:type="dxa"/>
            <w:vAlign w:val="bottom"/>
          </w:tcPr>
          <w:p>
            <w:pPr>
              <w:spacing w:after="0"/>
              <w:rPr>
                <w:sz w:val="1"/>
                <w:szCs w:val="1"/>
                <w:color w:val="auto"/>
              </w:rPr>
            </w:pPr>
          </w:p>
        </w:tc>
      </w:tr>
      <w:tr>
        <w:trPr>
          <w:trHeight w:val="150"/>
        </w:trPr>
        <w:tc>
          <w:tcPr>
            <w:tcW w:w="3200" w:type="dxa"/>
            <w:vAlign w:val="bottom"/>
          </w:tcPr>
          <w:p>
            <w:pPr>
              <w:ind w:left="60"/>
              <w:spacing w:after="0" w:line="151" w:lineRule="exact"/>
              <w:rPr>
                <w:sz w:val="20"/>
                <w:szCs w:val="20"/>
                <w:color w:val="auto"/>
              </w:rPr>
            </w:pPr>
            <w:r>
              <w:rPr>
                <w:rFonts w:ascii="Arial" w:cs="Arial" w:eastAsia="Arial" w:hAnsi="Arial"/>
                <w:sz w:val="14"/>
                <w:szCs w:val="14"/>
                <w:color w:val="auto"/>
              </w:rPr>
              <w:t>Unrealized gain on translation of foreign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490</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490</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 loss for the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(24,613)</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(24,613)</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Balance as at June 30, 2025</w:t>
            </w:r>
          </w:p>
        </w:tc>
        <w:tc>
          <w:tcPr>
            <w:tcW w:w="620" w:type="dxa"/>
            <w:vAlign w:val="bottom"/>
            <w:tcBorders>
              <w:bottom w:val="single" w:sz="8" w:color="auto"/>
            </w:tcBorders>
            <w:shd w:val="clear" w:color="auto" w:fill="D9D9D9"/>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highlight w:val="lightGray"/>
              </w:rPr>
              <w:t>23,033,127</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highlight w:val="lightGray"/>
              </w:rPr>
              <w:t>333,146</w:t>
            </w:r>
          </w:p>
        </w:tc>
        <w:tc>
          <w:tcPr>
            <w:tcW w:w="1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19,194</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33,614</w:t>
            </w:r>
          </w:p>
        </w:tc>
        <w:tc>
          <w:tcPr>
            <w:tcW w:w="88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31,024</w:t>
            </w:r>
          </w:p>
        </w:tc>
        <w:tc>
          <w:tcPr>
            <w:tcW w:w="8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(266,150)</w:t>
            </w:r>
          </w:p>
        </w:tc>
        <w:tc>
          <w:tcPr>
            <w:tcW w:w="1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932</w:t>
            </w:r>
          </w:p>
        </w:tc>
        <w:tc>
          <w:tcPr>
            <w:tcW w:w="1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151,760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33"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2"/>
          <w:szCs w:val="22"/>
          <w:b w:val="1"/>
          <w:bCs w:val="1"/>
          <w:color w:val="auto"/>
        </w:rPr>
        <w:t>CYBIN INC.</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CONDENSED INTERIM CONSOLIDATED STATEMENTS OF CASH FLOWS</w:t>
      </w: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32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5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Notes</w:t>
            </w:r>
          </w:p>
        </w:tc>
        <w:tc>
          <w:tcPr>
            <w:tcW w:w="1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9"/>
        </w:trPr>
        <w:tc>
          <w:tcPr>
            <w:tcW w:w="58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OPERATING ACTIVITIES</w:t>
            </w:r>
          </w:p>
        </w:tc>
        <w:tc>
          <w:tcPr>
            <w:tcW w:w="2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Restated - Note 2</w:t>
            </w: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Net loss for the period</w:t>
            </w:r>
          </w:p>
        </w:tc>
        <w:tc>
          <w:tcPr>
            <w:tcW w:w="212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(24,613)</w:t>
            </w:r>
          </w:p>
        </w:tc>
        <w:tc>
          <w:tcPr>
            <w:tcW w:w="1400" w:type="dxa"/>
            <w:vAlign w:val="bottom"/>
          </w:tcPr>
          <w:p>
            <w:pPr>
              <w:jc w:val="right"/>
              <w:spacing w:after="0"/>
              <w:rPr>
                <w:sz w:val="20"/>
                <w:szCs w:val="20"/>
                <w:color w:val="auto"/>
              </w:rPr>
            </w:pPr>
            <w:r>
              <w:rPr>
                <w:rFonts w:ascii="Arial" w:cs="Arial" w:eastAsia="Arial" w:hAnsi="Arial"/>
                <w:sz w:val="16"/>
                <w:szCs w:val="16"/>
                <w:color w:val="auto"/>
              </w:rPr>
              <w:t>(10,834)</w:t>
            </w: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6"/>
                <w:szCs w:val="16"/>
                <w:b w:val="1"/>
                <w:bCs w:val="1"/>
                <w:color w:val="auto"/>
              </w:rPr>
              <w:t>Adjustments for items not affecting cash:</w:t>
            </w:r>
          </w:p>
        </w:tc>
        <w:tc>
          <w:tcPr>
            <w:tcW w:w="2120" w:type="dxa"/>
            <w:vAlign w:val="bottom"/>
            <w:vMerge w:val="restart"/>
          </w:tcPr>
          <w:p>
            <w:pPr>
              <w:jc w:val="center"/>
              <w:ind w:left="699"/>
              <w:spacing w:after="0"/>
              <w:rPr>
                <w:sz w:val="20"/>
                <w:szCs w:val="20"/>
                <w:color w:val="auto"/>
              </w:rPr>
            </w:pPr>
            <w:r>
              <w:rPr>
                <w:rFonts w:ascii="Arial" w:cs="Arial" w:eastAsia="Arial" w:hAnsi="Arial"/>
                <w:sz w:val="16"/>
                <w:szCs w:val="16"/>
                <w:i w:val="1"/>
                <w:iCs w:val="1"/>
                <w:color w:val="auto"/>
                <w:w w:val="97"/>
              </w:rPr>
              <w:t>3, 4</w:t>
            </w: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0" w:type="dxa"/>
            <w:vAlign w:val="bottom"/>
            <w:vMerge w:val="restart"/>
          </w:tcPr>
          <w:p>
            <w:pPr>
              <w:ind w:left="400"/>
              <w:spacing w:after="0"/>
              <w:rPr>
                <w:sz w:val="20"/>
                <w:szCs w:val="20"/>
                <w:color w:val="auto"/>
              </w:rPr>
            </w:pPr>
            <w:r>
              <w:rPr>
                <w:rFonts w:ascii="Arial" w:cs="Arial" w:eastAsia="Arial" w:hAnsi="Arial"/>
                <w:sz w:val="16"/>
                <w:szCs w:val="16"/>
                <w:color w:val="auto"/>
              </w:rPr>
              <w:t>Depreciation and amortization</w:t>
            </w:r>
          </w:p>
        </w:tc>
        <w:tc>
          <w:tcPr>
            <w:tcW w:w="2120" w:type="dxa"/>
            <w:vAlign w:val="bottom"/>
            <w:vMerge w:val="continue"/>
          </w:tcPr>
          <w:p>
            <w:pPr>
              <w:spacing w:after="0"/>
              <w:rPr>
                <w:sz w:val="18"/>
                <w:szCs w:val="18"/>
                <w:color w:val="auto"/>
              </w:rPr>
            </w:pPr>
          </w:p>
        </w:tc>
        <w:tc>
          <w:tcPr>
            <w:tcW w:w="19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38</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120" w:type="dxa"/>
            <w:vAlign w:val="bottom"/>
            <w:vMerge w:val="restart"/>
          </w:tcPr>
          <w:p>
            <w:pPr>
              <w:jc w:val="center"/>
              <w:ind w:left="699"/>
              <w:spacing w:after="0"/>
              <w:rPr>
                <w:sz w:val="20"/>
                <w:szCs w:val="20"/>
                <w:color w:val="auto"/>
              </w:rPr>
            </w:pPr>
            <w:r>
              <w:rPr>
                <w:rFonts w:ascii="Arial" w:cs="Arial" w:eastAsia="Arial" w:hAnsi="Arial"/>
                <w:sz w:val="16"/>
                <w:szCs w:val="16"/>
                <w:i w:val="1"/>
                <w:iCs w:val="1"/>
                <w:color w:val="auto"/>
              </w:rPr>
              <w:t>7</w:t>
            </w:r>
          </w:p>
        </w:tc>
        <w:tc>
          <w:tcPr>
            <w:tcW w:w="1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800" w:type="dxa"/>
            <w:vAlign w:val="bottom"/>
            <w:vMerge w:val="restart"/>
          </w:tcPr>
          <w:p>
            <w:pPr>
              <w:ind w:left="400"/>
              <w:spacing w:after="0"/>
              <w:rPr>
                <w:sz w:val="20"/>
                <w:szCs w:val="20"/>
                <w:color w:val="auto"/>
              </w:rPr>
            </w:pPr>
            <w:r>
              <w:rPr>
                <w:rFonts w:ascii="Arial" w:cs="Arial" w:eastAsia="Arial" w:hAnsi="Arial"/>
                <w:sz w:val="16"/>
                <w:szCs w:val="16"/>
                <w:color w:val="auto"/>
              </w:rPr>
              <w:t>Share-based compensation</w:t>
            </w:r>
          </w:p>
        </w:tc>
        <w:tc>
          <w:tcPr>
            <w:tcW w:w="2120" w:type="dxa"/>
            <w:vAlign w:val="bottom"/>
            <w:vMerge w:val="continue"/>
          </w:tcPr>
          <w:p>
            <w:pPr>
              <w:spacing w:after="0"/>
              <w:rPr>
                <w:sz w:val="18"/>
                <w:szCs w:val="18"/>
                <w:color w:val="auto"/>
              </w:rPr>
            </w:pPr>
          </w:p>
        </w:tc>
        <w:tc>
          <w:tcPr>
            <w:tcW w:w="19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753</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58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520"/>
              <w:spacing w:after="0"/>
              <w:rPr>
                <w:sz w:val="20"/>
                <w:szCs w:val="20"/>
                <w:color w:val="auto"/>
              </w:rPr>
            </w:pPr>
            <w:r>
              <w:rPr>
                <w:rFonts w:ascii="Arial" w:cs="Arial" w:eastAsia="Arial" w:hAnsi="Arial"/>
                <w:sz w:val="16"/>
                <w:szCs w:val="16"/>
                <w:color w:val="auto"/>
              </w:rPr>
              <w:t>Lease interest accretion</w:t>
            </w:r>
          </w:p>
        </w:tc>
        <w:tc>
          <w:tcPr>
            <w:tcW w:w="2120" w:type="dxa"/>
            <w:vAlign w:val="bottom"/>
          </w:tcPr>
          <w:p>
            <w:pPr>
              <w:spacing w:after="0"/>
              <w:rPr>
                <w:sz w:val="18"/>
                <w:szCs w:val="18"/>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5800" w:type="dxa"/>
            <w:vAlign w:val="bottom"/>
          </w:tcPr>
          <w:p>
            <w:pPr>
              <w:ind w:left="520"/>
              <w:spacing w:after="0"/>
              <w:rPr>
                <w:sz w:val="20"/>
                <w:szCs w:val="20"/>
                <w:color w:val="auto"/>
              </w:rPr>
            </w:pPr>
            <w:r>
              <w:rPr>
                <w:rFonts w:ascii="Arial" w:cs="Arial" w:eastAsia="Arial" w:hAnsi="Arial"/>
                <w:sz w:val="16"/>
                <w:szCs w:val="16"/>
                <w:color w:val="auto"/>
              </w:rPr>
              <w:t>Gain on sale of lab equipment</w:t>
            </w:r>
          </w:p>
        </w:tc>
        <w:tc>
          <w:tcPr>
            <w:tcW w:w="2120" w:type="dxa"/>
            <w:vAlign w:val="bottom"/>
          </w:tcPr>
          <w:p>
            <w:pPr>
              <w:jc w:val="center"/>
              <w:ind w:left="699"/>
              <w:spacing w:after="0"/>
              <w:rPr>
                <w:sz w:val="20"/>
                <w:szCs w:val="20"/>
                <w:color w:val="auto"/>
              </w:rPr>
            </w:pPr>
            <w:r>
              <w:rPr>
                <w:rFonts w:ascii="Arial" w:cs="Arial" w:eastAsia="Arial" w:hAnsi="Arial"/>
                <w:sz w:val="16"/>
                <w:szCs w:val="16"/>
                <w:i w:val="1"/>
                <w:iCs w:val="1"/>
                <w:color w:val="auto"/>
              </w:rPr>
              <w:t>3</w:t>
            </w: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(7)</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58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Unrealized foreign currency translation</w:t>
            </w:r>
          </w:p>
        </w:tc>
        <w:tc>
          <w:tcPr>
            <w:tcW w:w="2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(1,944)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216"/>
        </w:trPr>
        <w:tc>
          <w:tcPr>
            <w:tcW w:w="58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Net changes in non-cash working capital items:</w:t>
            </w:r>
          </w:p>
        </w:tc>
        <w:tc>
          <w:tcPr>
            <w:tcW w:w="212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(25,773)</w:t>
            </w:r>
          </w:p>
        </w:tc>
        <w:tc>
          <w:tcPr>
            <w:tcW w:w="1400" w:type="dxa"/>
            <w:vAlign w:val="bottom"/>
          </w:tcPr>
          <w:p>
            <w:pPr>
              <w:jc w:val="right"/>
              <w:spacing w:after="0"/>
              <w:rPr>
                <w:sz w:val="20"/>
                <w:szCs w:val="20"/>
                <w:color w:val="auto"/>
              </w:rPr>
            </w:pPr>
            <w:r>
              <w:rPr>
                <w:rFonts w:ascii="Arial" w:cs="Arial" w:eastAsia="Arial" w:hAnsi="Arial"/>
                <w:sz w:val="16"/>
                <w:szCs w:val="16"/>
                <w:color w:val="auto"/>
              </w:rPr>
              <w:t>(10,277)</w:t>
            </w:r>
          </w:p>
        </w:tc>
        <w:tc>
          <w:tcPr>
            <w:tcW w:w="0" w:type="dxa"/>
            <w:vAlign w:val="bottom"/>
          </w:tcPr>
          <w:p>
            <w:pPr>
              <w:spacing w:after="0"/>
              <w:rPr>
                <w:sz w:val="1"/>
                <w:szCs w:val="1"/>
                <w:color w:val="auto"/>
              </w:rPr>
            </w:pPr>
          </w:p>
        </w:tc>
      </w:tr>
      <w:tr>
        <w:trPr>
          <w:trHeight w:val="215"/>
        </w:trPr>
        <w:tc>
          <w:tcPr>
            <w:tcW w:w="58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2120" w:type="dxa"/>
            <w:vAlign w:val="bottom"/>
          </w:tcPr>
          <w:p>
            <w:pPr>
              <w:spacing w:after="0"/>
              <w:rPr>
                <w:sz w:val="24"/>
                <w:szCs w:val="24"/>
                <w:color w:val="auto"/>
              </w:rPr>
            </w:pPr>
          </w:p>
        </w:tc>
        <w:tc>
          <w:tcPr>
            <w:tcW w:w="19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(11)</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Prepaid expenses</w:t>
            </w:r>
          </w:p>
        </w:tc>
        <w:tc>
          <w:tcPr>
            <w:tcW w:w="2120" w:type="dxa"/>
            <w:vAlign w:val="bottom"/>
          </w:tcPr>
          <w:p>
            <w:pPr>
              <w:spacing w:after="0"/>
              <w:rPr>
                <w:sz w:val="24"/>
                <w:szCs w:val="24"/>
                <w:color w:val="auto"/>
              </w:rPr>
            </w:pPr>
          </w:p>
        </w:tc>
        <w:tc>
          <w:tcPr>
            <w:tcW w:w="19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(3,752)</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(5,798)</w:t>
            </w: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800" w:type="dxa"/>
            <w:vAlign w:val="bottom"/>
          </w:tcPr>
          <w:p>
            <w:pPr>
              <w:ind w:left="400"/>
              <w:spacing w:after="0"/>
              <w:rPr>
                <w:sz w:val="20"/>
                <w:szCs w:val="20"/>
                <w:color w:val="auto"/>
              </w:rPr>
            </w:pPr>
            <w:r>
              <w:rPr>
                <w:rFonts w:ascii="Arial" w:cs="Arial" w:eastAsia="Arial" w:hAnsi="Arial"/>
                <w:sz w:val="16"/>
                <w:szCs w:val="16"/>
                <w:color w:val="auto"/>
              </w:rPr>
              <w:t>Other current assets</w:t>
            </w:r>
          </w:p>
        </w:tc>
        <w:tc>
          <w:tcPr>
            <w:tcW w:w="2120" w:type="dxa"/>
            <w:vAlign w:val="bottom"/>
          </w:tcPr>
          <w:p>
            <w:pPr>
              <w:spacing w:after="0"/>
              <w:rPr>
                <w:sz w:val="24"/>
                <w:szCs w:val="24"/>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335</w:t>
            </w:r>
          </w:p>
        </w:tc>
        <w:tc>
          <w:tcPr>
            <w:tcW w:w="14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120" w:type="dxa"/>
            <w:vAlign w:val="bottom"/>
          </w:tcPr>
          <w:p>
            <w:pPr>
              <w:spacing w:after="0"/>
              <w:rPr>
                <w:sz w:val="24"/>
                <w:szCs w:val="24"/>
                <w:color w:val="auto"/>
              </w:rPr>
            </w:pPr>
          </w:p>
        </w:tc>
        <w:tc>
          <w:tcPr>
            <w:tcW w:w="19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(347)</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56"/>
        </w:trPr>
        <w:tc>
          <w:tcPr>
            <w:tcW w:w="58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vMerge w:val="continue"/>
          </w:tcPr>
          <w:p>
            <w:pPr>
              <w:spacing w:after="0"/>
              <w:rPr>
                <w:sz w:val="4"/>
                <w:szCs w:val="4"/>
                <w:color w:val="auto"/>
              </w:rPr>
            </w:pPr>
          </w:p>
        </w:tc>
        <w:tc>
          <w:tcPr>
            <w:tcW w:w="14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operating activities</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(29,548)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(19,888)</w:t>
            </w:r>
          </w:p>
        </w:tc>
        <w:tc>
          <w:tcPr>
            <w:tcW w:w="0" w:type="dxa"/>
            <w:vAlign w:val="bottom"/>
          </w:tcPr>
          <w:p>
            <w:pPr>
              <w:spacing w:after="0"/>
              <w:rPr>
                <w:sz w:val="1"/>
                <w:szCs w:val="1"/>
                <w:color w:val="auto"/>
              </w:rPr>
            </w:pPr>
          </w:p>
        </w:tc>
      </w:tr>
      <w:tr>
        <w:trPr>
          <w:trHeight w:val="290"/>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INVESTING ACTIVITIES</w:t>
            </w:r>
          </w:p>
        </w:tc>
        <w:tc>
          <w:tcPr>
            <w:tcW w:w="2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Purchase of equipment and intangible assets</w:t>
            </w:r>
          </w:p>
        </w:tc>
        <w:tc>
          <w:tcPr>
            <w:tcW w:w="2120" w:type="dxa"/>
            <w:vAlign w:val="bottom"/>
          </w:tcPr>
          <w:p>
            <w:pPr>
              <w:jc w:val="center"/>
              <w:ind w:left="699"/>
              <w:spacing w:after="0"/>
              <w:rPr>
                <w:sz w:val="20"/>
                <w:szCs w:val="20"/>
                <w:color w:val="auto"/>
              </w:rPr>
            </w:pPr>
            <w:r>
              <w:rPr>
                <w:rFonts w:ascii="Arial" w:cs="Arial" w:eastAsia="Arial" w:hAnsi="Arial"/>
                <w:sz w:val="16"/>
                <w:szCs w:val="16"/>
                <w:i w:val="1"/>
                <w:iCs w:val="1"/>
                <w:color w:val="auto"/>
                <w:w w:val="97"/>
              </w:rPr>
              <w:t>3, 4</w:t>
            </w: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(231)</w:t>
            </w:r>
          </w:p>
        </w:tc>
        <w:tc>
          <w:tcPr>
            <w:tcW w:w="140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Proceeds received from sale of lab equipment</w:t>
            </w:r>
          </w:p>
        </w:tc>
        <w:tc>
          <w:tcPr>
            <w:tcW w:w="21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i w:val="1"/>
                <w:iCs w:val="1"/>
                <w:color w:val="auto"/>
              </w:rPr>
              <w:t>3</w:t>
            </w:r>
          </w:p>
        </w:tc>
        <w:tc>
          <w:tcPr>
            <w:tcW w:w="1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investing activities</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90"/>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FINANCING ACTIVITIES</w:t>
            </w:r>
          </w:p>
        </w:tc>
        <w:tc>
          <w:tcPr>
            <w:tcW w:w="2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received on issuance of Convertible Debentures</w:t>
            </w:r>
          </w:p>
        </w:tc>
        <w:tc>
          <w:tcPr>
            <w:tcW w:w="2120" w:type="dxa"/>
            <w:vAlign w:val="bottom"/>
          </w:tcPr>
          <w:p>
            <w:pPr>
              <w:jc w:val="center"/>
              <w:ind w:left="699"/>
              <w:spacing w:after="0"/>
              <w:rPr>
                <w:sz w:val="20"/>
                <w:szCs w:val="20"/>
                <w:color w:val="auto"/>
              </w:rPr>
            </w:pPr>
            <w:r>
              <w:rPr>
                <w:rFonts w:ascii="Arial" w:cs="Arial" w:eastAsia="Arial" w:hAnsi="Arial"/>
                <w:sz w:val="16"/>
                <w:szCs w:val="16"/>
                <w:i w:val="1"/>
                <w:iCs w:val="1"/>
                <w:color w:val="auto"/>
              </w:rPr>
              <w:t>6</w:t>
            </w: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44,500</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on issuance of common shares, net</w:t>
            </w:r>
          </w:p>
        </w:tc>
        <w:tc>
          <w:tcPr>
            <w:tcW w:w="2120" w:type="dxa"/>
            <w:vAlign w:val="bottom"/>
          </w:tcPr>
          <w:p>
            <w:pPr>
              <w:jc w:val="center"/>
              <w:ind w:left="699"/>
              <w:spacing w:after="0"/>
              <w:rPr>
                <w:sz w:val="20"/>
                <w:szCs w:val="20"/>
                <w:color w:val="auto"/>
              </w:rPr>
            </w:pPr>
            <w:r>
              <w:rPr>
                <w:rFonts w:ascii="Arial" w:cs="Arial" w:eastAsia="Arial" w:hAnsi="Arial"/>
                <w:sz w:val="16"/>
                <w:szCs w:val="16"/>
                <w:i w:val="1"/>
                <w:iCs w:val="1"/>
                <w:color w:val="auto"/>
              </w:rPr>
              <w:t>7</w:t>
            </w: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10,133</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Share issuance costs</w:t>
            </w:r>
          </w:p>
        </w:tc>
        <w:tc>
          <w:tcPr>
            <w:tcW w:w="2120" w:type="dxa"/>
            <w:vAlign w:val="bottom"/>
          </w:tcPr>
          <w:p>
            <w:pPr>
              <w:spacing w:after="0"/>
              <w:rPr>
                <w:sz w:val="18"/>
                <w:szCs w:val="18"/>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Lease payments</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provided by (used in) financing activities</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54,633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Effects of exchange rate changes on cash</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(94)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546"/>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Net increase (decrease) in cash</w:t>
            </w:r>
          </w:p>
        </w:tc>
        <w:tc>
          <w:tcPr>
            <w:tcW w:w="2120" w:type="dxa"/>
            <w:vAlign w:val="bottom"/>
          </w:tcPr>
          <w:p>
            <w:pPr>
              <w:spacing w:after="0"/>
              <w:rPr>
                <w:sz w:val="24"/>
                <w:szCs w:val="24"/>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24,770</w:t>
            </w:r>
          </w:p>
        </w:tc>
        <w:tc>
          <w:tcPr>
            <w:tcW w:w="1400" w:type="dxa"/>
            <w:vAlign w:val="bottom"/>
          </w:tcPr>
          <w:p>
            <w:pPr>
              <w:jc w:val="right"/>
              <w:spacing w:after="0"/>
              <w:rPr>
                <w:sz w:val="20"/>
                <w:szCs w:val="20"/>
                <w:color w:val="auto"/>
              </w:rPr>
            </w:pPr>
            <w:r>
              <w:rPr>
                <w:rFonts w:ascii="Arial" w:cs="Arial" w:eastAsia="Arial" w:hAnsi="Arial"/>
                <w:sz w:val="16"/>
                <w:szCs w:val="16"/>
                <w:color w:val="auto"/>
              </w:rPr>
              <w:t>(20,334)</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beginning of period</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93,922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154,238</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end of period</w:t>
            </w:r>
          </w:p>
        </w:tc>
        <w:tc>
          <w:tcPr>
            <w:tcW w:w="2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118,692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133,904</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33"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CYBIN INC.</w:t>
      </w:r>
    </w:p>
    <w:p>
      <w:pPr>
        <w:ind w:left="20" w:right="2740"/>
        <w:spacing w:after="0" w:line="206"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ind w:left="20"/>
        <w:spacing w:after="0" w:line="211"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w:t>
      </w:r>
    </w:p>
    <w:p>
      <w:pPr>
        <w:ind w:left="20"/>
        <w:spacing w:after="0" w:line="198" w:lineRule="auto"/>
        <w:rPr>
          <w:sz w:val="20"/>
          <w:szCs w:val="20"/>
          <w:color w:val="auto"/>
        </w:rPr>
      </w:pPr>
      <w:r>
        <w:rPr>
          <w:rFonts w:ascii="Arial" w:cs="Arial" w:eastAsia="Arial" w:hAnsi="Arial"/>
          <w:sz w:val="20"/>
          <w:szCs w:val="20"/>
          <w:b w:val="1"/>
          <w:bCs w:val="1"/>
          <w:color w:val="auto"/>
        </w:rPr>
        <w:t>indicated as being in CAD, Euros or Great Britain Pounds which are in thousands.)</w:t>
      </w:r>
    </w:p>
    <w:p>
      <w:pPr>
        <w:ind w:left="20"/>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2D5F91"/>
        </w:rPr>
      </w:pPr>
      <w:r>
        <w:rPr>
          <w:rFonts w:ascii="Arial" w:cs="Arial" w:eastAsia="Arial" w:hAnsi="Arial"/>
          <w:sz w:val="18"/>
          <w:szCs w:val="18"/>
          <w:b w:val="1"/>
          <w:bCs w:val="1"/>
          <w:color w:val="2D5F91"/>
        </w:rPr>
        <w:t>CORPORATE INFORMATION</w:t>
      </w:r>
    </w:p>
    <w:p>
      <w:pPr>
        <w:spacing w:after="0" w:line="198"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Cybin Inc. (“Cybin”), was incorporated under the Business Corporations Act (British Columbia) on October 13, 2016. These consolidated financial statements include the accounts of Cybin’s seven subsidiaries (together with Cybin, the “Company”): Cybin Corp., Natures Journey Inc. (“Journey”), Serenity Life Sciences Inc. (“Serenity”), Cybin US Holdings Inc. (“Cybin US”), Adelia Therapeutics Inc. (“Adelia”) Cybin IRL Limited (“Cybin IRL”) and Cybin UK Ltd. Cybin’s head office, principal address and registered address and records office is 100 King Street West, Suite 5600, Toronto, Ontario M5X 1C9. The Company acquired Small Pharma Inc. and its subsidiary Small Pharma Ltd. on October 23, 2023. On April 1, 2024, Small Pharma Inc. was amalgamated with Cybin Corp. and continued as Cybin Corp. Effective on December 16, 2023, Small Pharma Ltd.'s name was changed to Cybin UK Ltd.</w:t>
      </w:r>
    </w:p>
    <w:p>
      <w:pPr>
        <w:spacing w:after="0" w:line="131"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Effective June 4, 2025, the Company completed the formal dissolution of the wholly-owned subsidiaries Journey and Serenity. These entities were non-operational prior to their dissolution and had no material impact on the Company’s condensed interim consolidated financial statements.</w:t>
      </w:r>
    </w:p>
    <w:p>
      <w:pPr>
        <w:spacing w:after="0" w:line="135" w:lineRule="exact"/>
        <w:rPr>
          <w:sz w:val="20"/>
          <w:szCs w:val="20"/>
          <w:color w:val="auto"/>
        </w:rPr>
      </w:pPr>
    </w:p>
    <w:p>
      <w:pPr>
        <w:jc w:val="both"/>
        <w:ind w:left="340"/>
        <w:spacing w:after="0" w:line="304" w:lineRule="auto"/>
        <w:rPr>
          <w:sz w:val="20"/>
          <w:szCs w:val="20"/>
          <w:color w:val="auto"/>
        </w:rPr>
      </w:pPr>
      <w:r>
        <w:rPr>
          <w:rFonts w:ascii="Arial" w:cs="Arial" w:eastAsia="Arial" w:hAnsi="Arial"/>
          <w:sz w:val="18"/>
          <w:szCs w:val="18"/>
          <w:color w:val="auto"/>
        </w:rPr>
        <w:t>The Company is a clinical-stage neuropsychiatric company focused on advancing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39"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These condensed interim consolidated financial statements as at, and for the three months ended June 30, 2025 were approved and authorized for issue by the board of directors on August 13, 2025.</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Stock exchange listings</w:t>
      </w:r>
    </w:p>
    <w:p>
      <w:pPr>
        <w:spacing w:after="0" w:line="223"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Cybin’s common shares (the “Common Shares”) are listed for trading on Cboe Canada Inc. (“Cboe Canada") and NYSE American LLC under the symbol “CYBN” and on the Frankfurt Stock Exchange under the symbol “R7E1”.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Share consolidation</w:t>
      </w:r>
    </w:p>
    <w:p>
      <w:pPr>
        <w:spacing w:after="0" w:line="183"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On September 19, 2024, the Company consolidated its outstanding Common Shares on the basis of one new Common Share for every 38 previously existing Common Shares (the "Consolidation"). As a result, the number of Common Shares, warrants, options and earnings per share presented in these consolidated financial statements have been restated retrospectively for all the years to reflect the Consolidation.</w:t>
      </w:r>
    </w:p>
    <w:p>
      <w:pPr>
        <w:spacing w:after="0" w:line="11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2D5F91"/>
        </w:rPr>
      </w:pPr>
      <w:r>
        <w:rPr>
          <w:rFonts w:ascii="Arial" w:cs="Arial" w:eastAsia="Arial" w:hAnsi="Arial"/>
          <w:sz w:val="18"/>
          <w:szCs w:val="18"/>
          <w:b w:val="1"/>
          <w:bCs w:val="1"/>
          <w:color w:val="2D5F91"/>
        </w:rPr>
        <w:t>MATERIAL ACCOUNTING POLICY INFORMATION AND BASIS OF PREPARATION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Statement of compliance</w:t>
      </w:r>
    </w:p>
    <w:p>
      <w:pPr>
        <w:spacing w:after="0" w:line="264" w:lineRule="exact"/>
        <w:rPr>
          <w:sz w:val="20"/>
          <w:szCs w:val="20"/>
          <w:color w:val="auto"/>
        </w:rPr>
      </w:pPr>
    </w:p>
    <w:p>
      <w:pPr>
        <w:jc w:val="both"/>
        <w:ind w:left="340"/>
        <w:spacing w:after="0" w:line="276" w:lineRule="auto"/>
        <w:rPr>
          <w:sz w:val="20"/>
          <w:szCs w:val="20"/>
          <w:color w:val="auto"/>
        </w:rPr>
      </w:pPr>
      <w:r>
        <w:rPr>
          <w:rFonts w:ascii="Arial" w:cs="Arial" w:eastAsia="Arial" w:hAnsi="Arial"/>
          <w:sz w:val="18"/>
          <w:szCs w:val="18"/>
          <w:color w:val="auto"/>
        </w:rPr>
        <w:t>These condensed interim consolidated financial statements for the three months ended June 30, 2025, have been prepared in accordance with International Accounting Standard 34 “Interim Financial Reporting”. Accordingly, certain information and footnote disclosure normally included in annual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7 of 23</w:t>
      </w:r>
    </w:p>
    <w:p>
      <w:pPr>
        <w:sectPr>
          <w:pgSz w:w="11900" w:h="16838" w:orient="portrait"/>
          <w:cols w:equalWidth="0" w:num="1">
            <w:col w:w="11240"/>
          </w:cols>
          <w:pgMar w:left="320" w:top="13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prepared in accordance with International Financial Reporting Standards (“IFRS”) have been omitted or condensed.</w:t>
      </w:r>
    </w:p>
    <w:p>
      <w:pPr>
        <w:spacing w:after="0" w:line="266"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2025.</w:t>
      </w:r>
    </w:p>
    <w:p>
      <w:pPr>
        <w:spacing w:after="0" w:line="190"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These condensed interim consolidated financial statements should be read in conjunction with the consolidated financial statements for the year ended March 31, 2025.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Basis of measurement</w:t>
      </w:r>
    </w:p>
    <w:p>
      <w:pPr>
        <w:spacing w:after="0" w:line="277"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These consolidated financial statements have been prepared on a going concern basis, under the historical cost convention, except for certain financial instruments classified at fair value upon initial recognition.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Functional and presentation currency</w:t>
      </w:r>
    </w:p>
    <w:p>
      <w:pPr>
        <w:spacing w:after="0" w:line="210"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These consolidated financial statements are presented in United States dollars ("$", "U.S. Dollars" or "USD"), the Company’s new presentation currency. The subsidiaries’ functional currencies as of April 1, 2025 are as follows: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38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Currency</w:t>
            </w:r>
          </w:p>
        </w:tc>
        <w:tc>
          <w:tcPr>
            <w:tcW w:w="4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215"/>
        </w:trPr>
        <w:tc>
          <w:tcPr>
            <w:tcW w:w="2580" w:type="dxa"/>
            <w:vAlign w:val="bottom"/>
          </w:tcPr>
          <w:p>
            <w:pPr>
              <w:ind w:left="20"/>
              <w:spacing w:after="0"/>
              <w:rPr>
                <w:sz w:val="20"/>
                <w:szCs w:val="20"/>
                <w:color w:val="auto"/>
              </w:rPr>
            </w:pPr>
            <w:r>
              <w:rPr>
                <w:rFonts w:ascii="Arial" w:cs="Arial" w:eastAsia="Arial" w:hAnsi="Arial"/>
                <w:sz w:val="18"/>
                <w:szCs w:val="18"/>
                <w:color w:val="auto"/>
              </w:rPr>
              <w:t>Cybin Corp.</w:t>
            </w:r>
          </w:p>
        </w:tc>
        <w:tc>
          <w:tcPr>
            <w:tcW w:w="3820" w:type="dxa"/>
            <w:vAlign w:val="bottom"/>
          </w:tcPr>
          <w:p>
            <w:pPr>
              <w:ind w:left="14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2"/>
        </w:trPr>
        <w:tc>
          <w:tcPr>
            <w:tcW w:w="2580" w:type="dxa"/>
            <w:vAlign w:val="bottom"/>
          </w:tcPr>
          <w:p>
            <w:pPr>
              <w:ind w:left="20"/>
              <w:spacing w:after="0" w:line="232" w:lineRule="exact"/>
              <w:rPr>
                <w:sz w:val="20"/>
                <w:szCs w:val="20"/>
                <w:color w:val="auto"/>
              </w:rPr>
            </w:pPr>
            <w:r>
              <w:rPr>
                <w:rFonts w:ascii="Arial" w:cs="Arial" w:eastAsia="Arial" w:hAnsi="Arial"/>
                <w:sz w:val="18"/>
                <w:szCs w:val="18"/>
                <w:color w:val="auto"/>
              </w:rPr>
              <w:t>Journey</w:t>
            </w:r>
            <w:r>
              <w:rPr>
                <w:rFonts w:ascii="Arial" w:cs="Arial" w:eastAsia="Arial" w:hAnsi="Arial"/>
                <w:sz w:val="23"/>
                <w:szCs w:val="23"/>
                <w:color w:val="auto"/>
                <w:vertAlign w:val="superscript"/>
              </w:rPr>
              <w:t>1</w:t>
            </w:r>
          </w:p>
        </w:tc>
        <w:tc>
          <w:tcPr>
            <w:tcW w:w="3820" w:type="dxa"/>
            <w:vAlign w:val="bottom"/>
          </w:tcPr>
          <w:p>
            <w:pPr>
              <w:ind w:left="146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9"/>
        </w:trPr>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Serenity</w:t>
            </w:r>
            <w:r>
              <w:rPr>
                <w:rFonts w:ascii="Arial" w:cs="Arial" w:eastAsia="Arial" w:hAnsi="Arial"/>
                <w:sz w:val="23"/>
                <w:szCs w:val="23"/>
                <w:color w:val="auto"/>
                <w:vertAlign w:val="superscript"/>
              </w:rPr>
              <w:t>1</w:t>
            </w:r>
          </w:p>
        </w:tc>
        <w:tc>
          <w:tcPr>
            <w:tcW w:w="3820" w:type="dxa"/>
            <w:vAlign w:val="bottom"/>
            <w:vMerge w:val="restart"/>
          </w:tcPr>
          <w:p>
            <w:pPr>
              <w:ind w:left="146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0"/>
        </w:trPr>
        <w:tc>
          <w:tcPr>
            <w:tcW w:w="2580" w:type="dxa"/>
            <w:vAlign w:val="bottom"/>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580" w:type="dxa"/>
            <w:vAlign w:val="bottom"/>
          </w:tcPr>
          <w:p>
            <w:pPr>
              <w:ind w:left="20"/>
              <w:spacing w:after="0"/>
              <w:rPr>
                <w:sz w:val="20"/>
                <w:szCs w:val="20"/>
                <w:color w:val="auto"/>
              </w:rPr>
            </w:pPr>
            <w:r>
              <w:rPr>
                <w:rFonts w:ascii="Arial" w:cs="Arial" w:eastAsia="Arial" w:hAnsi="Arial"/>
                <w:sz w:val="18"/>
                <w:szCs w:val="18"/>
                <w:color w:val="auto"/>
              </w:rPr>
              <w:t>Cybin US</w:t>
            </w:r>
            <w:r>
              <w:rPr>
                <w:rFonts w:ascii="Arial" w:cs="Arial" w:eastAsia="Arial" w:hAnsi="Arial"/>
                <w:sz w:val="23"/>
                <w:szCs w:val="23"/>
                <w:color w:val="auto"/>
                <w:vertAlign w:val="superscript"/>
              </w:rPr>
              <w:t>2</w:t>
            </w:r>
          </w:p>
        </w:tc>
        <w:tc>
          <w:tcPr>
            <w:tcW w:w="3820" w:type="dxa"/>
            <w:vAlign w:val="bottom"/>
          </w:tcPr>
          <w:p>
            <w:pPr>
              <w:ind w:left="14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Adelia</w:t>
            </w:r>
          </w:p>
        </w:tc>
        <w:tc>
          <w:tcPr>
            <w:tcW w:w="3820" w:type="dxa"/>
            <w:vAlign w:val="bottom"/>
          </w:tcPr>
          <w:p>
            <w:pPr>
              <w:ind w:left="14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Cybin IRL</w:t>
            </w:r>
          </w:p>
        </w:tc>
        <w:tc>
          <w:tcPr>
            <w:tcW w:w="3820" w:type="dxa"/>
            <w:vAlign w:val="bottom"/>
          </w:tcPr>
          <w:p>
            <w:pPr>
              <w:ind w:left="14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6"/>
        </w:trPr>
        <w:tc>
          <w:tcPr>
            <w:tcW w:w="2580" w:type="dxa"/>
            <w:vAlign w:val="bottom"/>
          </w:tcPr>
          <w:p>
            <w:pPr>
              <w:ind w:left="20"/>
              <w:spacing w:after="0"/>
              <w:rPr>
                <w:sz w:val="20"/>
                <w:szCs w:val="20"/>
                <w:color w:val="auto"/>
              </w:rPr>
            </w:pPr>
            <w:r>
              <w:rPr>
                <w:rFonts w:ascii="Arial" w:cs="Arial" w:eastAsia="Arial" w:hAnsi="Arial"/>
                <w:sz w:val="18"/>
                <w:szCs w:val="18"/>
                <w:color w:val="auto"/>
              </w:rPr>
              <w:t>Cybin UK Ltd</w:t>
            </w:r>
            <w:r>
              <w:rPr>
                <w:rFonts w:ascii="Arial" w:cs="Arial" w:eastAsia="Arial" w:hAnsi="Arial"/>
                <w:sz w:val="23"/>
                <w:szCs w:val="23"/>
                <w:color w:val="auto"/>
                <w:vertAlign w:val="superscript"/>
              </w:rPr>
              <w:t>.</w:t>
            </w:r>
          </w:p>
        </w:tc>
        <w:tc>
          <w:tcPr>
            <w:tcW w:w="3820" w:type="dxa"/>
            <w:vAlign w:val="bottom"/>
          </w:tcPr>
          <w:p>
            <w:pPr>
              <w:ind w:left="1460"/>
              <w:spacing w:after="0"/>
              <w:rPr>
                <w:sz w:val="20"/>
                <w:szCs w:val="20"/>
                <w:color w:val="auto"/>
              </w:rPr>
            </w:pPr>
            <w:r>
              <w:rPr>
                <w:rFonts w:ascii="Arial" w:cs="Arial" w:eastAsia="Arial" w:hAnsi="Arial"/>
                <w:sz w:val="18"/>
                <w:szCs w:val="18"/>
                <w:color w:val="auto"/>
              </w:rPr>
              <w:t>Great Britain pounds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88"/>
        <w:spacing w:after="0"/>
        <w:tabs>
          <w:tab w:leader="none" w:pos="340"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Effective June 4, 2025, the Company completed the formal dissolution of this wholly-owned subsidiary</w:t>
      </w:r>
    </w:p>
    <w:p>
      <w:pPr>
        <w:spacing w:after="0" w:line="26" w:lineRule="exact"/>
        <w:rPr>
          <w:rFonts w:ascii="Arial" w:cs="Arial" w:eastAsia="Arial" w:hAnsi="Arial"/>
          <w:sz w:val="9"/>
          <w:szCs w:val="9"/>
          <w:i w:val="1"/>
          <w:iCs w:val="1"/>
          <w:color w:val="auto"/>
        </w:rPr>
      </w:pPr>
    </w:p>
    <w:p>
      <w:pPr>
        <w:ind w:left="260"/>
        <w:spacing w:after="0"/>
        <w:rPr>
          <w:rFonts w:ascii="Arial" w:cs="Arial" w:eastAsia="Arial" w:hAnsi="Arial"/>
          <w:sz w:val="9"/>
          <w:szCs w:val="9"/>
          <w:i w:val="1"/>
          <w:iCs w:val="1"/>
          <w:color w:val="auto"/>
        </w:rPr>
      </w:pPr>
      <w:r>
        <w:rPr>
          <w:rFonts w:ascii="Arial" w:cs="Arial" w:eastAsia="Arial" w:hAnsi="Arial"/>
          <w:sz w:val="9"/>
          <w:szCs w:val="9"/>
          <w:i w:val="1"/>
          <w:iCs w:val="1"/>
          <w:color w:val="auto"/>
        </w:rPr>
        <w:t xml:space="preserve">2 </w:t>
      </w:r>
      <w:r>
        <w:rPr>
          <w:rFonts w:ascii="Arial" w:cs="Arial" w:eastAsia="Arial" w:hAnsi="Arial"/>
          <w:sz w:val="14"/>
          <w:szCs w:val="14"/>
          <w:i w:val="1"/>
          <w:iCs w:val="1"/>
          <w:color w:val="auto"/>
        </w:rPr>
        <w:t>For accounting purposes, Cybin US is a wholly-owned subsidiary of Cybin.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presentation currency</w:t>
      </w:r>
    </w:p>
    <w:p>
      <w:pPr>
        <w:spacing w:after="0" w:line="183" w:lineRule="exact"/>
        <w:rPr>
          <w:sz w:val="20"/>
          <w:szCs w:val="20"/>
          <w:color w:val="auto"/>
        </w:rPr>
      </w:pPr>
    </w:p>
    <w:p>
      <w:pPr>
        <w:jc w:val="both"/>
        <w:ind w:left="260"/>
        <w:spacing w:after="0" w:line="283" w:lineRule="auto"/>
        <w:rPr>
          <w:sz w:val="20"/>
          <w:szCs w:val="20"/>
          <w:color w:val="auto"/>
        </w:rPr>
      </w:pPr>
      <w:r>
        <w:rPr>
          <w:rFonts w:ascii="Arial" w:cs="Arial" w:eastAsia="Arial" w:hAnsi="Arial"/>
          <w:sz w:val="18"/>
          <w:szCs w:val="18"/>
          <w:color w:val="auto"/>
        </w:rPr>
        <w:t>Effective April 1, 2025, the Company changed its presentation currency from CAD to USD to better reflect the Company's operations, align with the currency in which the majority of cash based expenses are denominated, and improve comparability of its financial results with other publicly traded businesses in the industry. In accordance with IAS 21.39, prior-period comparative financial statement amounts have been translated as follows:</w:t>
      </w:r>
    </w:p>
    <w:p>
      <w:pPr>
        <w:spacing w:after="0" w:line="144" w:lineRule="exact"/>
        <w:rPr>
          <w:sz w:val="20"/>
          <w:szCs w:val="20"/>
          <w:color w:val="auto"/>
        </w:rPr>
      </w:pPr>
    </w:p>
    <w:p>
      <w:pPr>
        <w:ind w:left="860" w:hanging="28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Assets and liabilities at comparative balance sheet dates were translated at the closing rate on those dates.</w:t>
      </w:r>
    </w:p>
    <w:p>
      <w:pPr>
        <w:spacing w:after="0" w:line="31" w:lineRule="exact"/>
        <w:rPr>
          <w:rFonts w:ascii="Arial" w:cs="Arial" w:eastAsia="Arial" w:hAnsi="Arial"/>
          <w:sz w:val="18"/>
          <w:szCs w:val="18"/>
          <w:color w:val="auto"/>
        </w:rPr>
      </w:pPr>
    </w:p>
    <w:p>
      <w:pPr>
        <w:ind w:left="900" w:hanging="324"/>
        <w:spacing w:after="0" w:line="213" w:lineRule="auto"/>
        <w:tabs>
          <w:tab w:leader="none" w:pos="90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Income and expense items for prior periods were translated using the average rate for the respective periods.</w:t>
      </w:r>
    </w:p>
    <w:p>
      <w:pPr>
        <w:ind w:left="900" w:hanging="324"/>
        <w:spacing w:after="0" w:line="209" w:lineRule="auto"/>
        <w:tabs>
          <w:tab w:leader="none" w:pos="90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Equity transactions were translated at the historical rates on the dates they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8 of 23</w:t>
      </w:r>
    </w:p>
    <w:p>
      <w:pPr>
        <w:sectPr>
          <w:pgSz w:w="11900" w:h="16838" w:orient="portrait"/>
          <w:cols w:equalWidth="0" w:num="1">
            <w:col w:w="11160"/>
          </w:cols>
          <w:pgMar w:left="400" w:top="233"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right="180"/>
        <w:spacing w:after="0" w:line="318" w:lineRule="auto"/>
        <w:rPr>
          <w:sz w:val="20"/>
          <w:szCs w:val="20"/>
          <w:color w:val="auto"/>
        </w:rPr>
      </w:pPr>
      <w:r>
        <w:rPr>
          <w:rFonts w:ascii="Arial" w:cs="Arial" w:eastAsia="Arial" w:hAnsi="Arial"/>
          <w:sz w:val="18"/>
          <w:szCs w:val="18"/>
          <w:color w:val="auto"/>
        </w:rPr>
        <w:t>These adjustments are for presentation purposes only and did not result in a restatement of previously issued Canadian dollar financial statements.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functional currency</w:t>
      </w:r>
    </w:p>
    <w:p>
      <w:pPr>
        <w:spacing w:after="0" w:line="183" w:lineRule="exact"/>
        <w:rPr>
          <w:sz w:val="20"/>
          <w:szCs w:val="20"/>
          <w:color w:val="auto"/>
        </w:rPr>
      </w:pPr>
    </w:p>
    <w:p>
      <w:pPr>
        <w:jc w:val="both"/>
        <w:ind w:left="260"/>
        <w:spacing w:after="0" w:line="303" w:lineRule="auto"/>
        <w:rPr>
          <w:sz w:val="20"/>
          <w:szCs w:val="20"/>
          <w:color w:val="auto"/>
        </w:rPr>
      </w:pPr>
      <w:r>
        <w:rPr>
          <w:rFonts w:ascii="Arial" w:cs="Arial" w:eastAsia="Arial" w:hAnsi="Arial"/>
          <w:sz w:val="18"/>
          <w:szCs w:val="18"/>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25" w:lineRule="exact"/>
        <w:rPr>
          <w:sz w:val="20"/>
          <w:szCs w:val="20"/>
          <w:color w:val="auto"/>
        </w:rPr>
      </w:pPr>
    </w:p>
    <w:p>
      <w:pPr>
        <w:jc w:val="both"/>
        <w:ind w:left="260"/>
        <w:spacing w:after="0" w:line="284" w:lineRule="auto"/>
        <w:rPr>
          <w:sz w:val="20"/>
          <w:szCs w:val="20"/>
          <w:color w:val="auto"/>
        </w:rPr>
      </w:pPr>
      <w:r>
        <w:rPr>
          <w:rFonts w:ascii="Arial" w:cs="Arial" w:eastAsia="Arial" w:hAnsi="Arial"/>
          <w:sz w:val="18"/>
          <w:szCs w:val="18"/>
          <w:color w:val="auto"/>
        </w:rPr>
        <w:t>Effective April 1, 2025, the Company changed the functional currency of Cybin Inc., Cybin Corp., and Cybin US (the "</w:t>
      </w:r>
      <w:r>
        <w:rPr>
          <w:rFonts w:ascii="Arial" w:cs="Arial" w:eastAsia="Arial" w:hAnsi="Arial"/>
          <w:sz w:val="18"/>
          <w:szCs w:val="18"/>
          <w:b w:val="1"/>
          <w:bCs w:val="1"/>
          <w:color w:val="auto"/>
        </w:rPr>
        <w:t>Affected Entities</w:t>
      </w:r>
      <w:r>
        <w:rPr>
          <w:rFonts w:ascii="Arial" w:cs="Arial" w:eastAsia="Arial" w:hAnsi="Arial"/>
          <w:sz w:val="18"/>
          <w:szCs w:val="18"/>
          <w:color w:val="auto"/>
        </w:rPr>
        <w:t>") from Canadian dollars ("C$" or "CAD") to United States dollars. This change was driven by a shift in the primary economic environment in which these entities operate, including changes in the currency of underlying transactions such as purchases, and financing activities.</w:t>
      </w:r>
    </w:p>
    <w:p>
      <w:pPr>
        <w:spacing w:after="0" w:line="143" w:lineRule="exact"/>
        <w:rPr>
          <w:sz w:val="20"/>
          <w:szCs w:val="20"/>
          <w:color w:val="auto"/>
        </w:rPr>
      </w:pPr>
    </w:p>
    <w:p>
      <w:pPr>
        <w:ind w:left="260" w:right="500"/>
        <w:spacing w:after="0" w:line="303" w:lineRule="auto"/>
        <w:rPr>
          <w:sz w:val="20"/>
          <w:szCs w:val="20"/>
          <w:color w:val="auto"/>
        </w:rPr>
      </w:pPr>
      <w:r>
        <w:rPr>
          <w:rFonts w:ascii="Arial" w:cs="Arial" w:eastAsia="Arial" w:hAnsi="Arial"/>
          <w:sz w:val="18"/>
          <w:szCs w:val="18"/>
          <w:color w:val="auto"/>
        </w:rPr>
        <w:t>In accordance with IAS 21 The Effects of Changes in Foreign Exchange Rates, the change in functional currency has been applied prospectively from April 1, 2025, and on that date:</w:t>
      </w:r>
    </w:p>
    <w:p>
      <w:pPr>
        <w:spacing w:after="0" w:line="125" w:lineRule="exact"/>
        <w:rPr>
          <w:sz w:val="20"/>
          <w:szCs w:val="20"/>
          <w:color w:val="auto"/>
        </w:rPr>
      </w:pPr>
    </w:p>
    <w:p>
      <w:pPr>
        <w:ind w:left="900" w:right="140" w:hanging="324"/>
        <w:spacing w:after="0" w:line="271" w:lineRule="auto"/>
        <w:tabs>
          <w:tab w:leader="none" w:pos="8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assets, liabilities, and equity balances were translated from CAD to USD using the spot exchange rate on the date of change (1 CAD = 0.6956 USD).</w:t>
      </w:r>
    </w:p>
    <w:p>
      <w:pPr>
        <w:spacing w:after="0" w:line="17" w:lineRule="exact"/>
        <w:rPr>
          <w:rFonts w:ascii="Arial" w:cs="Arial" w:eastAsia="Arial" w:hAnsi="Arial"/>
          <w:sz w:val="18"/>
          <w:szCs w:val="18"/>
          <w:color w:val="auto"/>
        </w:rPr>
      </w:pPr>
    </w:p>
    <w:p>
      <w:pPr>
        <w:ind w:left="900" w:hanging="324"/>
        <w:spacing w:after="0"/>
        <w:tabs>
          <w:tab w:leader="none" w:pos="90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No retrospective restatement of prior-period comparatives was performed in the Company’s books and records.</w:t>
      </w:r>
    </w:p>
    <w:p>
      <w:pPr>
        <w:spacing w:after="0" w:line="31" w:lineRule="exact"/>
        <w:rPr>
          <w:rFonts w:ascii="Times New Roman" w:cs="Times New Roman" w:eastAsia="Times New Roman" w:hAnsi="Times New Roman"/>
          <w:sz w:val="22"/>
          <w:szCs w:val="22"/>
          <w:color w:val="auto"/>
        </w:rPr>
      </w:pPr>
    </w:p>
    <w:p>
      <w:pPr>
        <w:ind w:left="900" w:right="160" w:hanging="324"/>
        <w:spacing w:after="0" w:line="281" w:lineRule="auto"/>
        <w:tabs>
          <w:tab w:leader="none" w:pos="8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From April 1, 2025 onward, all transactions in Cybin Inc., Cybin Corp., and Cybin US are recorded in USD, and the USD is now the primary currency used for measurement and financial reporting.</w:t>
      </w:r>
    </w:p>
    <w:p>
      <w:pPr>
        <w:spacing w:after="0" w:line="204" w:lineRule="exact"/>
        <w:rPr>
          <w:sz w:val="20"/>
          <w:szCs w:val="20"/>
          <w:color w:val="auto"/>
        </w:rPr>
      </w:pPr>
    </w:p>
    <w:p>
      <w:pPr>
        <w:jc w:val="both"/>
        <w:ind w:left="260"/>
        <w:spacing w:after="0" w:line="278" w:lineRule="auto"/>
        <w:rPr>
          <w:sz w:val="20"/>
          <w:szCs w:val="20"/>
          <w:color w:val="auto"/>
        </w:rPr>
      </w:pPr>
      <w:r>
        <w:rPr>
          <w:rFonts w:ascii="Arial" w:cs="Arial" w:eastAsia="Arial" w:hAnsi="Arial"/>
          <w:sz w:val="18"/>
          <w:szCs w:val="18"/>
          <w:color w:val="auto"/>
        </w:rPr>
        <w:t>As a result of the change in functional currency, equity balances that had been translated at historical rates as a result of the change in presentation currency, were revised on April 1, 2025, for the Affected Entities, to reflect the exchange rate on the date of the functional currency change. The resulting impact is presented in the statement of changes of equity as "Foreign exchange impact from change in functional currency".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Material accounting policy information</w:t>
      </w:r>
    </w:p>
    <w:p>
      <w:pPr>
        <w:spacing w:after="0" w:line="223" w:lineRule="exact"/>
        <w:rPr>
          <w:sz w:val="20"/>
          <w:szCs w:val="20"/>
          <w:color w:val="auto"/>
        </w:rPr>
      </w:pPr>
    </w:p>
    <w:p>
      <w:pPr>
        <w:jc w:val="both"/>
        <w:ind w:left="260"/>
        <w:spacing w:after="0" w:line="318" w:lineRule="auto"/>
        <w:rPr>
          <w:sz w:val="20"/>
          <w:szCs w:val="20"/>
          <w:color w:val="auto"/>
        </w:rPr>
      </w:pPr>
      <w:r>
        <w:rPr>
          <w:rFonts w:ascii="Arial" w:cs="Arial" w:eastAsia="Arial" w:hAnsi="Arial"/>
          <w:sz w:val="18"/>
          <w:szCs w:val="18"/>
          <w:color w:val="auto"/>
        </w:rPr>
        <w:t>These condensed interim consolidated financial statements have been prepared using the same accounting policies and methods as those used in the Company’s annual consolidated financial statements for the year ended March 31, 2025.</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significant estimates and assumptions</w:t>
      </w:r>
    </w:p>
    <w:p>
      <w:pPr>
        <w:spacing w:after="0" w:line="223"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 preparation of financial statements in accordance with IAS 34 requires the use of certain significant estimates and assumptions. It also requires management to exercise judgment when applying the Company’s accounting policies. During the three months ended June 30, 2025, the Company introduced new significant estimates and assumptions related to the valuation of convertible debentures.</w:t>
      </w:r>
    </w:p>
    <w:p>
      <w:pPr>
        <w:spacing w:after="0" w:line="202" w:lineRule="exact"/>
        <w:rPr>
          <w:sz w:val="20"/>
          <w:szCs w:val="20"/>
          <w:color w:val="auto"/>
        </w:rPr>
      </w:pPr>
    </w:p>
    <w:p>
      <w:pPr>
        <w:jc w:val="both"/>
        <w:ind w:left="260"/>
        <w:spacing w:after="0" w:line="283" w:lineRule="auto"/>
        <w:rPr>
          <w:sz w:val="20"/>
          <w:szCs w:val="20"/>
          <w:color w:val="auto"/>
        </w:rPr>
      </w:pPr>
      <w:r>
        <w:rPr>
          <w:rFonts w:ascii="Arial" w:cs="Arial" w:eastAsia="Arial" w:hAnsi="Arial"/>
          <w:sz w:val="18"/>
          <w:szCs w:val="18"/>
          <w:color w:val="auto"/>
        </w:rPr>
        <w:t>The Company measures the fair value of its convertible debentures at fair value through profit and loss using a discounted cash flow model for the debt component and Black Scholes pricing model with an embedded Monte Carlo simulation to calculate the conversions component fair value. Key assumptions used in the models include the risk free interest rate, stock volatility, and the price per Common Share, as well as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9 of 23</w:t>
      </w:r>
    </w:p>
    <w:p>
      <w:pPr>
        <w:sectPr>
          <w:pgSz w:w="11900" w:h="16838" w:orient="portrait"/>
          <w:cols w:equalWidth="0" w:num="1">
            <w:col w:w="11160"/>
          </w:cols>
          <w:pgMar w:left="400" w:top="23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spacing w:after="0" w:line="292" w:lineRule="auto"/>
        <w:rPr>
          <w:sz w:val="20"/>
          <w:szCs w:val="20"/>
          <w:color w:val="auto"/>
        </w:rPr>
      </w:pPr>
      <w:r>
        <w:rPr>
          <w:rFonts w:ascii="Arial" w:cs="Arial" w:eastAsia="Arial" w:hAnsi="Arial"/>
          <w:sz w:val="18"/>
          <w:szCs w:val="18"/>
          <w:color w:val="auto"/>
        </w:rPr>
        <w:t>unobservable inputs including forecasted price per Common Share and the five day average volume weighted average price ("VWAP'), expected timing and amount of conversions that will occur over the course of the Convertible Debentures' maturity. Changes to these inputs and assumptions could have a significant impact on the measurement of the convertible debentures.</w:t>
      </w:r>
    </w:p>
    <w:p>
      <w:pPr>
        <w:spacing w:after="0" w:line="190" w:lineRule="exact"/>
        <w:rPr>
          <w:sz w:val="20"/>
          <w:szCs w:val="20"/>
          <w:color w:val="auto"/>
        </w:rPr>
      </w:pPr>
    </w:p>
    <w:p>
      <w:pPr>
        <w:jc w:val="both"/>
        <w:ind w:left="260" w:right="20"/>
        <w:spacing w:after="0" w:line="303" w:lineRule="auto"/>
        <w:rPr>
          <w:sz w:val="20"/>
          <w:szCs w:val="20"/>
          <w:color w:val="auto"/>
        </w:rPr>
      </w:pPr>
      <w:r>
        <w:rPr>
          <w:rFonts w:ascii="Arial" w:cs="Arial" w:eastAsia="Arial" w:hAnsi="Arial"/>
          <w:sz w:val="18"/>
          <w:szCs w:val="18"/>
          <w:color w:val="auto"/>
        </w:rPr>
        <w:t>Except as noted above, there have been no material changes to the critical accounting estimates and judgments set out in note 3 of the Company’s annual consolidated financial statements for the year ended March 31, 2025.</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New standards and interpretations not yet adopted</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IFRS 18, Presentation and Disclosure in Financial Statements</w:t>
      </w:r>
    </w:p>
    <w:p>
      <w:pPr>
        <w:spacing w:after="0" w:line="293" w:lineRule="exact"/>
        <w:rPr>
          <w:sz w:val="20"/>
          <w:szCs w:val="20"/>
          <w:color w:val="auto"/>
        </w:rPr>
      </w:pPr>
    </w:p>
    <w:p>
      <w:pPr>
        <w:jc w:val="both"/>
        <w:ind w:left="260"/>
        <w:spacing w:after="0" w:line="279" w:lineRule="auto"/>
        <w:rPr>
          <w:sz w:val="20"/>
          <w:szCs w:val="20"/>
          <w:color w:val="auto"/>
        </w:rPr>
      </w:pPr>
      <w:r>
        <w:rPr>
          <w:rFonts w:ascii="Arial" w:cs="Arial" w:eastAsia="Arial" w:hAnsi="Arial"/>
          <w:sz w:val="18"/>
          <w:szCs w:val="18"/>
          <w:color w:val="auto"/>
        </w:rPr>
        <w:t>In April 2024, the IASB issued IFRS 18 that will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IFRS 9, Financial Instruments (“IFRS 9”) and IFRS 7, Financial Instruments: Disclosures (“IFRS 7”)</w:t>
      </w:r>
    </w:p>
    <w:p>
      <w:pPr>
        <w:spacing w:after="0" w:line="252" w:lineRule="exact"/>
        <w:rPr>
          <w:sz w:val="20"/>
          <w:szCs w:val="20"/>
          <w:color w:val="auto"/>
        </w:rPr>
      </w:pPr>
    </w:p>
    <w:p>
      <w:pPr>
        <w:jc w:val="both"/>
        <w:ind w:left="260"/>
        <w:spacing w:after="0" w:line="274" w:lineRule="auto"/>
        <w:rPr>
          <w:sz w:val="20"/>
          <w:szCs w:val="20"/>
          <w:color w:val="auto"/>
        </w:rPr>
      </w:pPr>
      <w:r>
        <w:rPr>
          <w:rFonts w:ascii="Arial" w:cs="Arial" w:eastAsia="Arial" w:hAnsi="Arial"/>
          <w:sz w:val="18"/>
          <w:szCs w:val="18"/>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will be effective for annual periods beginning on or after January 1, 2026. The Company is in the process of assessing the impact of the standard on the consolidated financial statements.</w:t>
      </w:r>
    </w:p>
    <w:p>
      <w:pPr>
        <w:spacing w:after="0" w:line="222" w:lineRule="exact"/>
        <w:rPr>
          <w:sz w:val="20"/>
          <w:szCs w:val="20"/>
          <w:color w:val="auto"/>
        </w:rPr>
      </w:pPr>
    </w:p>
    <w:p>
      <w:pPr>
        <w:ind w:left="260" w:right="480"/>
        <w:spacing w:after="0" w:line="303" w:lineRule="auto"/>
        <w:rPr>
          <w:sz w:val="20"/>
          <w:szCs w:val="20"/>
          <w:color w:val="auto"/>
        </w:rPr>
      </w:pPr>
      <w:r>
        <w:rPr>
          <w:rFonts w:ascii="Arial" w:cs="Arial" w:eastAsia="Arial" w:hAnsi="Arial"/>
          <w:sz w:val="18"/>
          <w:szCs w:val="18"/>
          <w:color w:val="auto"/>
        </w:rPr>
        <w:t>All other IFRSs and amendments issued but not yet effective have been assessed by the Company and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10 of 23</w:t>
      </w:r>
    </w:p>
    <w:p>
      <w:pPr>
        <w:sectPr>
          <w:pgSz w:w="11900" w:h="16838" w:orient="portrait"/>
          <w:cols w:equalWidth="0" w:num="1">
            <w:col w:w="11160"/>
          </w:cols>
          <w:pgMar w:left="400" w:top="233"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20" w:type="dxa"/>
            <w:vAlign w:val="bottom"/>
            <w:gridSpan w:val="2"/>
          </w:tcPr>
          <w:p>
            <w:pPr>
              <w:spacing w:after="0"/>
              <w:rPr>
                <w:sz w:val="20"/>
                <w:szCs w:val="20"/>
                <w:color w:val="auto"/>
              </w:rPr>
            </w:pPr>
            <w:r>
              <w:rPr>
                <w:rFonts w:ascii="Arial" w:cs="Arial" w:eastAsia="Arial" w:hAnsi="Arial"/>
                <w:sz w:val="18"/>
                <w:szCs w:val="18"/>
                <w:b w:val="1"/>
                <w:bCs w:val="1"/>
                <w:color w:val="2D5F91"/>
              </w:rPr>
              <w:t>3.  EQUIPMENT</w:t>
            </w:r>
          </w:p>
        </w:tc>
        <w:tc>
          <w:tcPr>
            <w:tcW w:w="2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Lab Equipment</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Computer</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Equipment</w:t>
            </w: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477</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210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Additions</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14</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 equipment disposal</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June 30,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431</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2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408</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181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Depreciation charge</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 equipment disposal</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(43)</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June 30,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388</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185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 </w:t>
            </w:r>
            <w:r>
              <w:rPr>
                <w:rFonts w:ascii="Arial" w:cs="Arial" w:eastAsia="Arial" w:hAnsi="Arial"/>
                <w:sz w:val="18"/>
                <w:szCs w:val="18"/>
                <w:b w:val="1"/>
                <w:bCs w:val="1"/>
                <w:i w:val="1"/>
                <w:iCs w:val="1"/>
                <w:color w:val="auto"/>
              </w:rPr>
              <w:t>Restated - Note 2</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69</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June 30,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43</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39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40"/>
        <w:spacing w:after="0" w:line="303" w:lineRule="auto"/>
        <w:rPr>
          <w:sz w:val="20"/>
          <w:szCs w:val="20"/>
          <w:color w:val="auto"/>
        </w:rPr>
      </w:pPr>
      <w:r>
        <w:rPr>
          <w:rFonts w:ascii="Arial" w:cs="Arial" w:eastAsia="Arial" w:hAnsi="Arial"/>
          <w:sz w:val="18"/>
          <w:szCs w:val="18"/>
          <w:color w:val="auto"/>
        </w:rPr>
        <w:t xml:space="preserve">During the three months ended June 30, 2025, the Company disposed of lab equipment with a carrying amount of $3 for proceeds of $10, resulting in a gain of $7 recognized in the statement of loss and comprehensive loss as </w:t>
      </w:r>
      <w:r>
        <w:rPr>
          <w:rFonts w:ascii="Arial" w:cs="Arial" w:eastAsia="Arial" w:hAnsi="Arial"/>
          <w:sz w:val="18"/>
          <w:szCs w:val="18"/>
          <w:i w:val="1"/>
          <w:iCs w:val="1"/>
          <w:color w:val="auto"/>
        </w:rPr>
        <w:t>"Other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0" w:type="dxa"/>
            <w:vAlign w:val="bottom"/>
            <w:gridSpan w:val="2"/>
          </w:tcPr>
          <w:p>
            <w:pPr>
              <w:spacing w:after="0"/>
              <w:rPr>
                <w:sz w:val="20"/>
                <w:szCs w:val="20"/>
                <w:color w:val="auto"/>
              </w:rPr>
            </w:pPr>
            <w:r>
              <w:rPr>
                <w:rFonts w:ascii="Arial" w:cs="Arial" w:eastAsia="Arial" w:hAnsi="Arial"/>
                <w:sz w:val="18"/>
                <w:szCs w:val="18"/>
                <w:b w:val="1"/>
                <w:bCs w:val="1"/>
                <w:color w:val="2D5F91"/>
              </w:rPr>
              <w:t>4.  INTANGIBLE ASSETS</w:t>
            </w: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IP Research &amp;</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Patents</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License</w:t>
            </w: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Software</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Development</w:t>
            </w:r>
          </w:p>
        </w:tc>
        <w:tc>
          <w:tcPr>
            <w:tcW w:w="10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24,938</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2,639</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1,019</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28,647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217</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1,403</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June 30,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26,341</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2,899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1,019</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30,310</w:t>
            </w:r>
          </w:p>
        </w:tc>
        <w:tc>
          <w:tcPr>
            <w:tcW w:w="0" w:type="dxa"/>
            <w:vAlign w:val="bottom"/>
          </w:tcPr>
          <w:p>
            <w:pPr>
              <w:spacing w:after="0"/>
              <w:rPr>
                <w:sz w:val="1"/>
                <w:szCs w:val="1"/>
                <w:color w:val="auto"/>
              </w:rPr>
            </w:pPr>
          </w:p>
        </w:tc>
      </w:tr>
      <w:tr>
        <w:trPr>
          <w:trHeight w:val="479"/>
        </w:trPr>
        <w:tc>
          <w:tcPr>
            <w:tcW w:w="340" w:type="dxa"/>
            <w:vAlign w:val="bottom"/>
          </w:tcPr>
          <w:p>
            <w:pPr>
              <w:spacing w:after="0"/>
              <w:rPr>
                <w:sz w:val="24"/>
                <w:szCs w:val="24"/>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68</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47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charge</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June 30,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75</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 </w:t>
            </w:r>
            <w:r>
              <w:rPr>
                <w:rFonts w:ascii="Arial" w:cs="Arial" w:eastAsia="Arial" w:hAnsi="Arial"/>
                <w:sz w:val="18"/>
                <w:szCs w:val="18"/>
                <w:b w:val="1"/>
                <w:bCs w:val="1"/>
                <w:i w:val="1"/>
                <w:iCs w:val="1"/>
                <w:color w:val="auto"/>
              </w:rPr>
              <w:t>Restated - Note 2</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24,938</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2,639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951</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June 30,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26,341</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2,899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944</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11 of 23</w:t>
      </w:r>
    </w:p>
    <w:p>
      <w:pPr>
        <w:sectPr>
          <w:pgSz w:w="11900" w:h="16838" w:orient="portrait"/>
          <w:cols w:equalWidth="0" w:num="1">
            <w:col w:w="11240"/>
          </w:cols>
          <w:pgMar w:left="320" w:top="233"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840" w:type="dxa"/>
            <w:vAlign w:val="bottom"/>
            <w:gridSpan w:val="2"/>
          </w:tcPr>
          <w:p>
            <w:pPr>
              <w:spacing w:after="0"/>
              <w:rPr>
                <w:sz w:val="20"/>
                <w:szCs w:val="20"/>
                <w:color w:val="auto"/>
              </w:rPr>
            </w:pPr>
            <w:r>
              <w:rPr>
                <w:rFonts w:ascii="Arial" w:cs="Arial" w:eastAsia="Arial" w:hAnsi="Arial"/>
                <w:sz w:val="18"/>
                <w:szCs w:val="18"/>
                <w:b w:val="1"/>
                <w:bCs w:val="1"/>
                <w:color w:val="2D5F91"/>
              </w:rPr>
              <w:t>5. GOODWILL</w:t>
            </w:r>
          </w:p>
        </w:tc>
        <w:tc>
          <w:tcPr>
            <w:tcW w:w="960" w:type="dxa"/>
            <w:vAlign w:val="bottom"/>
          </w:tcPr>
          <w:p>
            <w:pPr>
              <w:spacing w:after="0"/>
              <w:rPr>
                <w:sz w:val="21"/>
                <w:szCs w:val="21"/>
                <w:color w:val="auto"/>
              </w:rPr>
            </w:pPr>
          </w:p>
        </w:tc>
      </w:tr>
      <w:tr>
        <w:trPr>
          <w:trHeight w:val="411"/>
        </w:trPr>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 is recognized at the acquisition date when total consideration exceeds the net identifiable assets acquired.</w:t>
            </w:r>
          </w:p>
        </w:tc>
        <w:tc>
          <w:tcPr>
            <w:tcW w:w="960" w:type="dxa"/>
            <w:vAlign w:val="bottom"/>
          </w:tcPr>
          <w:p>
            <w:pPr>
              <w:spacing w:after="0"/>
              <w:rPr>
                <w:sz w:val="24"/>
                <w:szCs w:val="24"/>
                <w:color w:val="auto"/>
              </w:rPr>
            </w:pPr>
          </w:p>
        </w:tc>
      </w:tr>
      <w:tr>
        <w:trPr>
          <w:trHeight w:val="548"/>
        </w:trPr>
        <w:tc>
          <w:tcPr>
            <w:tcW w:w="340" w:type="dxa"/>
            <w:vAlign w:val="bottom"/>
          </w:tcPr>
          <w:p>
            <w:pPr>
              <w:spacing w:after="0"/>
              <w:rPr>
                <w:sz w:val="24"/>
                <w:szCs w:val="24"/>
                <w:color w:val="auto"/>
              </w:rPr>
            </w:pPr>
          </w:p>
        </w:tc>
        <w:tc>
          <w:tcPr>
            <w:tcW w:w="950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340" w:type="dxa"/>
            <w:vAlign w:val="bottom"/>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8"/>
        </w:trPr>
        <w:tc>
          <w:tcPr>
            <w:tcW w:w="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 Note 2</w:t>
            </w:r>
          </w:p>
        </w:tc>
        <w:tc>
          <w:tcPr>
            <w:tcW w:w="960" w:type="dxa"/>
            <w:vAlign w:val="bottom"/>
          </w:tcPr>
          <w:p>
            <w:pPr>
              <w:jc w:val="right"/>
              <w:spacing w:after="0"/>
              <w:rPr>
                <w:sz w:val="20"/>
                <w:szCs w:val="20"/>
                <w:color w:val="auto"/>
              </w:rPr>
            </w:pPr>
            <w:r>
              <w:rPr>
                <w:rFonts w:ascii="Arial" w:cs="Arial" w:eastAsia="Arial" w:hAnsi="Arial"/>
                <w:sz w:val="18"/>
                <w:szCs w:val="18"/>
                <w:color w:val="auto"/>
              </w:rPr>
              <w:t>35,815</w:t>
            </w:r>
          </w:p>
        </w:tc>
      </w:tr>
      <w:tr>
        <w:trPr>
          <w:trHeight w:val="235"/>
        </w:trPr>
        <w:tc>
          <w:tcPr>
            <w:tcW w:w="340" w:type="dxa"/>
            <w:vAlign w:val="bottom"/>
          </w:tcPr>
          <w:p>
            <w:pPr>
              <w:spacing w:after="0"/>
              <w:rPr>
                <w:sz w:val="20"/>
                <w:szCs w:val="20"/>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r>
      <w:tr>
        <w:trPr>
          <w:trHeight w:val="223"/>
        </w:trPr>
        <w:tc>
          <w:tcPr>
            <w:tcW w:w="340" w:type="dxa"/>
            <w:vAlign w:val="bottom"/>
          </w:tcPr>
          <w:p>
            <w:pPr>
              <w:spacing w:after="0"/>
              <w:rPr>
                <w:sz w:val="19"/>
                <w:szCs w:val="19"/>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June 30,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36,897</w:t>
            </w:r>
          </w:p>
        </w:tc>
      </w:tr>
    </w:tbl>
    <w:p>
      <w:pPr>
        <w:spacing w:after="0" w:line="200" w:lineRule="exact"/>
        <w:rPr>
          <w:sz w:val="20"/>
          <w:szCs w:val="20"/>
          <w:color w:val="auto"/>
        </w:rPr>
      </w:pPr>
    </w:p>
    <w:p>
      <w:pPr>
        <w:spacing w:after="0" w:line="30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2D5F91"/>
        </w:rPr>
      </w:pPr>
      <w:r>
        <w:rPr>
          <w:rFonts w:ascii="Arial" w:cs="Arial" w:eastAsia="Arial" w:hAnsi="Arial"/>
          <w:sz w:val="18"/>
          <w:szCs w:val="18"/>
          <w:b w:val="1"/>
          <w:bCs w:val="1"/>
          <w:color w:val="2D5F91"/>
        </w:rPr>
        <w:t>CONVERTIBLE DEBENTURES</w:t>
      </w:r>
    </w:p>
    <w:p>
      <w:pPr>
        <w:spacing w:after="0" w:line="279"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On June 30, 2025, the Company entered into a securities purchase agreement (the “SPA”) with High Trail Special Situations LLC (“High Trail”), pursuant to which the Company agreed to issue to High Trail up to $500,000 of unsecured convertible debentures (the “Convertible Debentures”). The sale and issuance of Convertible Debentures with a principal amount of $50,000 was completed on June 30, 2025 (the "Initial Issuance Date").</w:t>
      </w:r>
    </w:p>
    <w:p>
      <w:pPr>
        <w:spacing w:after="0" w:line="19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Convertible Debentures have a two-year term (the “Convertible Debenture Term”). On closing, the Company pre-paid guaranteed interest of $5,500, equal to 11% of the amount issued for the Convertible Debenture Term (the equivalent of 5.5% per annum). Upon the occurrence of an event of default, interest would increase to 18% per annum on the outstanding principal balance.</w:t>
      </w:r>
    </w:p>
    <w:p>
      <w:pPr>
        <w:spacing w:after="0" w:line="190"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Subject to the terms of the SPA and the Convertible Debentures, High Trail is to be entitled to convert the principal amount and accrued and unpaid interest, if any, in whole or in part, from time to time, into Common Shares at a conversion price per Common Share equal to the lower of (a) $10.92, which is equal to 130% VWAP of the Common Shares on the day prior to the Initial Issuance Date or (b) the VWAP of the Common Shares during the five trading days immediately prior to conversion.</w:t>
      </w:r>
    </w:p>
    <w:p>
      <w:pPr>
        <w:spacing w:after="0" w:line="212"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Company, in its sole discretion, may prepay any outstanding amount under the Convertible Debentures, in whole or in part, in cash by providing High Trail with advance written notice prior to such prepayment. The prepayment is to include, (i) if paid during the first year after closing, a 5% premium on the amount of the prepayment or (ii) if paid during the second year after closing, a 3% premium on the amount of the prepayment.</w:t>
      </w:r>
    </w:p>
    <w:p>
      <w:pPr>
        <w:spacing w:after="0" w:line="19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203"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Convertible Debentures qualifies as a hybrid financial instrument under IFRS 9. The embedded conversion feature does not meet the ‘fixed-for-fixed’ criterion under IAS 32, and therefore the instrument does not qualify for any equity classification, until conversion occurs. Additionally, the embedded derivative could not be separated from the host contract due to the interdependence of their contractual cash flows. As a result, in accordance with IFRS 9 – Financial Instruments, the entire instrument has been classified as a financial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12 of 23</w:t>
      </w:r>
    </w:p>
    <w:p>
      <w:pPr>
        <w:sectPr>
          <w:pgSz w:w="11900" w:h="16838" w:orient="portrait"/>
          <w:cols w:equalWidth="0" w:num="1">
            <w:col w:w="11240"/>
          </w:cols>
          <w:pgMar w:left="320" w:top="233" w:right="339" w:bottom="1440" w:gutter="0" w:footer="0" w:header="0"/>
        </w:sectPr>
      </w:pPr>
    </w:p>
    <w:bookmarkStart w:id="15" w:name="page16"/>
    <w:bookmarkEnd w:id="15"/>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at fair value through profit or loss ("FVTPL"). The liability is therefore measured at fair value at each reporting date, with any changes in fair value recognized in profit or loss.</w:t>
      </w:r>
    </w:p>
    <w:p>
      <w:pPr>
        <w:spacing w:after="0" w:line="180"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color w:val="auto"/>
        </w:rPr>
        <w:t>The fair value of the Convertible Debentures was determined using a valuation model that incorporates observable inputs such as the risk free interest rate, stock volatility, and the price per Common Share, as well as certain unobservable inputs including forecasted share price and five day VWAP, expected timing and amount of conversions that will occur over the course of the Convertible Debentures' maturity. The Company used a Monte Carlo simulation to forecast the price per Common Share throughout the conversion period. On the Initial Issuance Date, and as at June 30, 2025, the fair value of the Convertible Debentures was determined to be $45,700 (the "Fair Value"). Key assumptions used in determining the Fair Value include a discount rate of approximately 20% and volatility of approximately 67.5%. The net cash received on issuance was $44,500 (the "Transaction Price"), representing the principal amount of $50,000 less pre-paid guaranteed interest of $5,500. The difference between the Fair Value and the Transaction Price resulted in a deferred day 1 loss of $1,200, which is unrecognized as at June 30, 2025. The day 1 loss is not recognized at initial recognition because the Fair Value of the Convertible Debentures is based on a valuation technique where not all the inputs are observable. This deferred day 1 loss is to be recognized in net loss over time, to the extent that it arises from changes in factors that market participants would consider when pricing the Convertible Debentures, such as the passage of time and the conversion of the Convertible Debentures into Common Shares. Any future changes in fair value, including the recognition of the deferred day 1 loss, are to be recognized in the statement of loss and comprehensive loss as “</w:t>
      </w:r>
      <w:r>
        <w:rPr>
          <w:rFonts w:ascii="Arial" w:cs="Arial" w:eastAsia="Arial" w:hAnsi="Arial"/>
          <w:sz w:val="18"/>
          <w:szCs w:val="18"/>
          <w:i w:val="1"/>
          <w:iCs w:val="1"/>
          <w:color w:val="auto"/>
        </w:rPr>
        <w:t>Fair value gain (loss) on financial instruments</w:t>
      </w:r>
      <w:r>
        <w:rPr>
          <w:rFonts w:ascii="Arial" w:cs="Arial" w:eastAsia="Arial" w:hAnsi="Arial"/>
          <w:sz w:val="18"/>
          <w:szCs w:val="18"/>
          <w:color w:val="auto"/>
        </w:rPr>
        <w:t>”.</w:t>
      </w:r>
    </w:p>
    <w:p>
      <w:pPr>
        <w:spacing w:after="0" w:line="256"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In connection with the issuance of the Convertible Debentures, the Company incurred debt issuance costs of $2,917, which is composed of placement agent fees, advisory fees and other professional fees directly attributable to the issuance of the Convertible Debentures. The debt issuance costs have been expensed as incurred in accordance with IFRS 9 for financial liabilities that are measured at FVTPL and are presented in the statement of profit or loss as "</w:t>
      </w:r>
      <w:r>
        <w:rPr>
          <w:rFonts w:ascii="Arial" w:cs="Arial" w:eastAsia="Arial" w:hAnsi="Arial"/>
          <w:sz w:val="18"/>
          <w:szCs w:val="18"/>
          <w:i w:val="1"/>
          <w:iCs w:val="1"/>
          <w:color w:val="auto"/>
        </w:rPr>
        <w:t>Debt issuance costs</w:t>
      </w:r>
      <w:r>
        <w:rPr>
          <w:rFonts w:ascii="Arial" w:cs="Arial" w:eastAsia="Arial" w:hAnsi="Arial"/>
          <w:sz w:val="18"/>
          <w:szCs w:val="18"/>
          <w:color w:val="auto"/>
        </w:rPr>
        <w: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Debentures are classified as a Level 3 financial instrument in the fair value hierarchy under IFRS 13.</w:t>
      </w:r>
    </w:p>
    <w:p>
      <w:pPr>
        <w:spacing w:after="0" w:line="21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2D5F91"/>
        </w:rPr>
      </w:pPr>
      <w:r>
        <w:rPr>
          <w:rFonts w:ascii="Arial" w:cs="Arial" w:eastAsia="Arial" w:hAnsi="Arial"/>
          <w:sz w:val="18"/>
          <w:szCs w:val="18"/>
          <w:b w:val="1"/>
          <w:bCs w:val="1"/>
          <w:color w:val="2D5F91"/>
        </w:rPr>
        <w:t>SHARE CAPITAL</w:t>
      </w:r>
    </w:p>
    <w:p>
      <w:pPr>
        <w:spacing w:after="0" w:line="225" w:lineRule="exact"/>
        <w:rPr>
          <w:rFonts w:ascii="Arial" w:cs="Arial" w:eastAsia="Arial" w:hAnsi="Arial"/>
          <w:sz w:val="18"/>
          <w:szCs w:val="18"/>
          <w:b w:val="1"/>
          <w:bCs w:val="1"/>
          <w:color w:val="2D5F91"/>
        </w:rPr>
      </w:pPr>
    </w:p>
    <w:p>
      <w:pPr>
        <w:ind w:left="660" w:hanging="328"/>
        <w:spacing w:after="0"/>
        <w:tabs>
          <w:tab w:leader="none" w:pos="66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Authorized share capital</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authorized share capital of Cybin consists of an 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1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Issued share capital</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During the three months ended June 30, 2025, the Company completed the following share issuances:</w:t>
      </w:r>
    </w:p>
    <w:p>
      <w:pPr>
        <w:spacing w:after="0" w:line="264"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On February 10, 2025, the Company established a new at-the-market equity program (the “2025 ATM Program”) that allow the Company to issue and sell up to US$100,000 of Common Shares from treasury to the public, from time to time. Distributions of Common Shares under the 2025 ATM Program are made pursuant to the terms and conditions of an at-the-market equity distribution agreement (the “2025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13 of 23</w:t>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spacing w:after="0" w:line="292" w:lineRule="auto"/>
        <w:rPr>
          <w:sz w:val="20"/>
          <w:szCs w:val="20"/>
          <w:color w:val="auto"/>
        </w:rPr>
      </w:pPr>
      <w:r>
        <w:rPr>
          <w:rFonts w:ascii="Arial" w:cs="Arial" w:eastAsia="Arial" w:hAnsi="Arial"/>
          <w:sz w:val="18"/>
          <w:szCs w:val="18"/>
          <w:color w:val="auto"/>
        </w:rPr>
        <w:t>Agreement”) dated February 10, 2025, among the Company, Cantor Fitzgerald Canada Corporation and Cantor Fitzgerald &amp; Co. The 2025 ATM Program is to be effective until the earlier of the issuance and sale of all of the Common Shares issuable pursuant to the 2025 ATM Program and September 17, 2025, unless earlier terminated in accordance with the terms of the 2025 Distribution Agreement.</w:t>
      </w:r>
    </w:p>
    <w:p>
      <w:pPr>
        <w:spacing w:after="0" w:line="190" w:lineRule="exact"/>
        <w:rPr>
          <w:sz w:val="20"/>
          <w:szCs w:val="20"/>
          <w:color w:val="auto"/>
        </w:rPr>
      </w:pPr>
    </w:p>
    <w:p>
      <w:pPr>
        <w:jc w:val="both"/>
        <w:ind w:left="260"/>
        <w:spacing w:after="0" w:line="292" w:lineRule="auto"/>
        <w:rPr>
          <w:sz w:val="20"/>
          <w:szCs w:val="20"/>
          <w:color w:val="auto"/>
        </w:rPr>
      </w:pPr>
      <w:r>
        <w:rPr>
          <w:rFonts w:ascii="Arial" w:cs="Arial" w:eastAsia="Arial" w:hAnsi="Arial"/>
          <w:sz w:val="18"/>
          <w:szCs w:val="18"/>
          <w:color w:val="auto"/>
        </w:rPr>
        <w:t>During the three months ended June 30, 2025, the Company sold 1,422,423 Common Shares under the ATM Program at an average price of $7.36 per Common Share, for aggregate gross proceeds of $10,465 . Common Share issuance costs related to the ATM Programs for the period were $332.</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at June 30, 2025, the Company had no preferred shares outstanding.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Cybin US Class B Shares</w:t>
      </w:r>
    </w:p>
    <w:p>
      <w:pPr>
        <w:spacing w:after="0" w:line="38"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53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 of Class B Shares</w:t>
            </w:r>
          </w:p>
        </w:tc>
      </w:tr>
      <w:tr>
        <w:trPr>
          <w:trHeight w:val="218"/>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Balance as at March 31, 2025</w:t>
            </w:r>
          </w:p>
        </w:tc>
        <w:tc>
          <w:tcPr>
            <w:tcW w:w="5080" w:type="dxa"/>
            <w:vAlign w:val="bottom"/>
          </w:tcPr>
          <w:p>
            <w:pPr>
              <w:jc w:val="right"/>
              <w:spacing w:after="0"/>
              <w:rPr>
                <w:sz w:val="20"/>
                <w:szCs w:val="20"/>
                <w:color w:val="auto"/>
              </w:rPr>
            </w:pPr>
            <w:r>
              <w:rPr>
                <w:rFonts w:ascii="Arial" w:cs="Arial" w:eastAsia="Arial" w:hAnsi="Arial"/>
                <w:sz w:val="18"/>
                <w:szCs w:val="18"/>
                <w:color w:val="auto"/>
              </w:rPr>
              <w:t>36,084.7</w:t>
            </w:r>
          </w:p>
        </w:tc>
      </w:tr>
      <w:tr>
        <w:trPr>
          <w:trHeight w:val="235"/>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Converted into Common Shares</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June 30, 2025</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36,084.7</w:t>
            </w:r>
          </w:p>
        </w:tc>
      </w:tr>
    </w:tbl>
    <w:p>
      <w:pPr>
        <w:spacing w:after="0" w:line="265" w:lineRule="exact"/>
        <w:rPr>
          <w:sz w:val="20"/>
          <w:szCs w:val="20"/>
          <w:color w:val="auto"/>
        </w:rPr>
      </w:pPr>
    </w:p>
    <w:p>
      <w:pPr>
        <w:jc w:val="both"/>
        <w:ind w:left="260"/>
        <w:spacing w:after="0" w:line="299" w:lineRule="auto"/>
        <w:rPr>
          <w:sz w:val="20"/>
          <w:szCs w:val="20"/>
          <w:color w:val="auto"/>
        </w:rPr>
      </w:pPr>
      <w:r>
        <w:rPr>
          <w:rFonts w:ascii="Arial" w:cs="Arial" w:eastAsia="Arial" w:hAnsi="Arial"/>
          <w:sz w:val="18"/>
          <w:szCs w:val="18"/>
          <w:color w:val="auto"/>
        </w:rPr>
        <w:t>As at June 30, 2025, 36,084.7 class B common shares of Cybin US (“Class B Shares”) were outstanding, and are exchangeable for a total of 9,496 Common Shares. The Class B Shares are exchangeable at the holder’s option for Common Shares on the basis of 0.26316 Common Shares for 1 Class B Share. These consolidated financial statements reflect issued Class B Shares on an as-converted basis.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three months ended June 30, 2025 no Class B Shares were issued or converted.</w:t>
      </w:r>
    </w:p>
    <w:p>
      <w:pPr>
        <w:spacing w:after="0" w:line="225" w:lineRule="exact"/>
        <w:rPr>
          <w:sz w:val="20"/>
          <w:szCs w:val="20"/>
          <w:color w:val="auto"/>
        </w:rPr>
      </w:pPr>
    </w:p>
    <w:p>
      <w:pPr>
        <w:ind w:left="600" w:hanging="351"/>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continuity of the outstanding warrants for the three months ended June 30, 2025, is as follows:</w:t>
      </w: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492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Number of Warrants</w:t>
            </w: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exercise price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89"/>
        </w:trPr>
        <w:tc>
          <w:tcPr>
            <w:tcW w:w="4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5"/>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Common Share Purchase Warrants</w:t>
            </w:r>
          </w:p>
        </w:tc>
        <w:tc>
          <w:tcPr>
            <w:tcW w:w="3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3600" w:type="dxa"/>
            <w:vAlign w:val="bottom"/>
          </w:tcPr>
          <w:p>
            <w:pPr>
              <w:jc w:val="right"/>
              <w:spacing w:after="0"/>
              <w:rPr>
                <w:sz w:val="20"/>
                <w:szCs w:val="20"/>
                <w:color w:val="auto"/>
              </w:rPr>
            </w:pPr>
            <w:r>
              <w:rPr>
                <w:rFonts w:ascii="Arial" w:cs="Arial" w:eastAsia="Arial" w:hAnsi="Arial"/>
                <w:sz w:val="18"/>
                <w:szCs w:val="18"/>
                <w:color w:val="auto"/>
              </w:rPr>
              <w:t>2,796,197</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Issued</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Expired</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June 30, 2025</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2,796,197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June 30, 2025</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2,796,197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right="20"/>
        <w:spacing w:after="0" w:line="244"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Certain warrants were issued in CAD, the weighted average exercise price is calculated using the closing exchange rate in effect as at the respective dates.</w:t>
      </w:r>
    </w:p>
    <w:p>
      <w:pPr>
        <w:sectPr>
          <w:pgSz w:w="11900" w:h="16838" w:orient="portrait"/>
          <w:cols w:equalWidth="0" w:num="1">
            <w:col w:w="11160"/>
          </w:cols>
          <w:pgMar w:left="40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Page 14 of 23</w:t>
      </w:r>
    </w:p>
    <w:p>
      <w:pPr>
        <w:sectPr>
          <w:pgSz w:w="11900" w:h="16838" w:orient="portrait"/>
          <w:cols w:equalWidth="0" w:num="1">
            <w:col w:w="11160"/>
          </w:cols>
          <w:pgMar w:left="400" w:top="233" w:right="339" w:bottom="1440" w:gutter="0" w:footer="0" w:header="0"/>
          <w:type w:val="continuous"/>
        </w:sectPr>
      </w:pPr>
    </w:p>
    <w:bookmarkStart w:id="17" w:name="page18"/>
    <w:bookmarkEnd w:id="17"/>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about warrants outstanding as at June 30, 2025:</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Estimated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average of</w:t>
            </w:r>
          </w:p>
        </w:tc>
        <w:tc>
          <w:tcPr>
            <w:tcW w:w="1400" w:type="dxa"/>
            <w:vAlign w:val="bottom"/>
            <w:vMerge w:val="continue"/>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00" w:type="dxa"/>
            <w:vAlign w:val="bottom"/>
            <w:vMerge w:val="restart"/>
          </w:tcPr>
          <w:p>
            <w:pPr>
              <w:jc w:val="right"/>
              <w:ind w:right="30"/>
              <w:spacing w:after="0" w:line="183" w:lineRule="exact"/>
              <w:rPr>
                <w:sz w:val="20"/>
                <w:szCs w:val="20"/>
                <w:color w:val="auto"/>
              </w:rPr>
            </w:pPr>
            <w:r>
              <w:rPr>
                <w:rFonts w:ascii="Arial" w:cs="Arial" w:eastAsia="Arial" w:hAnsi="Arial"/>
                <w:sz w:val="18"/>
                <w:szCs w:val="18"/>
                <w:b w:val="1"/>
                <w:bCs w:val="1"/>
                <w:color w:val="auto"/>
              </w:rPr>
              <w:t>issue date fair</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2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Warrants</w:t>
            </w:r>
          </w:p>
        </w:tc>
        <w:tc>
          <w:tcPr>
            <w:tcW w:w="1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Warrants</w:t>
            </w: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exercisable</w:t>
            </w:r>
          </w:p>
        </w:tc>
        <w:tc>
          <w:tcPr>
            <w:tcW w:w="1400" w:type="dxa"/>
            <w:vAlign w:val="bottom"/>
            <w:vMerge w:val="continue"/>
          </w:tcPr>
          <w:p>
            <w:pPr>
              <w:spacing w:after="0"/>
              <w:rPr>
                <w:sz w:val="5"/>
                <w:szCs w:val="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00" w:type="dxa"/>
            <w:vAlign w:val="bottom"/>
            <w:vMerge w:val="restart"/>
          </w:tcPr>
          <w:p>
            <w:pPr>
              <w:jc w:val="right"/>
              <w:ind w:right="30"/>
              <w:spacing w:after="0" w:line="181" w:lineRule="exact"/>
              <w:rPr>
                <w:sz w:val="20"/>
                <w:szCs w:val="20"/>
                <w:color w:val="auto"/>
              </w:rPr>
            </w:pPr>
            <w:r>
              <w:rPr>
                <w:rFonts w:ascii="Arial" w:cs="Arial" w:eastAsia="Arial" w:hAnsi="Arial"/>
                <w:sz w:val="18"/>
                <w:szCs w:val="18"/>
                <w:b w:val="1"/>
                <w:bCs w:val="1"/>
                <w:color w:val="auto"/>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600" w:type="dxa"/>
            <w:vAlign w:val="bottom"/>
          </w:tcPr>
          <w:p>
            <w:pPr>
              <w:spacing w:after="0"/>
              <w:rPr>
                <w:sz w:val="2"/>
                <w:szCs w:val="2"/>
                <w:color w:val="auto"/>
              </w:rPr>
            </w:pPr>
          </w:p>
        </w:tc>
        <w:tc>
          <w:tcPr>
            <w:tcW w:w="2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exercisable</w:t>
            </w: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1400" w:type="dxa"/>
            <w:vAlign w:val="bottom"/>
            <w:vMerge w:val="continue"/>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line="20" w:lineRule="exact"/>
              <w:rPr>
                <w:sz w:val="1"/>
                <w:szCs w:val="1"/>
                <w:color w:val="auto"/>
              </w:rPr>
            </w:pPr>
          </w:p>
        </w:tc>
      </w:tr>
      <w:tr>
        <w:trPr>
          <w:trHeight w:val="257"/>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Date of Expiry</w:t>
            </w:r>
          </w:p>
        </w:tc>
        <w:tc>
          <w:tcPr>
            <w:tcW w:w="2240" w:type="dxa"/>
            <w:vAlign w:val="bottom"/>
            <w:tcBorders>
              <w:bottom w:val="single" w:sz="8" w:color="auto"/>
            </w:tcBorders>
            <w:vMerge w:val="continue"/>
          </w:tcPr>
          <w:p>
            <w:pPr>
              <w:spacing w:after="0"/>
              <w:rPr>
                <w:sz w:val="22"/>
                <w:szCs w:val="22"/>
                <w:color w:val="auto"/>
              </w:rPr>
            </w:pPr>
          </w:p>
        </w:tc>
        <w:tc>
          <w:tcPr>
            <w:tcW w:w="1440" w:type="dxa"/>
            <w:vAlign w:val="bottom"/>
            <w:tcBorders>
              <w:bottom w:val="single" w:sz="8" w:color="auto"/>
            </w:tcBorders>
            <w:vMerge w:val="continue"/>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(US$000's)</w:t>
            </w:r>
          </w:p>
        </w:tc>
        <w:tc>
          <w:tcPr>
            <w:tcW w:w="14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66"/>
        </w:trPr>
        <w:tc>
          <w:tcPr>
            <w:tcW w:w="2600" w:type="dxa"/>
            <w:vAlign w:val="bottom"/>
          </w:tcPr>
          <w:p>
            <w:pPr>
              <w:ind w:left="20"/>
              <w:spacing w:after="0"/>
              <w:rPr>
                <w:sz w:val="20"/>
                <w:szCs w:val="20"/>
                <w:color w:val="auto"/>
              </w:rPr>
            </w:pPr>
            <w:r>
              <w:rPr>
                <w:rFonts w:ascii="Arial" w:cs="Arial" w:eastAsia="Arial" w:hAnsi="Arial"/>
                <w:sz w:val="18"/>
                <w:szCs w:val="18"/>
                <w:color w:val="auto"/>
              </w:rPr>
              <w:t>August 4, 2028</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635,887</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635,887</w:t>
            </w:r>
          </w:p>
        </w:tc>
        <w:tc>
          <w:tcPr>
            <w:tcW w:w="1360" w:type="dxa"/>
            <w:vAlign w:val="bottom"/>
          </w:tcPr>
          <w:p>
            <w:pPr>
              <w:jc w:val="right"/>
              <w:spacing w:after="0"/>
              <w:rPr>
                <w:sz w:val="20"/>
                <w:szCs w:val="20"/>
                <w:color w:val="auto"/>
              </w:rPr>
            </w:pPr>
            <w:r>
              <w:rPr>
                <w:rFonts w:ascii="Arial" w:cs="Arial" w:eastAsia="Arial" w:hAnsi="Arial"/>
                <w:sz w:val="18"/>
                <w:szCs w:val="18"/>
                <w:color w:val="auto"/>
              </w:rPr>
              <w:t>US$15.20</w:t>
            </w:r>
          </w:p>
        </w:tc>
        <w:tc>
          <w:tcPr>
            <w:tcW w:w="1400" w:type="dxa"/>
            <w:vAlign w:val="bottom"/>
          </w:tcPr>
          <w:p>
            <w:pPr>
              <w:jc w:val="right"/>
              <w:spacing w:after="0"/>
              <w:rPr>
                <w:sz w:val="20"/>
                <w:szCs w:val="20"/>
                <w:color w:val="auto"/>
              </w:rPr>
            </w:pPr>
            <w:r>
              <w:rPr>
                <w:rFonts w:ascii="Arial" w:cs="Arial" w:eastAsia="Arial" w:hAnsi="Arial"/>
                <w:sz w:val="18"/>
                <w:szCs w:val="18"/>
                <w:color w:val="auto"/>
              </w:rPr>
              <w:t>3,184</w:t>
            </w:r>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May 14, 2029</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1,754,386</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1,754,386</w:t>
            </w:r>
          </w:p>
        </w:tc>
        <w:tc>
          <w:tcPr>
            <w:tcW w:w="1360" w:type="dxa"/>
            <w:vAlign w:val="bottom"/>
          </w:tcPr>
          <w:p>
            <w:pPr>
              <w:jc w:val="right"/>
              <w:spacing w:after="0"/>
              <w:rPr>
                <w:sz w:val="20"/>
                <w:szCs w:val="20"/>
                <w:color w:val="auto"/>
              </w:rPr>
            </w:pPr>
            <w:r>
              <w:rPr>
                <w:rFonts w:ascii="Arial" w:cs="Arial" w:eastAsia="Arial" w:hAnsi="Arial"/>
                <w:sz w:val="18"/>
                <w:szCs w:val="18"/>
                <w:color w:val="auto"/>
              </w:rPr>
              <w:t>US$19.38</w:t>
            </w:r>
          </w:p>
        </w:tc>
        <w:tc>
          <w:tcPr>
            <w:tcW w:w="1400" w:type="dxa"/>
            <w:vAlign w:val="bottom"/>
          </w:tcPr>
          <w:p>
            <w:pPr>
              <w:jc w:val="right"/>
              <w:spacing w:after="0"/>
              <w:rPr>
                <w:sz w:val="20"/>
                <w:szCs w:val="20"/>
                <w:color w:val="auto"/>
              </w:rPr>
            </w:pPr>
            <w:r>
              <w:rPr>
                <w:rFonts w:ascii="Arial" w:cs="Arial" w:eastAsia="Arial" w:hAnsi="Arial"/>
                <w:sz w:val="18"/>
                <w:szCs w:val="18"/>
                <w:color w:val="auto"/>
              </w:rPr>
              <w:t>12,419</w:t>
            </w:r>
          </w:p>
        </w:tc>
        <w:tc>
          <w:tcPr>
            <w:tcW w:w="14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June 15, 2030</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336,843</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336,843</w:t>
            </w:r>
          </w:p>
        </w:tc>
        <w:tc>
          <w:tcPr>
            <w:tcW w:w="1360" w:type="dxa"/>
            <w:vAlign w:val="bottom"/>
          </w:tcPr>
          <w:p>
            <w:pPr>
              <w:jc w:val="right"/>
              <w:spacing w:after="0"/>
              <w:rPr>
                <w:sz w:val="20"/>
                <w:szCs w:val="20"/>
                <w:color w:val="auto"/>
              </w:rPr>
            </w:pPr>
            <w:r>
              <w:rPr>
                <w:rFonts w:ascii="Arial" w:cs="Arial" w:eastAsia="Arial" w:hAnsi="Arial"/>
                <w:sz w:val="18"/>
                <w:szCs w:val="18"/>
                <w:color w:val="auto"/>
              </w:rPr>
              <w:t>C$9.50</w:t>
            </w:r>
          </w:p>
        </w:tc>
        <w:tc>
          <w:tcPr>
            <w:tcW w:w="1400" w:type="dxa"/>
            <w:vAlign w:val="bottom"/>
          </w:tcPr>
          <w:p>
            <w:pPr>
              <w:jc w:val="right"/>
              <w:spacing w:after="0"/>
              <w:rPr>
                <w:sz w:val="20"/>
                <w:szCs w:val="20"/>
                <w:color w:val="auto"/>
              </w:rPr>
            </w:pPr>
            <w:r>
              <w:rPr>
                <w:rFonts w:ascii="Arial" w:cs="Arial" w:eastAsia="Arial" w:hAnsi="Arial"/>
                <w:sz w:val="18"/>
                <w:szCs w:val="18"/>
                <w:color w:val="auto"/>
              </w:rPr>
              <w:t>2,707</w:t>
            </w:r>
          </w:p>
        </w:tc>
        <w:tc>
          <w:tcPr>
            <w:tcW w:w="14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August 20, 2030</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38,818</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38,818</w:t>
            </w:r>
          </w:p>
        </w:tc>
        <w:tc>
          <w:tcPr>
            <w:tcW w:w="1360" w:type="dxa"/>
            <w:vAlign w:val="bottom"/>
          </w:tcPr>
          <w:p>
            <w:pPr>
              <w:jc w:val="right"/>
              <w:spacing w:after="0"/>
              <w:rPr>
                <w:sz w:val="20"/>
                <w:szCs w:val="20"/>
                <w:color w:val="auto"/>
              </w:rPr>
            </w:pPr>
            <w:r>
              <w:rPr>
                <w:rFonts w:ascii="Arial" w:cs="Arial" w:eastAsia="Arial" w:hAnsi="Arial"/>
                <w:sz w:val="18"/>
                <w:szCs w:val="18"/>
                <w:color w:val="auto"/>
              </w:rPr>
              <w:t>C$24.32</w:t>
            </w:r>
          </w:p>
        </w:tc>
        <w:tc>
          <w:tcPr>
            <w:tcW w:w="1400" w:type="dxa"/>
            <w:vAlign w:val="bottom"/>
          </w:tcPr>
          <w:p>
            <w:pPr>
              <w:jc w:val="right"/>
              <w:spacing w:after="0"/>
              <w:rPr>
                <w:sz w:val="20"/>
                <w:szCs w:val="20"/>
                <w:color w:val="auto"/>
              </w:rPr>
            </w:pPr>
            <w:r>
              <w:rPr>
                <w:rFonts w:ascii="Arial" w:cs="Arial" w:eastAsia="Arial" w:hAnsi="Arial"/>
                <w:sz w:val="18"/>
                <w:szCs w:val="18"/>
                <w:color w:val="auto"/>
              </w:rPr>
              <w:t>651</w:t>
            </w:r>
          </w:p>
        </w:tc>
        <w:tc>
          <w:tcPr>
            <w:tcW w:w="14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15, 2030</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30,263</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30,263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C$9.50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2,796,197</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2,796,197</w:t>
            </w:r>
          </w:p>
        </w:tc>
        <w:tc>
          <w:tcPr>
            <w:tcW w:w="1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 options</w:t>
      </w:r>
    </w:p>
    <w:p>
      <w:pPr>
        <w:spacing w:after="0" w:line="225"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On November 5, 2020, Cybin adopted an equity incentive plan. Under the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27, 2024, the board of directors and the shareholders re-approved the equity incentive plan and approved certain amendments to the plan, including an increase to the fixed number of Incentive Stock Options (as defined in the plan), certain changes to the board of directors' authority to amend existing awards, and certain other housekeeping amendments.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color w:val="auto"/>
              </w:rPr>
              <w:t>The changes in options for the three months ended June 30, 2025 are as follows:</w:t>
            </w:r>
          </w:p>
        </w:tc>
        <w:tc>
          <w:tcPr>
            <w:tcW w:w="1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6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Weighted average exercise</w:t>
            </w:r>
          </w:p>
        </w:tc>
        <w:tc>
          <w:tcPr>
            <w:tcW w:w="0" w:type="dxa"/>
            <w:vAlign w:val="bottom"/>
          </w:tcPr>
          <w:p>
            <w:pPr>
              <w:spacing w:after="0"/>
              <w:rPr>
                <w:sz w:val="1"/>
                <w:szCs w:val="1"/>
                <w:color w:val="auto"/>
              </w:rPr>
            </w:pPr>
          </w:p>
        </w:tc>
      </w:tr>
      <w:tr>
        <w:trPr>
          <w:trHeight w:val="54"/>
        </w:trPr>
        <w:tc>
          <w:tcPr>
            <w:tcW w:w="6660" w:type="dxa"/>
            <w:vAlign w:val="bottom"/>
          </w:tcPr>
          <w:p>
            <w:pPr>
              <w:spacing w:after="0"/>
              <w:rPr>
                <w:sz w:val="4"/>
                <w:szCs w:val="4"/>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3,956,684</w:t>
            </w:r>
          </w:p>
        </w:tc>
        <w:tc>
          <w:tcPr>
            <w:tcW w:w="2420" w:type="dxa"/>
            <w:vAlign w:val="bottom"/>
          </w:tcPr>
          <w:p>
            <w:pPr>
              <w:jc w:val="right"/>
              <w:spacing w:after="0"/>
              <w:rPr>
                <w:sz w:val="20"/>
                <w:szCs w:val="20"/>
                <w:color w:val="auto"/>
              </w:rPr>
            </w:pPr>
            <w:r>
              <w:rPr>
                <w:rFonts w:ascii="Arial" w:cs="Arial" w:eastAsia="Arial" w:hAnsi="Arial"/>
                <w:sz w:val="18"/>
                <w:szCs w:val="18"/>
                <w:color w:val="auto"/>
              </w:rPr>
              <w:t>C$15.23</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C$30.68</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June 30, 2025</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3,945,916</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C$15.19</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June 30, 2025</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3,776,904</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C$15.12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15 of 23</w:t>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r>
              <w:rPr>
                <w:rFonts w:ascii="Arial" w:cs="Arial" w:eastAsia="Arial" w:hAnsi="Arial"/>
                <w:sz w:val="18"/>
                <w:szCs w:val="18"/>
                <w:color w:val="auto"/>
              </w:rPr>
              <w:t>The</w:t>
            </w:r>
          </w:p>
        </w:tc>
        <w:tc>
          <w:tcPr>
            <w:tcW w:w="1220" w:type="dxa"/>
            <w:vAlign w:val="bottom"/>
          </w:tcPr>
          <w:p>
            <w:pPr>
              <w:ind w:left="200"/>
              <w:spacing w:after="0"/>
              <w:rPr>
                <w:sz w:val="20"/>
                <w:szCs w:val="20"/>
                <w:color w:val="auto"/>
              </w:rPr>
            </w:pPr>
            <w:r>
              <w:rPr>
                <w:rFonts w:ascii="Arial" w:cs="Arial" w:eastAsia="Arial" w:hAnsi="Arial"/>
                <w:sz w:val="18"/>
                <w:szCs w:val="18"/>
                <w:color w:val="auto"/>
              </w:rPr>
              <w:t>following</w:t>
            </w:r>
          </w:p>
        </w:tc>
        <w:tc>
          <w:tcPr>
            <w:tcW w:w="1240" w:type="dxa"/>
            <w:vAlign w:val="bottom"/>
          </w:tcPr>
          <w:p>
            <w:pPr>
              <w:ind w:left="80"/>
              <w:spacing w:after="0"/>
              <w:rPr>
                <w:sz w:val="20"/>
                <w:szCs w:val="20"/>
                <w:color w:val="auto"/>
              </w:rPr>
            </w:pPr>
            <w:r>
              <w:rPr>
                <w:rFonts w:ascii="Arial" w:cs="Arial" w:eastAsia="Arial" w:hAnsi="Arial"/>
                <w:sz w:val="18"/>
                <w:szCs w:val="18"/>
                <w:color w:val="auto"/>
              </w:rPr>
              <w:t>summarizes</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information</w:t>
            </w:r>
          </w:p>
        </w:tc>
        <w:tc>
          <w:tcPr>
            <w:tcW w:w="540" w:type="dxa"/>
            <w:vAlign w:val="bottom"/>
          </w:tcPr>
          <w:p>
            <w:pPr>
              <w:ind w:left="80"/>
              <w:spacing w:after="0"/>
              <w:rPr>
                <w:sz w:val="20"/>
                <w:szCs w:val="20"/>
                <w:color w:val="auto"/>
              </w:rPr>
            </w:pPr>
            <w:r>
              <w:rPr>
                <w:rFonts w:ascii="Arial" w:cs="Arial" w:eastAsia="Arial" w:hAnsi="Arial"/>
                <w:sz w:val="18"/>
                <w:szCs w:val="18"/>
                <w:color w:val="auto"/>
                <w:w w:val="97"/>
              </w:rPr>
              <w:t>about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stock</w:t>
            </w:r>
          </w:p>
        </w:tc>
        <w:tc>
          <w:tcPr>
            <w:tcW w:w="1020" w:type="dxa"/>
            <w:vAlign w:val="bottom"/>
          </w:tcPr>
          <w:p>
            <w:pPr>
              <w:ind w:left="240"/>
              <w:spacing w:after="0"/>
              <w:rPr>
                <w:sz w:val="20"/>
                <w:szCs w:val="20"/>
                <w:color w:val="auto"/>
              </w:rPr>
            </w:pPr>
            <w:r>
              <w:rPr>
                <w:rFonts w:ascii="Arial" w:cs="Arial" w:eastAsia="Arial" w:hAnsi="Arial"/>
                <w:sz w:val="18"/>
                <w:szCs w:val="18"/>
                <w:color w:val="auto"/>
              </w:rPr>
              <w:t>options</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on</w:t>
            </w:r>
          </w:p>
        </w:tc>
        <w:tc>
          <w:tcPr>
            <w:tcW w:w="560" w:type="dxa"/>
            <w:vAlign w:val="bottom"/>
          </w:tcPr>
          <w:p>
            <w:pPr>
              <w:ind w:left="60"/>
              <w:spacing w:after="0"/>
              <w:rPr>
                <w:sz w:val="20"/>
                <w:szCs w:val="20"/>
                <w:color w:val="auto"/>
              </w:rPr>
            </w:pPr>
            <w:r>
              <w:rPr>
                <w:rFonts w:ascii="Arial" w:cs="Arial" w:eastAsia="Arial" w:hAnsi="Arial"/>
                <w:sz w:val="18"/>
                <w:szCs w:val="18"/>
                <w:color w:val="auto"/>
              </w:rPr>
              <w:t>June</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301"/>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Estimated issue</w:t>
            </w:r>
          </w:p>
        </w:tc>
        <w:tc>
          <w:tcPr>
            <w:tcW w:w="560" w:type="dxa"/>
            <w:vAlign w:val="bottom"/>
          </w:tcPr>
          <w:p>
            <w:pPr>
              <w:spacing w:after="0"/>
              <w:rPr>
                <w:sz w:val="24"/>
                <w:szCs w:val="2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59"/>
        </w:trPr>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options</w:t>
            </w:r>
          </w:p>
        </w:tc>
        <w:tc>
          <w:tcPr>
            <w:tcW w:w="540" w:type="dxa"/>
            <w:vAlign w:val="bottom"/>
          </w:tcPr>
          <w:p>
            <w:pPr>
              <w:spacing w:after="0"/>
              <w:rPr>
                <w:sz w:val="5"/>
                <w:szCs w:val="5"/>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date fair value</w:t>
            </w:r>
          </w:p>
        </w:tc>
        <w:tc>
          <w:tcPr>
            <w:tcW w:w="5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Date of Expiry</w:t>
            </w:r>
          </w:p>
        </w:tc>
        <w:tc>
          <w:tcPr>
            <w:tcW w:w="12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exercisable</w:t>
            </w: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Exercise price</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(US$000's)</w:t>
            </w: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remaining life</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53"/>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August 28, 2025</w:t>
            </w:r>
          </w:p>
        </w:tc>
        <w:tc>
          <w:tcPr>
            <w:tcW w:w="1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27,631</w:t>
            </w:r>
          </w:p>
        </w:tc>
        <w:tc>
          <w:tcPr>
            <w:tcW w:w="5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27,631</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C$9.50</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7,106</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7,106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C$28.50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November 4,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C$28.50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November 15,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9,869</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9,869</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C$28.50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November 15,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5,263</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5,263</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C$34.58</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11,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5,263</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5,263</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C$56.24</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14,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2,829</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2,829</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C$66.12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31,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2,500</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C$13.11</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31,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3,947</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3,947</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C$16.72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31, 2025</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5,263</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5,263</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C$21.28</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February 15,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1,974</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1,974</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C$77.14</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10,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5,725</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5,725</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C$52.82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15,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7,895</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7,895</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C$58.90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29,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987</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987</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C$50.16</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31,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4,342</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4,342</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C$13.11</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31,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3,339</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3,339</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C$16.72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31,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986</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986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C$21.28</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June 28,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4,475</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4,475</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C$110.20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26,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25,657</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25,657</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C$30.02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November 15,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13,158</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11,513</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C$27.17</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31, 2026</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32,896</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32,896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C$57.00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940</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4, 2027</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C$42.94</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8, 2027</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10,526</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10,526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C$38.76</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June 30, 2028</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277,949</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277,949</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C$16.72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2,580</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26, 2028</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2,632</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2,632</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C$30.02</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20, 2029</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460</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C$21.28</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April 5, 2029</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284,873</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213,620</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C$21.28</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June 30, 2032</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7,895</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7,895</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C$34.20</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August 15, 2034</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3,049,784</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3,018,336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C$13.11</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24,038</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November 27, 2034</w:t>
            </w: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80,100</w:t>
            </w:r>
          </w:p>
        </w:tc>
        <w:tc>
          <w:tcPr>
            <w:tcW w:w="5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33,000</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C$14.37</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March 7, 2035</w:t>
            </w:r>
          </w:p>
        </w:tc>
        <w:tc>
          <w:tcPr>
            <w:tcW w:w="1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17,500</w:t>
            </w:r>
          </w:p>
        </w:tc>
        <w:tc>
          <w:tcPr>
            <w:tcW w:w="15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C$10.45</w:t>
            </w: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3,945,916</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3,776,904</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33,614</w:t>
            </w: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color w:val="auto"/>
        </w:rPr>
        <w:t>The Company recognized share-based payments expense related to the issuance of stock options for the three months ended June 30, 2025 of $753 (three months ended June 30, 2024 - $2,904).</w:t>
      </w:r>
    </w:p>
    <w:p>
      <w:pPr>
        <w:spacing w:after="0" w:line="126" w:lineRule="exact"/>
        <w:rPr>
          <w:sz w:val="20"/>
          <w:szCs w:val="20"/>
          <w:color w:val="auto"/>
        </w:rPr>
      </w:pPr>
    </w:p>
    <w:p>
      <w:pPr>
        <w:jc w:val="both"/>
        <w:ind w:left="260"/>
        <w:spacing w:after="0" w:line="334" w:lineRule="auto"/>
        <w:rPr>
          <w:sz w:val="20"/>
          <w:szCs w:val="20"/>
          <w:color w:val="auto"/>
        </w:rPr>
      </w:pPr>
      <w:r>
        <w:rPr>
          <w:rFonts w:ascii="Arial" w:cs="Arial" w:eastAsia="Arial" w:hAnsi="Arial"/>
          <w:sz w:val="18"/>
          <w:szCs w:val="18"/>
          <w:color w:val="auto"/>
        </w:rPr>
        <w:t>The outstanding options and warrants disclosed above were anti-dilutive for the three months ended June 30, 2025 and 2024 and did not impact the calculation of the loss per share.</w:t>
      </w:r>
    </w:p>
    <w:p>
      <w:pPr>
        <w:sectPr>
          <w:pgSz w:w="11900" w:h="16838" w:orient="portrait"/>
          <w:cols w:equalWidth="0" w:num="1">
            <w:col w:w="11160"/>
          </w:cols>
          <w:pgMar w:left="40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Page 16 of 23</w:t>
      </w:r>
    </w:p>
    <w:p>
      <w:pPr>
        <w:sectPr>
          <w:pgSz w:w="11900" w:h="16838" w:orient="portrait"/>
          <w:cols w:equalWidth="0" w:num="1">
            <w:col w:w="11160"/>
          </w:cols>
          <w:pgMar w:left="400" w:top="233" w:right="339" w:bottom="1440" w:gutter="0" w:footer="0" w:header="0"/>
          <w:type w:val="continuous"/>
        </w:sectPr>
      </w:pPr>
    </w:p>
    <w:bookmarkStart w:id="19" w:name="page20"/>
    <w:bookmarkEnd w:id="19"/>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180"/>
        <w:spacing w:after="0" w:line="246" w:lineRule="auto"/>
        <w:rPr>
          <w:sz w:val="20"/>
          <w:szCs w:val="20"/>
          <w:color w:val="auto"/>
        </w:rPr>
      </w:pPr>
      <w:r>
        <w:rPr>
          <w:rFonts w:ascii="Arial" w:cs="Arial" w:eastAsia="Arial" w:hAnsi="Arial"/>
          <w:sz w:val="20"/>
          <w:szCs w:val="20"/>
          <w:b w:val="1"/>
          <w:bCs w:val="1"/>
          <w:color w:val="auto"/>
        </w:rPr>
        <w:t>(All amounts expressed in thousands of Canadian dollars, except share and per share amounts, and those otherwise stated in US dollars, Euros and Great Britain pounds which are in thousands.)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8. RELATED PARTY TRANSACTIONS AND BALANCES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Key management personnel include persons having the authority and responsibility for planning, directing, and controlling the activities of the Company as a whole. The Company has determined its key management personnel to be certain executive officers and directors of the Company.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remuneration of key management personnel for the three months ended June 30, 2025 and 2024 are as follows: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47"/>
        </w:trPr>
        <w:tc>
          <w:tcPr>
            <w:tcW w:w="4880" w:type="dxa"/>
            <w:vAlign w:val="bottom"/>
          </w:tcPr>
          <w:p>
            <w:pPr>
              <w:spacing w:after="0"/>
              <w:rPr>
                <w:sz w:val="21"/>
                <w:szCs w:val="21"/>
                <w:color w:val="auto"/>
              </w:rPr>
            </w:pPr>
          </w:p>
        </w:tc>
        <w:tc>
          <w:tcPr>
            <w:tcW w:w="55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 period ended June 30,</w:t>
            </w:r>
          </w:p>
        </w:tc>
        <w:tc>
          <w:tcPr>
            <w:tcW w:w="0" w:type="dxa"/>
            <w:vAlign w:val="bottom"/>
          </w:tcPr>
          <w:p>
            <w:pPr>
              <w:spacing w:after="0"/>
              <w:rPr>
                <w:sz w:val="1"/>
                <w:szCs w:val="1"/>
                <w:color w:val="auto"/>
              </w:rPr>
            </w:pPr>
          </w:p>
        </w:tc>
      </w:tr>
      <w:tr>
        <w:trPr>
          <w:trHeight w:val="297"/>
        </w:trPr>
        <w:tc>
          <w:tcPr>
            <w:tcW w:w="4880" w:type="dxa"/>
            <w:vAlign w:val="bottom"/>
          </w:tcPr>
          <w:p>
            <w:pPr>
              <w:spacing w:after="0"/>
              <w:rPr>
                <w:sz w:val="24"/>
                <w:szCs w:val="24"/>
                <w:color w:val="auto"/>
              </w:rPr>
            </w:pPr>
          </w:p>
        </w:tc>
        <w:tc>
          <w:tcPr>
            <w:tcW w:w="3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76"/>
        </w:trPr>
        <w:tc>
          <w:tcPr>
            <w:tcW w:w="4880" w:type="dxa"/>
            <w:vAlign w:val="bottom"/>
          </w:tcPr>
          <w:p>
            <w:pPr>
              <w:spacing w:after="0"/>
              <w:rPr>
                <w:sz w:val="23"/>
                <w:szCs w:val="23"/>
                <w:color w:val="auto"/>
              </w:rPr>
            </w:pPr>
          </w:p>
        </w:tc>
        <w:tc>
          <w:tcPr>
            <w:tcW w:w="39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900" w:type="dxa"/>
            <w:vAlign w:val="bottom"/>
            <w:vMerge w:val="continue"/>
          </w:tcPr>
          <w:p>
            <w:pPr>
              <w:spacing w:after="0"/>
              <w:rPr>
                <w:sz w:val="20"/>
                <w:szCs w:val="20"/>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488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4880" w:type="dxa"/>
            <w:vAlign w:val="bottom"/>
          </w:tcPr>
          <w:p>
            <w:pPr>
              <w:ind w:left="60"/>
              <w:spacing w:after="0"/>
              <w:rPr>
                <w:sz w:val="20"/>
                <w:szCs w:val="20"/>
                <w:color w:val="auto"/>
              </w:rPr>
            </w:pPr>
            <w:r>
              <w:rPr>
                <w:rFonts w:ascii="Arial" w:cs="Arial" w:eastAsia="Arial" w:hAnsi="Arial"/>
                <w:sz w:val="18"/>
                <w:szCs w:val="18"/>
                <w:color w:val="auto"/>
              </w:rPr>
              <w:t>Payroll, consulting and benefits</w:t>
            </w:r>
            <w:r>
              <w:rPr>
                <w:rFonts w:ascii="Arial" w:cs="Arial" w:eastAsia="Arial" w:hAnsi="Arial"/>
                <w:sz w:val="23"/>
                <w:szCs w:val="23"/>
                <w:color w:val="auto"/>
                <w:vertAlign w:val="superscript"/>
              </w:rPr>
              <w:t>1</w:t>
            </w:r>
          </w:p>
        </w:tc>
        <w:tc>
          <w:tcPr>
            <w:tcW w:w="3900" w:type="dxa"/>
            <w:vAlign w:val="bottom"/>
          </w:tcPr>
          <w:p>
            <w:pPr>
              <w:jc w:val="right"/>
              <w:ind w:right="190"/>
              <w:spacing w:after="0"/>
              <w:rPr>
                <w:sz w:val="20"/>
                <w:szCs w:val="20"/>
                <w:color w:val="auto"/>
              </w:rPr>
            </w:pPr>
            <w:r>
              <w:rPr>
                <w:rFonts w:ascii="Arial" w:cs="Arial" w:eastAsia="Arial" w:hAnsi="Arial"/>
                <w:sz w:val="18"/>
                <w:szCs w:val="18"/>
                <w:b w:val="1"/>
                <w:bCs w:val="1"/>
                <w:color w:val="auto"/>
              </w:rPr>
              <w:t>972</w:t>
            </w:r>
          </w:p>
        </w:tc>
        <w:tc>
          <w:tcPr>
            <w:tcW w:w="168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29"/>
        </w:trPr>
        <w:tc>
          <w:tcPr>
            <w:tcW w:w="4880" w:type="dxa"/>
            <w:vAlign w:val="bottom"/>
          </w:tcPr>
          <w:p>
            <w:pPr>
              <w:ind w:left="60"/>
              <w:spacing w:after="0"/>
              <w:rPr>
                <w:sz w:val="20"/>
                <w:szCs w:val="20"/>
                <w:color w:val="auto"/>
              </w:rPr>
            </w:pPr>
            <w:r>
              <w:rPr>
                <w:rFonts w:ascii="Arial" w:cs="Arial" w:eastAsia="Arial" w:hAnsi="Arial"/>
                <w:sz w:val="18"/>
                <w:szCs w:val="18"/>
                <w:color w:val="auto"/>
              </w:rPr>
              <w:t>Share-based compensation</w:t>
            </w:r>
          </w:p>
        </w:tc>
        <w:tc>
          <w:tcPr>
            <w:tcW w:w="3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Options</w:t>
            </w:r>
          </w:p>
        </w:tc>
        <w:tc>
          <w:tcPr>
            <w:tcW w:w="3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257</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1,229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8"/>
        <w:spacing w:after="0" w:line="268" w:lineRule="auto"/>
        <w:tabs>
          <w:tab w:leader="none" w:pos="428" w:val="left"/>
        </w:tabs>
        <w:numPr>
          <w:ilvl w:val="1"/>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 xml:space="preserve">For the three months ended </w:t>
      </w:r>
      <w:r>
        <w:rPr>
          <w:rFonts w:ascii="Arial" w:cs="Arial" w:eastAsia="Arial" w:hAnsi="Arial"/>
          <w:sz w:val="16"/>
          <w:szCs w:val="16"/>
          <w:color w:val="auto"/>
        </w:rPr>
        <w:t>June 30, 2025</w:t>
      </w:r>
      <w:r>
        <w:rPr>
          <w:rFonts w:ascii="Arial" w:cs="Arial" w:eastAsia="Arial" w:hAnsi="Arial"/>
          <w:sz w:val="16"/>
          <w:szCs w:val="16"/>
          <w:i w:val="1"/>
          <w:iCs w:val="1"/>
          <w:color w:val="auto"/>
        </w:rPr>
        <w:t>, includes $</w:t>
      </w:r>
      <w:r>
        <w:rPr>
          <w:rFonts w:ascii="Arial" w:cs="Arial" w:eastAsia="Arial" w:hAnsi="Arial"/>
          <w:sz w:val="16"/>
          <w:szCs w:val="16"/>
          <w:color w:val="auto"/>
        </w:rPr>
        <w:t>889</w:t>
      </w:r>
      <w:r>
        <w:rPr>
          <w:rFonts w:ascii="Arial" w:cs="Arial" w:eastAsia="Arial" w:hAnsi="Arial"/>
          <w:sz w:val="16"/>
          <w:szCs w:val="16"/>
          <w:i w:val="1"/>
          <w:iCs w:val="1"/>
          <w:color w:val="auto"/>
        </w:rPr>
        <w:t xml:space="preserve"> (2024 - $</w:t>
      </w:r>
      <w:r>
        <w:rPr>
          <w:rFonts w:ascii="Arial" w:cs="Arial" w:eastAsia="Arial" w:hAnsi="Arial"/>
          <w:sz w:val="16"/>
          <w:szCs w:val="16"/>
          <w:color w:val="auto"/>
        </w:rPr>
        <w:t>1,670</w:t>
      </w:r>
      <w:r>
        <w:rPr>
          <w:rFonts w:ascii="Arial" w:cs="Arial" w:eastAsia="Arial" w:hAnsi="Arial"/>
          <w:sz w:val="16"/>
          <w:szCs w:val="16"/>
          <w:i w:val="1"/>
          <w:iCs w:val="1"/>
          <w:color w:val="auto"/>
        </w:rPr>
        <w:t>) presented in the consolidated statements of loss and comprehensive loss as a part of “General and administrative costs” and $</w:t>
      </w:r>
      <w:r>
        <w:rPr>
          <w:rFonts w:ascii="Arial" w:cs="Arial" w:eastAsia="Arial" w:hAnsi="Arial"/>
          <w:sz w:val="16"/>
          <w:szCs w:val="16"/>
          <w:color w:val="auto"/>
        </w:rPr>
        <w:t>83 (2024 - $310)</w:t>
      </w:r>
      <w:r>
        <w:rPr>
          <w:rFonts w:ascii="Arial" w:cs="Arial" w:eastAsia="Arial" w:hAnsi="Arial"/>
          <w:sz w:val="16"/>
          <w:szCs w:val="16"/>
          <w:i w:val="1"/>
          <w:iCs w:val="1"/>
          <w:color w:val="auto"/>
        </w:rPr>
        <w:t xml:space="preserve"> presented in the consolidated statements of loss and comprehensive loss as a part of “Research”.</w:t>
      </w:r>
    </w:p>
    <w:p>
      <w:pPr>
        <w:spacing w:after="0" w:line="205" w:lineRule="exact"/>
        <w:rPr>
          <w:rFonts w:ascii="Arial" w:cs="Arial" w:eastAsia="Arial" w:hAnsi="Arial"/>
          <w:sz w:val="21"/>
          <w:szCs w:val="21"/>
          <w:i w:val="1"/>
          <w:iCs w:val="1"/>
          <w:color w:val="auto"/>
          <w:vertAlign w:val="superscript"/>
        </w:rPr>
      </w:pPr>
    </w:p>
    <w:p>
      <w:pPr>
        <w:ind w:left="200" w:hanging="192"/>
        <w:spacing w:after="0"/>
        <w:tabs>
          <w:tab w:leader="none" w:pos="200" w:val="left"/>
        </w:tabs>
        <w:numPr>
          <w:ilvl w:val="0"/>
          <w:numId w:val="10"/>
        </w:numPr>
        <w:rPr>
          <w:rFonts w:ascii="Arial" w:cs="Arial" w:eastAsia="Arial" w:hAnsi="Arial"/>
          <w:sz w:val="18"/>
          <w:szCs w:val="18"/>
          <w:b w:val="1"/>
          <w:bCs w:val="1"/>
          <w:color w:val="2D5F91"/>
        </w:rPr>
      </w:pPr>
      <w:r>
        <w:rPr>
          <w:rFonts w:ascii="Arial" w:cs="Arial" w:eastAsia="Arial" w:hAnsi="Arial"/>
          <w:sz w:val="18"/>
          <w:szCs w:val="18"/>
          <w:b w:val="1"/>
          <w:bCs w:val="1"/>
          <w:color w:val="2D5F91"/>
        </w:rPr>
        <w:t>RESEARCH EXPENSES</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5260" w:type="dxa"/>
            <w:vAlign w:val="bottom"/>
          </w:tcPr>
          <w:p>
            <w:pPr>
              <w:spacing w:after="0"/>
              <w:rPr>
                <w:sz w:val="21"/>
                <w:szCs w:val="21"/>
                <w:color w:val="auto"/>
              </w:rPr>
            </w:pPr>
          </w:p>
        </w:tc>
        <w:tc>
          <w:tcPr>
            <w:tcW w:w="54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Three month period ended June 30,</w:t>
            </w:r>
          </w:p>
        </w:tc>
      </w:tr>
      <w:tr>
        <w:trPr>
          <w:trHeight w:val="258"/>
        </w:trPr>
        <w:tc>
          <w:tcPr>
            <w:tcW w:w="5260" w:type="dxa"/>
            <w:vAlign w:val="bottom"/>
          </w:tcPr>
          <w:p>
            <w:pPr>
              <w:spacing w:after="0"/>
              <w:rPr>
                <w:sz w:val="22"/>
                <w:szCs w:val="22"/>
                <w:color w:val="auto"/>
              </w:rPr>
            </w:pPr>
          </w:p>
        </w:tc>
        <w:tc>
          <w:tcPr>
            <w:tcW w:w="3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70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228"/>
        </w:trPr>
        <w:tc>
          <w:tcPr>
            <w:tcW w:w="52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235"/>
        </w:trPr>
        <w:tc>
          <w:tcPr>
            <w:tcW w:w="5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260" w:type="dxa"/>
            <w:vAlign w:val="bottom"/>
          </w:tcPr>
          <w:p>
            <w:pPr>
              <w:spacing w:after="0"/>
              <w:rPr>
                <w:sz w:val="20"/>
                <w:szCs w:val="20"/>
                <w:color w:val="auto"/>
              </w:rPr>
            </w:pPr>
            <w:r>
              <w:rPr>
                <w:rFonts w:ascii="Arial" w:cs="Arial" w:eastAsia="Arial" w:hAnsi="Arial"/>
                <w:sz w:val="18"/>
                <w:szCs w:val="18"/>
                <w:color w:val="auto"/>
              </w:rPr>
              <w:t>Advancement of development programs</w:t>
            </w:r>
          </w:p>
        </w:tc>
        <w:tc>
          <w:tcPr>
            <w:tcW w:w="3700" w:type="dxa"/>
            <w:vAlign w:val="bottom"/>
          </w:tcPr>
          <w:p>
            <w:pPr>
              <w:jc w:val="right"/>
              <w:ind w:right="190"/>
              <w:spacing w:after="0"/>
              <w:rPr>
                <w:sz w:val="20"/>
                <w:szCs w:val="20"/>
                <w:color w:val="auto"/>
              </w:rPr>
            </w:pPr>
            <w:r>
              <w:rPr>
                <w:rFonts w:ascii="Arial" w:cs="Arial" w:eastAsia="Arial" w:hAnsi="Arial"/>
                <w:sz w:val="18"/>
                <w:szCs w:val="18"/>
                <w:color w:val="auto"/>
              </w:rPr>
              <w:t>12,095</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3,386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Payroll and benefits</w:t>
            </w:r>
          </w:p>
        </w:tc>
        <w:tc>
          <w:tcPr>
            <w:tcW w:w="3700" w:type="dxa"/>
            <w:vAlign w:val="bottom"/>
          </w:tcPr>
          <w:p>
            <w:pPr>
              <w:jc w:val="right"/>
              <w:ind w:right="190"/>
              <w:spacing w:after="0"/>
              <w:rPr>
                <w:sz w:val="20"/>
                <w:szCs w:val="20"/>
                <w:color w:val="auto"/>
              </w:rPr>
            </w:pPr>
            <w:r>
              <w:rPr>
                <w:rFonts w:ascii="Arial" w:cs="Arial" w:eastAsia="Arial" w:hAnsi="Arial"/>
                <w:sz w:val="18"/>
                <w:szCs w:val="18"/>
                <w:color w:val="auto"/>
              </w:rPr>
              <w:t>2,596</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2,155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Lab and administration</w:t>
            </w:r>
          </w:p>
        </w:tc>
        <w:tc>
          <w:tcPr>
            <w:tcW w:w="3700" w:type="dxa"/>
            <w:vAlign w:val="bottom"/>
          </w:tcPr>
          <w:p>
            <w:pPr>
              <w:jc w:val="right"/>
              <w:ind w:right="190"/>
              <w:spacing w:after="0"/>
              <w:rPr>
                <w:sz w:val="20"/>
                <w:szCs w:val="20"/>
                <w:color w:val="auto"/>
              </w:rPr>
            </w:pPr>
            <w:r>
              <w:rPr>
                <w:rFonts w:ascii="Arial" w:cs="Arial" w:eastAsia="Arial" w:hAnsi="Arial"/>
                <w:sz w:val="18"/>
                <w:szCs w:val="18"/>
                <w:color w:val="auto"/>
              </w:rPr>
              <w:t>280</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3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Professional and consulting fees</w:t>
            </w:r>
          </w:p>
        </w:tc>
        <w:tc>
          <w:tcPr>
            <w:tcW w:w="3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r>
      <w:tr>
        <w:trPr>
          <w:trHeight w:val="223"/>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14,995</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17 of 23</w:t>
      </w:r>
    </w:p>
    <w:p>
      <w:pPr>
        <w:sectPr>
          <w:pgSz w:w="11900" w:h="16838" w:orient="portrait"/>
          <w:cols w:equalWidth="0" w:num="1">
            <w:col w:w="11240"/>
          </w:cols>
          <w:pgMar w:left="320" w:top="233" w:right="339" w:bottom="1440" w:gutter="0" w:footer="0" w:header="0"/>
        </w:sectPr>
      </w:pPr>
    </w:p>
    <w:bookmarkStart w:id="20" w:name="page21"/>
    <w:bookmarkEnd w:id="20"/>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60" w:type="dxa"/>
            <w:vAlign w:val="bottom"/>
            <w:gridSpan w:val="2"/>
          </w:tcPr>
          <w:p>
            <w:pPr>
              <w:spacing w:after="0"/>
              <w:rPr>
                <w:sz w:val="20"/>
                <w:szCs w:val="20"/>
                <w:color w:val="auto"/>
              </w:rPr>
            </w:pPr>
            <w:r>
              <w:rPr>
                <w:rFonts w:ascii="Arial" w:cs="Arial" w:eastAsia="Arial" w:hAnsi="Arial"/>
                <w:sz w:val="18"/>
                <w:szCs w:val="18"/>
                <w:b w:val="1"/>
                <w:bCs w:val="1"/>
                <w:color w:val="2D5F91"/>
              </w:rPr>
              <w:t>10. GENERAL AND ADMINISTRATIVE EXPENSES</w:t>
            </w:r>
          </w:p>
        </w:tc>
        <w:tc>
          <w:tcPr>
            <w:tcW w:w="32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455"/>
        </w:trPr>
        <w:tc>
          <w:tcPr>
            <w:tcW w:w="3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1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Three month period ended June 30,</w:t>
            </w:r>
          </w:p>
        </w:tc>
      </w:tr>
      <w:tr>
        <w:trPr>
          <w:trHeight w:val="232"/>
        </w:trPr>
        <w:tc>
          <w:tcPr>
            <w:tcW w:w="3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27"/>
        </w:trPr>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235"/>
        </w:trPr>
        <w:tc>
          <w:tcPr>
            <w:tcW w:w="34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34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2,908</w:t>
            </w:r>
          </w:p>
        </w:tc>
        <w:tc>
          <w:tcPr>
            <w:tcW w:w="18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Capital market</w:t>
            </w: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2,059</w:t>
            </w:r>
          </w:p>
        </w:tc>
        <w:tc>
          <w:tcPr>
            <w:tcW w:w="186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30"/>
        </w:trPr>
        <w:tc>
          <w:tcPr>
            <w:tcW w:w="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Payroll and benefits</w:t>
            </w: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1,607</w:t>
            </w:r>
          </w:p>
        </w:tc>
        <w:tc>
          <w:tcPr>
            <w:tcW w:w="186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29"/>
        </w:trPr>
        <w:tc>
          <w:tcPr>
            <w:tcW w:w="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Business development</w:t>
            </w: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1,125</w:t>
            </w:r>
          </w:p>
        </w:tc>
        <w:tc>
          <w:tcPr>
            <w:tcW w:w="18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Office and administration</w:t>
            </w: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770</w:t>
            </w:r>
          </w:p>
        </w:tc>
        <w:tc>
          <w:tcPr>
            <w:tcW w:w="186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Investor relations and marketing media</w:t>
            </w: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381</w:t>
            </w:r>
          </w:p>
        </w:tc>
        <w:tc>
          <w:tcPr>
            <w:tcW w:w="18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5"/>
        </w:trPr>
        <w:tc>
          <w:tcPr>
            <w:tcW w:w="340" w:type="dxa"/>
            <w:vAlign w:val="bottom"/>
          </w:tcPr>
          <w:p>
            <w:pPr>
              <w:spacing w:after="0"/>
              <w:rPr>
                <w:sz w:val="20"/>
                <w:szCs w:val="20"/>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Listing fees</w:t>
            </w:r>
          </w:p>
        </w:tc>
        <w:tc>
          <w:tcPr>
            <w:tcW w:w="3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26</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340" w:type="dxa"/>
            <w:vAlign w:val="bottom"/>
          </w:tcPr>
          <w:p>
            <w:pPr>
              <w:spacing w:after="0"/>
              <w:rPr>
                <w:sz w:val="19"/>
                <w:szCs w:val="19"/>
                <w:color w:val="auto"/>
              </w:rPr>
            </w:pPr>
          </w:p>
        </w:tc>
        <w:tc>
          <w:tcPr>
            <w:tcW w:w="5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8,876</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11. CONTRACTS, COMMITMENTS AND CONTINGENCIES</w:t>
      </w:r>
    </w:p>
    <w:p>
      <w:pPr>
        <w:spacing w:after="0" w:line="225"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As at June 30, 2025, the Company had entered into agreements for various studies which may require the Company to spend up to an additional $62,712. The Company expects to pay this amount within the 24 months ending June 30, 2027,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146" w:lineRule="exact"/>
        <w:rPr>
          <w:sz w:val="20"/>
          <w:szCs w:val="20"/>
          <w:color w:val="auto"/>
        </w:rPr>
      </w:pPr>
    </w:p>
    <w:p>
      <w:pPr>
        <w:jc w:val="both"/>
        <w:ind w:left="340"/>
        <w:spacing w:after="0" w:line="294" w:lineRule="auto"/>
        <w:rPr>
          <w:sz w:val="20"/>
          <w:szCs w:val="20"/>
          <w:color w:val="auto"/>
        </w:rPr>
      </w:pPr>
      <w:r>
        <w:rPr>
          <w:rFonts w:ascii="Arial" w:cs="Arial" w:eastAsia="Arial" w:hAnsi="Arial"/>
          <w:sz w:val="18"/>
          <w:szCs w:val="18"/>
          <w:color w:val="auto"/>
        </w:rPr>
        <w:t>In addition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$9,500. At the sole discretion of Cybin, the milestones may be paid in cash or in Common Shares, or a combination thereof, subject to the approval of Cboe Canada.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condensed interim consolidated financial statements.</w:t>
      </w:r>
    </w:p>
    <w:p>
      <w:pPr>
        <w:spacing w:after="0" w:line="135"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In the normal course of business, the Company may be subject to legal proceedings and claims. As at June 30, 2025, there was no ongoing litigation and therefore no contingent liabilities have been recorded in the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18 of 23</w:t>
      </w:r>
    </w:p>
    <w:p>
      <w:pPr>
        <w:sectPr>
          <w:pgSz w:w="11900" w:h="16838" w:orient="portrait"/>
          <w:cols w:equalWidth="0" w:num="1">
            <w:col w:w="11240"/>
          </w:cols>
          <w:pgMar w:left="320" w:top="233" w:right="339" w:bottom="1440" w:gutter="0" w:footer="0" w:header="0"/>
        </w:sectPr>
      </w:pPr>
    </w:p>
    <w:bookmarkStart w:id="21" w:name="page22"/>
    <w:bookmarkEnd w:id="21"/>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2D5F91"/>
        </w:rPr>
      </w:pPr>
      <w:r>
        <w:rPr>
          <w:rFonts w:ascii="Arial" w:cs="Arial" w:eastAsia="Arial" w:hAnsi="Arial"/>
          <w:sz w:val="18"/>
          <w:szCs w:val="18"/>
          <w:b w:val="1"/>
          <w:bCs w:val="1"/>
          <w:color w:val="2D5F91"/>
        </w:rPr>
        <w:t>CAPITAL MANAGEMENT</w:t>
      </w:r>
    </w:p>
    <w:p>
      <w:pPr>
        <w:spacing w:after="0" w:line="225" w:lineRule="exact"/>
        <w:rPr>
          <w:sz w:val="20"/>
          <w:szCs w:val="20"/>
          <w:color w:val="auto"/>
        </w:rPr>
      </w:pPr>
    </w:p>
    <w:p>
      <w:pPr>
        <w:jc w:val="both"/>
        <w:ind w:left="340"/>
        <w:spacing w:after="0" w:line="295"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50" w:lineRule="exact"/>
        <w:rPr>
          <w:sz w:val="20"/>
          <w:szCs w:val="20"/>
          <w:color w:val="auto"/>
        </w:rPr>
      </w:pPr>
    </w:p>
    <w:p>
      <w:pPr>
        <w:jc w:val="both"/>
        <w:ind w:left="340"/>
        <w:spacing w:after="0" w:line="304" w:lineRule="auto"/>
        <w:rPr>
          <w:sz w:val="20"/>
          <w:szCs w:val="20"/>
          <w:color w:val="auto"/>
        </w:rPr>
      </w:pPr>
      <w:r>
        <w:rPr>
          <w:rFonts w:ascii="Arial" w:cs="Arial" w:eastAsia="Arial" w:hAnsi="Arial"/>
          <w:sz w:val="18"/>
          <w:szCs w:val="18"/>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39"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The Company’s capital management objectives, policies and processes generally remained unchanged during the three months ended June 30, 2025.</w:t>
      </w:r>
    </w:p>
    <w:p>
      <w:pPr>
        <w:spacing w:after="0" w:line="126"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Company requires capital to fund existing and future operations. The Company’s policy is to maintain adequate levels of capital at all times.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900" w:type="dxa"/>
            <w:vAlign w:val="bottom"/>
          </w:tcPr>
          <w:p>
            <w:pPr>
              <w:spacing w:after="0"/>
              <w:rPr>
                <w:sz w:val="20"/>
                <w:szCs w:val="20"/>
                <w:color w:val="auto"/>
              </w:rPr>
            </w:pPr>
            <w:r>
              <w:rPr>
                <w:rFonts w:ascii="Arial" w:cs="Arial" w:eastAsia="Arial" w:hAnsi="Arial"/>
                <w:sz w:val="18"/>
                <w:szCs w:val="18"/>
                <w:color w:val="auto"/>
              </w:rPr>
              <w:t>The Company’s capital structure includes the following:</w:t>
            </w:r>
          </w:p>
        </w:tc>
        <w:tc>
          <w:tcPr>
            <w:tcW w:w="28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2"/>
        </w:trPr>
        <w:tc>
          <w:tcPr>
            <w:tcW w:w="590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288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 2025</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37"/>
        </w:trPr>
        <w:tc>
          <w:tcPr>
            <w:tcW w:w="5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305"/>
        </w:trPr>
        <w:tc>
          <w:tcPr>
            <w:tcW w:w="5900" w:type="dxa"/>
            <w:vAlign w:val="bottom"/>
          </w:tcPr>
          <w:p>
            <w:pPr>
              <w:spacing w:after="0"/>
              <w:rPr>
                <w:sz w:val="24"/>
                <w:szCs w:val="24"/>
                <w:color w:val="auto"/>
              </w:rPr>
            </w:pPr>
          </w:p>
        </w:tc>
        <w:tc>
          <w:tcPr>
            <w:tcW w:w="28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
        </w:trPr>
        <w:tc>
          <w:tcPr>
            <w:tcW w:w="590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18"/>
        </w:trPr>
        <w:tc>
          <w:tcPr>
            <w:tcW w:w="5900" w:type="dxa"/>
            <w:vAlign w:val="bottom"/>
          </w:tcPr>
          <w:p>
            <w:pPr>
              <w:ind w:left="60"/>
              <w:spacing w:after="0"/>
              <w:rPr>
                <w:sz w:val="20"/>
                <w:szCs w:val="20"/>
                <w:color w:val="auto"/>
              </w:rPr>
            </w:pPr>
            <w:r>
              <w:rPr>
                <w:rFonts w:ascii="Arial" w:cs="Arial" w:eastAsia="Arial" w:hAnsi="Arial"/>
                <w:sz w:val="18"/>
                <w:szCs w:val="18"/>
                <w:color w:val="auto"/>
              </w:rPr>
              <w:t>Shareholders’ equity comprised of:</w:t>
            </w:r>
          </w:p>
        </w:tc>
        <w:tc>
          <w:tcPr>
            <w:tcW w:w="28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Share capital</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333,146</w:t>
            </w:r>
          </w:p>
        </w:tc>
        <w:tc>
          <w:tcPr>
            <w:tcW w:w="1680" w:type="dxa"/>
            <w:vAlign w:val="bottom"/>
          </w:tcPr>
          <w:p>
            <w:pPr>
              <w:jc w:val="right"/>
              <w:spacing w:after="0"/>
              <w:rPr>
                <w:sz w:val="20"/>
                <w:szCs w:val="20"/>
                <w:color w:val="auto"/>
              </w:rPr>
            </w:pPr>
            <w:r>
              <w:rPr>
                <w:rFonts w:ascii="Arial" w:cs="Arial" w:eastAsia="Arial" w:hAnsi="Arial"/>
                <w:sz w:val="18"/>
                <w:szCs w:val="18"/>
                <w:color w:val="auto"/>
              </w:rPr>
              <w:t>344,949</w:t>
            </w:r>
          </w:p>
        </w:tc>
      </w:tr>
      <w:tr>
        <w:trPr>
          <w:trHeight w:val="229"/>
        </w:trPr>
        <w:tc>
          <w:tcPr>
            <w:tcW w:w="590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31,024</w:t>
            </w:r>
          </w:p>
        </w:tc>
        <w:tc>
          <w:tcPr>
            <w:tcW w:w="1680" w:type="dxa"/>
            <w:vAlign w:val="bottom"/>
          </w:tcPr>
          <w:p>
            <w:pPr>
              <w:jc w:val="right"/>
              <w:spacing w:after="0"/>
              <w:rPr>
                <w:sz w:val="20"/>
                <w:szCs w:val="20"/>
                <w:color w:val="auto"/>
              </w:rPr>
            </w:pPr>
            <w:r>
              <w:rPr>
                <w:rFonts w:ascii="Arial" w:cs="Arial" w:eastAsia="Arial" w:hAnsi="Arial"/>
                <w:sz w:val="18"/>
                <w:szCs w:val="18"/>
                <w:color w:val="auto"/>
              </w:rPr>
              <w:t>32,626</w:t>
            </w: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Options reserve</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33,614</w:t>
            </w:r>
          </w:p>
        </w:tc>
        <w:tc>
          <w:tcPr>
            <w:tcW w:w="1680" w:type="dxa"/>
            <w:vAlign w:val="bottom"/>
          </w:tcPr>
          <w:p>
            <w:pPr>
              <w:jc w:val="right"/>
              <w:spacing w:after="0"/>
              <w:rPr>
                <w:sz w:val="20"/>
                <w:szCs w:val="20"/>
                <w:color w:val="auto"/>
              </w:rPr>
            </w:pPr>
            <w:r>
              <w:rPr>
                <w:rFonts w:ascii="Arial" w:cs="Arial" w:eastAsia="Arial" w:hAnsi="Arial"/>
                <w:sz w:val="18"/>
                <w:szCs w:val="18"/>
                <w:color w:val="auto"/>
              </w:rPr>
              <w:t>36,262</w:t>
            </w: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Warrants reserve</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19,194</w:t>
            </w:r>
          </w:p>
        </w:tc>
        <w:tc>
          <w:tcPr>
            <w:tcW w:w="1680" w:type="dxa"/>
            <w:vAlign w:val="bottom"/>
          </w:tcPr>
          <w:p>
            <w:pPr>
              <w:jc w:val="right"/>
              <w:spacing w:after="0"/>
              <w:rPr>
                <w:sz w:val="20"/>
                <w:szCs w:val="20"/>
                <w:color w:val="auto"/>
              </w:rPr>
            </w:pPr>
            <w:r>
              <w:rPr>
                <w:rFonts w:ascii="Arial" w:cs="Arial" w:eastAsia="Arial" w:hAnsi="Arial"/>
                <w:sz w:val="18"/>
                <w:szCs w:val="18"/>
                <w:color w:val="auto"/>
              </w:rPr>
              <w:t>20,493</w:t>
            </w: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932</w:t>
            </w:r>
          </w:p>
        </w:tc>
        <w:tc>
          <w:tcPr>
            <w:tcW w:w="1680" w:type="dxa"/>
            <w:vAlign w:val="bottom"/>
          </w:tcPr>
          <w:p>
            <w:pPr>
              <w:jc w:val="right"/>
              <w:spacing w:after="0"/>
              <w:rPr>
                <w:sz w:val="20"/>
                <w:szCs w:val="20"/>
                <w:color w:val="auto"/>
              </w:rPr>
            </w:pPr>
            <w:r>
              <w:rPr>
                <w:rFonts w:ascii="Arial" w:cs="Arial" w:eastAsia="Arial" w:hAnsi="Arial"/>
                <w:sz w:val="18"/>
                <w:szCs w:val="18"/>
                <w:color w:val="auto"/>
              </w:rPr>
              <w:t>(13,940)</w:t>
            </w:r>
          </w:p>
        </w:tc>
      </w:tr>
      <w:tr>
        <w:trPr>
          <w:trHeight w:val="235"/>
        </w:trPr>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Deficit</w:t>
            </w:r>
          </w:p>
        </w:tc>
        <w:tc>
          <w:tcPr>
            <w:tcW w:w="2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(266,150)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(255,393)</w:t>
            </w:r>
          </w:p>
        </w:tc>
      </w:tr>
      <w:tr>
        <w:trPr>
          <w:trHeight w:val="223"/>
        </w:trPr>
        <w:tc>
          <w:tcPr>
            <w:tcW w:w="5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151,760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19 of 23</w:t>
      </w:r>
    </w:p>
    <w:p>
      <w:pPr>
        <w:sectPr>
          <w:pgSz w:w="11900" w:h="16838" w:orient="portrait"/>
          <w:cols w:equalWidth="0" w:num="1">
            <w:col w:w="11240"/>
          </w:cols>
          <w:pgMar w:left="320" w:top="233" w:right="339" w:bottom="1440" w:gutter="0" w:footer="0" w:header="0"/>
        </w:sectPr>
      </w:pPr>
    </w:p>
    <w:bookmarkStart w:id="22" w:name="page23"/>
    <w:bookmarkEnd w:id="22"/>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2D5F91"/>
        </w:rPr>
      </w:pPr>
      <w:r>
        <w:rPr>
          <w:rFonts w:ascii="Arial" w:cs="Arial" w:eastAsia="Arial" w:hAnsi="Arial"/>
          <w:sz w:val="18"/>
          <w:szCs w:val="18"/>
          <w:b w:val="1"/>
          <w:bCs w:val="1"/>
          <w:color w:val="2D5F91"/>
        </w:rPr>
        <w:t>FINANCIAL INSTRUMENTS</w:t>
      </w:r>
    </w:p>
    <w:p>
      <w:pPr>
        <w:spacing w:after="0" w:line="225"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Company’s financial instruments are exposed to certain financial risks, which include currency risk, credit risk, liquidity risk and interest rate risk.</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r>
              <w:rPr>
                <w:rFonts w:ascii="Arial" w:cs="Arial" w:eastAsia="Arial" w:hAnsi="Arial"/>
                <w:sz w:val="18"/>
                <w:szCs w:val="18"/>
                <w:color w:val="auto"/>
              </w:rPr>
              <w:t>The Company has classified its financial instruments as follows:</w:t>
            </w:r>
          </w:p>
        </w:tc>
        <w:tc>
          <w:tcPr>
            <w:tcW w:w="2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8"/>
        </w:trPr>
        <w:tc>
          <w:tcPr>
            <w:tcW w:w="624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256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 2025</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37"/>
        </w:trPr>
        <w:tc>
          <w:tcPr>
            <w:tcW w:w="6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305"/>
        </w:trPr>
        <w:tc>
          <w:tcPr>
            <w:tcW w:w="6240" w:type="dxa"/>
            <w:vAlign w:val="bottom"/>
          </w:tcPr>
          <w:p>
            <w:pPr>
              <w:spacing w:after="0"/>
              <w:rPr>
                <w:sz w:val="24"/>
                <w:szCs w:val="24"/>
                <w:color w:val="auto"/>
              </w:rPr>
            </w:pPr>
          </w:p>
        </w:tc>
        <w:tc>
          <w:tcPr>
            <w:tcW w:w="2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
        </w:trPr>
        <w:tc>
          <w:tcPr>
            <w:tcW w:w="624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18"/>
        </w:trPr>
        <w:tc>
          <w:tcPr>
            <w:tcW w:w="624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fair value:</w:t>
            </w:r>
          </w:p>
        </w:tc>
        <w:tc>
          <w:tcPr>
            <w:tcW w:w="25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6240" w:type="dxa"/>
            <w:vAlign w:val="bottom"/>
          </w:tcPr>
          <w:p>
            <w:pPr>
              <w:ind w:left="160"/>
              <w:spacing w:after="0"/>
              <w:rPr>
                <w:sz w:val="20"/>
                <w:szCs w:val="20"/>
                <w:color w:val="auto"/>
              </w:rPr>
            </w:pPr>
            <w:r>
              <w:rPr>
                <w:rFonts w:ascii="Arial" w:cs="Arial" w:eastAsia="Arial" w:hAnsi="Arial"/>
                <w:sz w:val="18"/>
                <w:szCs w:val="18"/>
                <w:color w:val="auto"/>
              </w:rPr>
              <w:t>Cash</w:t>
            </w:r>
          </w:p>
        </w:tc>
        <w:tc>
          <w:tcPr>
            <w:tcW w:w="2560" w:type="dxa"/>
            <w:vAlign w:val="bottom"/>
          </w:tcPr>
          <w:p>
            <w:pPr>
              <w:jc w:val="right"/>
              <w:ind w:right="170"/>
              <w:spacing w:after="0"/>
              <w:rPr>
                <w:sz w:val="20"/>
                <w:szCs w:val="20"/>
                <w:color w:val="auto"/>
              </w:rPr>
            </w:pPr>
            <w:r>
              <w:rPr>
                <w:rFonts w:ascii="Arial" w:cs="Arial" w:eastAsia="Arial" w:hAnsi="Arial"/>
                <w:sz w:val="18"/>
                <w:szCs w:val="18"/>
                <w:b w:val="1"/>
                <w:bCs w:val="1"/>
                <w:color w:val="auto"/>
              </w:rPr>
              <w:t>118,692</w:t>
            </w:r>
          </w:p>
        </w:tc>
        <w:tc>
          <w:tcPr>
            <w:tcW w:w="1660" w:type="dxa"/>
            <w:vAlign w:val="bottom"/>
          </w:tcPr>
          <w:p>
            <w:pPr>
              <w:jc w:val="right"/>
              <w:spacing w:after="0"/>
              <w:rPr>
                <w:sz w:val="20"/>
                <w:szCs w:val="20"/>
                <w:color w:val="auto"/>
              </w:rPr>
            </w:pPr>
            <w:r>
              <w:rPr>
                <w:rFonts w:ascii="Arial" w:cs="Arial" w:eastAsia="Arial" w:hAnsi="Arial"/>
                <w:sz w:val="18"/>
                <w:szCs w:val="18"/>
                <w:color w:val="auto"/>
              </w:rPr>
              <w:t>93,922</w:t>
            </w:r>
          </w:p>
        </w:tc>
      </w:tr>
      <w:tr>
        <w:trPr>
          <w:trHeight w:val="229"/>
        </w:trPr>
        <w:tc>
          <w:tcPr>
            <w:tcW w:w="624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amortized cost:</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2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560" w:type="dxa"/>
            <w:vAlign w:val="bottom"/>
          </w:tcPr>
          <w:p>
            <w:pPr>
              <w:jc w:val="right"/>
              <w:ind w:right="170"/>
              <w:spacing w:after="0"/>
              <w:rPr>
                <w:sz w:val="20"/>
                <w:szCs w:val="20"/>
                <w:color w:val="auto"/>
              </w:rPr>
            </w:pPr>
            <w:r>
              <w:rPr>
                <w:rFonts w:ascii="Arial" w:cs="Arial" w:eastAsia="Arial" w:hAnsi="Arial"/>
                <w:sz w:val="18"/>
                <w:szCs w:val="18"/>
                <w:b w:val="1"/>
                <w:bCs w:val="1"/>
                <w:color w:val="auto"/>
              </w:rPr>
              <w:t>305</w:t>
            </w:r>
          </w:p>
        </w:tc>
        <w:tc>
          <w:tcPr>
            <w:tcW w:w="16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6240" w:type="dxa"/>
            <w:vAlign w:val="bottom"/>
          </w:tcPr>
          <w:p>
            <w:pPr>
              <w:ind w:left="60"/>
              <w:spacing w:after="0"/>
              <w:rPr>
                <w:sz w:val="20"/>
                <w:szCs w:val="20"/>
                <w:color w:val="auto"/>
              </w:rPr>
            </w:pPr>
            <w:r>
              <w:rPr>
                <w:rFonts w:ascii="Arial" w:cs="Arial" w:eastAsia="Arial" w:hAnsi="Arial"/>
                <w:sz w:val="18"/>
                <w:szCs w:val="18"/>
                <w:b w:val="1"/>
                <w:bCs w:val="1"/>
                <w:color w:val="auto"/>
              </w:rPr>
              <w:t>Financial liabilities, measured at fair value:</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240" w:type="dxa"/>
            <w:vAlign w:val="bottom"/>
          </w:tcPr>
          <w:p>
            <w:pPr>
              <w:ind w:left="160"/>
              <w:spacing w:after="0"/>
              <w:rPr>
                <w:sz w:val="20"/>
                <w:szCs w:val="20"/>
                <w:color w:val="auto"/>
              </w:rPr>
            </w:pPr>
            <w:r>
              <w:rPr>
                <w:rFonts w:ascii="Arial" w:cs="Arial" w:eastAsia="Arial" w:hAnsi="Arial"/>
                <w:sz w:val="18"/>
                <w:szCs w:val="18"/>
                <w:color w:val="auto"/>
              </w:rPr>
              <w:t>Convertible debentures</w:t>
            </w:r>
          </w:p>
        </w:tc>
        <w:tc>
          <w:tcPr>
            <w:tcW w:w="2560" w:type="dxa"/>
            <w:vAlign w:val="bottom"/>
          </w:tcPr>
          <w:p>
            <w:pPr>
              <w:jc w:val="right"/>
              <w:ind w:right="170"/>
              <w:spacing w:after="0"/>
              <w:rPr>
                <w:sz w:val="20"/>
                <w:szCs w:val="20"/>
                <w:color w:val="auto"/>
              </w:rPr>
            </w:pPr>
            <w:r>
              <w:rPr>
                <w:rFonts w:ascii="Arial" w:cs="Arial" w:eastAsia="Arial" w:hAnsi="Arial"/>
                <w:sz w:val="18"/>
                <w:szCs w:val="18"/>
                <w:b w:val="1"/>
                <w:bCs w:val="1"/>
                <w:color w:val="auto"/>
              </w:rPr>
              <w:t>44,500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ind w:left="60"/>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5"/>
        </w:trPr>
        <w:tc>
          <w:tcPr>
            <w:tcW w:w="6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14,553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r>
    </w:tbl>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financial instruments approximate their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hierarchy of financial instruments</w:t>
      </w:r>
    </w:p>
    <w:p>
      <w:pPr>
        <w:spacing w:after="0" w:line="225"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112"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Level 1: Fair value is based on unadjusted quoted prices for identical assets or liabilities in an active market. The types of assets and liabilities classified as Level 1 generally included cash.</w:t>
      </w:r>
    </w:p>
    <w:p>
      <w:pPr>
        <w:spacing w:after="0" w:line="126"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3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Convertible Debentures are classified as Level 3, refer to note 6 for further details.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of the fair value hierarchy for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20 of 23</w:t>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Day 1 gains/losses</w:t>
      </w:r>
    </w:p>
    <w:p>
      <w:pPr>
        <w:spacing w:after="0" w:line="225"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Upon acquisition of a financial instrument, the Company measures its fair value and compares this to the acquisition price. The difference is recognized as a gain or loss only if fair value is based on a quoted price in an active market or based on a valuation technique that uses only data from observable markets. As as June 30, 2025, the Company had an unrecognized day 1 loss on the Convertible Debentures of $1,200.</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risk</w:t>
      </w:r>
    </w:p>
    <w:p>
      <w:pPr>
        <w:spacing w:after="0" w:line="212" w:lineRule="exact"/>
        <w:rPr>
          <w:sz w:val="20"/>
          <w:szCs w:val="20"/>
          <w:color w:val="auto"/>
        </w:rPr>
      </w:pPr>
    </w:p>
    <w:p>
      <w:pPr>
        <w:jc w:val="both"/>
        <w:ind w:left="260"/>
        <w:spacing w:after="0" w:line="325" w:lineRule="auto"/>
        <w:rPr>
          <w:sz w:val="20"/>
          <w:szCs w:val="20"/>
          <w:color w:val="auto"/>
        </w:rPr>
      </w:pPr>
      <w:r>
        <w:rPr>
          <w:rFonts w:ascii="Arial" w:cs="Arial" w:eastAsia="Arial" w:hAnsi="Arial"/>
          <w:sz w:val="18"/>
          <w:szCs w:val="18"/>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creditworthiness. As at June 30, 2025 the Company’s maximum exposure to credit risk is the carrying value of its financial assets.</w:t>
      </w:r>
    </w:p>
    <w:p>
      <w:pPr>
        <w:spacing w:after="0" w:line="121"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 Convertible Debentures measured at fair value through profit or loss are exposed to credit risk. The fair value of this liability reflects the Company’s own credit risk, which is considered in the valuation models. Changes in the Company’s creditworthiness can materially affect the fair value of this liability and consequently impact profit or loss.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Liquidity risk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Liquidity risk is the risk that an entity will encounter difficulty in raising funds to meet commitments associated with financial instruments.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manages liquidity by maintaining adequate cash balances to meet liabilities as they become due.</w:t>
      </w:r>
    </w:p>
    <w:p>
      <w:pPr>
        <w:spacing w:after="0" w:line="225"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As at June 30, 2025, the Company had cash of $118,692 (March 31, 2025 - $93,922) in order to meet current liabilities. Current liabilities include accounts payable and accrued liabilities of $14,553 (March 31, 2025 - $14,900). All amounts are due within the next 12 months. Non current liabilities include a hybrid convertible debt instrument, the Convertible Debentures, with a contractual undiscounted cash flow $50,000 maturing on June 30, 2027. Although the Company expects the Convertible Debentures to be converted to equity prior to maturity, the analysis below reflects the full contractual cash flow in accordance with IFRS 7.</w:t>
      </w:r>
    </w:p>
    <w:p>
      <w:pPr>
        <w:spacing w:after="0" w:line="20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Liability</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Due within 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Due between 1</w:t>
            </w:r>
          </w:p>
        </w:tc>
        <w:tc>
          <w:tcPr>
            <w:tcW w:w="1860" w:type="dxa"/>
            <w:vAlign w:val="bottom"/>
          </w:tcPr>
          <w:p>
            <w:pPr>
              <w:jc w:val="right"/>
              <w:ind w:right="370"/>
              <w:spacing w:after="0"/>
              <w:rPr>
                <w:sz w:val="20"/>
                <w:szCs w:val="20"/>
                <w:color w:val="auto"/>
              </w:rPr>
            </w:pPr>
            <w:r>
              <w:rPr>
                <w:rFonts w:ascii="Arial" w:cs="Arial" w:eastAsia="Arial" w:hAnsi="Arial"/>
                <w:sz w:val="18"/>
                <w:szCs w:val="18"/>
                <w:b w:val="1"/>
                <w:bCs w:val="1"/>
                <w:color w:val="auto"/>
              </w:rPr>
              <w:t>Due between 2</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vMerge w:val="continue"/>
          </w:tcPr>
          <w:p>
            <w:pPr>
              <w:spacing w:after="0"/>
              <w:rPr>
                <w:sz w:val="20"/>
                <w:szCs w:val="20"/>
                <w:color w:val="auto"/>
              </w:rPr>
            </w:pPr>
          </w:p>
        </w:tc>
        <w:tc>
          <w:tcPr>
            <w:tcW w:w="1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and 2 years</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and 5 years</w:t>
            </w: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14,553</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Convertible Debentures</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1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14,553</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50</w:t>
            </w: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21 of 23</w:t>
      </w:r>
    </w:p>
    <w:p>
      <w:pPr>
        <w:sectPr>
          <w:pgSz w:w="11900" w:h="16838" w:orient="portrait"/>
          <w:cols w:equalWidth="0" w:num="1">
            <w:col w:w="11160"/>
          </w:cols>
          <w:pgMar w:left="400" w:top="233"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market risks to which the Company is exposed are interest rate risk, equity price risk and currency risk.</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3"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Interest rate risk is the risk that the fair value or the future cash flows of a financial instrument will fluctuate because of changes in market interest rates. In seeking to minimize the risks from interest rate fluctuations, the Company manages exposure through its normal operating and financing activities. Assuming that all other variables remain constant, as at June 30, 2025, a 1% decline on the interest rate generated on cash would have resulted in a reduction of interest income of $711 over a one-year period.</w:t>
      </w:r>
    </w:p>
    <w:p>
      <w:pPr>
        <w:spacing w:after="0" w:line="193" w:lineRule="exact"/>
        <w:rPr>
          <w:sz w:val="20"/>
          <w:szCs w:val="20"/>
          <w:color w:val="auto"/>
        </w:rPr>
      </w:pPr>
    </w:p>
    <w:p>
      <w:pPr>
        <w:jc w:val="both"/>
        <w:ind w:left="260"/>
        <w:spacing w:after="0" w:line="292" w:lineRule="auto"/>
        <w:rPr>
          <w:sz w:val="20"/>
          <w:szCs w:val="20"/>
          <w:color w:val="auto"/>
        </w:rPr>
      </w:pPr>
      <w:r>
        <w:rPr>
          <w:rFonts w:ascii="Arial" w:cs="Arial" w:eastAsia="Arial" w:hAnsi="Arial"/>
          <w:sz w:val="18"/>
          <w:szCs w:val="18"/>
          <w:color w:val="auto"/>
        </w:rPr>
        <w:t>The Company is also exposed to interest rate risk in relation to the outstanding Convertible Debentures. Although the Company has prepaid the interest and is not exposed to cash flow interest rate risk, changes in market interest rates may affect the fair value of the Convertible Debentures.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Equity price risk</w:t>
      </w:r>
    </w:p>
    <w:p>
      <w:pPr>
        <w:spacing w:after="0" w:line="223"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The Company is exposed to equity price risk arising from the Convertible Debentures, which is convertible into Common Shares of the Company at a conversion price per Common Share equal to the lower of (a) $10.92, which is equal to 130% of the VWAP of the Common Shares on the day prior to the initial issuance of the Convertible Debentures, or (b) the VWAP of the Common Shares during the five trading days immediately prior to conversion. Equity price risk arises from potential fluctuations in the market price of the Company’s Common Shares, which directly impact the number of shares to be issued upon conversion and the fair value of the Convertible Debentures.</w:t>
      </w:r>
    </w:p>
    <w:p>
      <w:pPr>
        <w:spacing w:after="0" w:line="14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 fair value of the conversion feature of the Convertible Debentures is measured at fair value through profit or loss and is remeasured at each reporting date. Changes in the price per Common Share results in corresponding changes to the fair value of the Convertible Debentures.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Currency risk</w:t>
      </w:r>
    </w:p>
    <w:p>
      <w:pPr>
        <w:spacing w:after="0" w:line="223"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 Company is exposed to currency risk to the extent that monetary operational expenses are denominated in both CAD and USD while the functional currency of USD is used for reporting. The Company has not entered into any foreign currency contracts to mitigate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22 of 23</w:t>
      </w:r>
    </w:p>
    <w:p>
      <w:pPr>
        <w:sectPr>
          <w:pgSz w:w="11900" w:h="16838" w:orient="portrait"/>
          <w:cols w:equalWidth="0" w:num="1">
            <w:col w:w="11160"/>
          </w:cols>
          <w:pgMar w:left="400" w:top="233" w:right="339" w:bottom="1440" w:gutter="0" w:footer="0" w:header="0"/>
        </w:sectPr>
      </w:pPr>
    </w:p>
    <w:bookmarkStart w:id="25" w:name="page26"/>
    <w:bookmarkEnd w:id="25"/>
    <w:p>
      <w:pPr>
        <w:ind w:left="80"/>
        <w:spacing w:after="0"/>
        <w:rPr>
          <w:sz w:val="20"/>
          <w:szCs w:val="20"/>
          <w:color w:val="auto"/>
        </w:rPr>
      </w:pPr>
      <w:r>
        <w:rPr>
          <w:rFonts w:ascii="Arial" w:cs="Arial" w:eastAsia="Arial" w:hAnsi="Arial"/>
          <w:sz w:val="22"/>
          <w:szCs w:val="22"/>
          <w:b w:val="1"/>
          <w:bCs w:val="1"/>
          <w:color w:val="auto"/>
        </w:rPr>
        <w:t>CYBIN INC.</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June 30,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line="334" w:lineRule="auto"/>
        <w:rPr>
          <w:sz w:val="20"/>
          <w:szCs w:val="20"/>
          <w:color w:val="auto"/>
        </w:rPr>
      </w:pPr>
      <w:r>
        <w:rPr>
          <w:rFonts w:ascii="Arial" w:cs="Arial" w:eastAsia="Arial" w:hAnsi="Arial"/>
          <w:sz w:val="18"/>
          <w:szCs w:val="18"/>
          <w:color w:val="auto"/>
        </w:rPr>
        <w:t>At June 30, 2025 the Company had the following balances in monetary assets and monetary liabilities which are subject to fluctuation against USD: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5540" w:type="dxa"/>
            <w:vAlign w:val="bottom"/>
            <w:tcBorders>
              <w:bottom w:val="single" w:sz="8" w:color="auto"/>
            </w:tcBorders>
          </w:tcPr>
          <w:p>
            <w:pPr>
              <w:ind w:left="3740"/>
              <w:spacing w:after="0"/>
              <w:rPr>
                <w:sz w:val="20"/>
                <w:szCs w:val="20"/>
                <w:color w:val="auto"/>
              </w:rPr>
            </w:pPr>
            <w:r>
              <w:rPr>
                <w:rFonts w:ascii="Arial" w:cs="Arial" w:eastAsia="Arial" w:hAnsi="Arial"/>
                <w:sz w:val="18"/>
                <w:szCs w:val="18"/>
                <w:b w:val="1"/>
                <w:bCs w:val="1"/>
                <w:color w:val="auto"/>
              </w:rPr>
              <w:t>Denominated in:</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CAD $000's</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GBP 000's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EUR 000's</w:t>
            </w:r>
          </w:p>
        </w:tc>
      </w:tr>
      <w:tr>
        <w:trPr>
          <w:trHeight w:val="218"/>
        </w:trPr>
        <w:tc>
          <w:tcPr>
            <w:tcW w:w="5540" w:type="dxa"/>
            <w:vAlign w:val="bottom"/>
          </w:tcPr>
          <w:p>
            <w:pPr>
              <w:ind w:left="20"/>
              <w:spacing w:after="0"/>
              <w:rPr>
                <w:sz w:val="20"/>
                <w:szCs w:val="20"/>
                <w:color w:val="auto"/>
              </w:rPr>
            </w:pPr>
            <w:r>
              <w:rPr>
                <w:rFonts w:ascii="Arial" w:cs="Arial" w:eastAsia="Arial" w:hAnsi="Arial"/>
                <w:sz w:val="18"/>
                <w:szCs w:val="18"/>
                <w:color w:val="auto"/>
              </w:rPr>
              <w:t>Cash</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686</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56</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(2,412)</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8"/>
        </w:trPr>
        <w:tc>
          <w:tcPr>
            <w:tcW w:w="5540" w:type="dxa"/>
            <w:vAlign w:val="bottom"/>
          </w:tcPr>
          <w:p>
            <w:pPr>
              <w:spacing w:after="0"/>
              <w:rPr>
                <w:sz w:val="18"/>
                <w:szCs w:val="18"/>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(1,726)</w:t>
            </w:r>
          </w:p>
        </w:tc>
        <w:tc>
          <w:tcPr>
            <w:tcW w:w="1760" w:type="dxa"/>
            <w:vAlign w:val="bottom"/>
          </w:tcPr>
          <w:p>
            <w:pPr>
              <w:jc w:val="right"/>
              <w:ind w:right="350"/>
              <w:spacing w:after="0"/>
              <w:rPr>
                <w:sz w:val="20"/>
                <w:szCs w:val="20"/>
                <w:color w:val="auto"/>
              </w:rPr>
            </w:pPr>
            <w:r>
              <w:rPr>
                <w:rFonts w:ascii="Arial" w:cs="Arial" w:eastAsia="Arial" w:hAnsi="Arial"/>
                <w:sz w:val="18"/>
                <w:szCs w:val="18"/>
                <w:b w:val="1"/>
                <w:bCs w:val="1"/>
                <w:color w:val="auto"/>
              </w:rPr>
              <w:t>(189)</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23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rate</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0.7330</w:t>
            </w: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1.3717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1.1716</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Equivalent in United States dollars</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(1,265)</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(259)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Impact of 10% change in exchange rate</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(127)</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analysis excludes any indirect economic or geo-political effects of such currency fluctuations.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14. SUBSEQUENT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Conversion of Convertible Debentures</w:t>
      </w:r>
    </w:p>
    <w:p>
      <w:pPr>
        <w:spacing w:after="0" w:line="266" w:lineRule="exact"/>
        <w:rPr>
          <w:sz w:val="20"/>
          <w:szCs w:val="20"/>
          <w:color w:val="auto"/>
        </w:rPr>
      </w:pPr>
    </w:p>
    <w:p>
      <w:pPr>
        <w:ind w:left="340"/>
        <w:spacing w:after="0" w:line="334" w:lineRule="auto"/>
        <w:rPr>
          <w:sz w:val="20"/>
          <w:szCs w:val="20"/>
          <w:color w:val="auto"/>
        </w:rPr>
      </w:pPr>
      <w:r>
        <w:rPr>
          <w:rFonts w:ascii="Arial" w:cs="Arial" w:eastAsia="Arial" w:hAnsi="Arial"/>
          <w:sz w:val="18"/>
          <w:szCs w:val="18"/>
          <w:color w:val="auto"/>
        </w:rPr>
        <w:t>On July 17, 2025, High Trail converted $4,250 of the Convertible Debentures into 566,394 Common Shares at a conversion price of $7.5036, which represented the VWAP of the Common Shares for the five trading days immediately prior to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23 of 23</w:t>
      </w:r>
    </w:p>
    <w:p>
      <w:pPr>
        <w:sectPr>
          <w:pgSz w:w="11900" w:h="16838" w:orient="portrait"/>
          <w:cols w:equalWidth="0" w:num="1">
            <w:col w:w="11240"/>
          </w:cols>
          <w:pgMar w:left="320" w:top="233"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3046095</wp:posOffset>
            </wp:positionV>
            <wp:extent cx="1457325" cy="848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of Financial Condition and Operating Performance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three months ended June 30, 2025</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August 13, 2025</w:t>
      </w:r>
    </w:p>
    <w:p>
      <w:pPr>
        <w:sectPr>
          <w:pgSz w:w="11900" w:h="16838" w:orient="portrait"/>
          <w:cols w:equalWidth="0" w:num="1">
            <w:col w:w="9019"/>
          </w:cols>
          <w:pgMar w:left="144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w:t>
      </w:r>
    </w:p>
    <w:p>
      <w:pPr>
        <w:spacing w:after="0" w:line="25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This Management’s Discussion and Analysis (“</w:t>
      </w:r>
      <w:r>
        <w:rPr>
          <w:rFonts w:ascii="Times New Roman" w:cs="Times New Roman" w:eastAsia="Times New Roman" w:hAnsi="Times New Roman"/>
          <w:sz w:val="19"/>
          <w:szCs w:val="19"/>
          <w:b w:val="1"/>
          <w:bCs w:val="1"/>
          <w:color w:val="auto"/>
        </w:rPr>
        <w:t>MD&amp;A</w:t>
      </w:r>
      <w:r>
        <w:rPr>
          <w:rFonts w:ascii="Times New Roman" w:cs="Times New Roman" w:eastAsia="Times New Roman" w:hAnsi="Times New Roman"/>
          <w:sz w:val="19"/>
          <w:szCs w:val="19"/>
          <w:color w:val="auto"/>
        </w:rPr>
        <w:t>”) has been prepared by management of Cybin Inc. (“</w:t>
      </w:r>
      <w:r>
        <w:rPr>
          <w:rFonts w:ascii="Times New Roman" w:cs="Times New Roman" w:eastAsia="Times New Roman" w:hAnsi="Times New Roman"/>
          <w:sz w:val="19"/>
          <w:szCs w:val="19"/>
          <w:b w:val="1"/>
          <w:bCs w:val="1"/>
          <w:color w:val="auto"/>
        </w:rPr>
        <w:t>Cybin</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should be read in conjunction with Cybin’s unaudited condensed interim consolidated financial statements and notes for the three months ended June 30, 2025 (the “</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19"/>
          <w:szCs w:val="19"/>
          <w:b w:val="1"/>
          <w:bCs w:val="1"/>
          <w:color w:val="auto"/>
        </w:rPr>
        <w:t>AIF</w:t>
      </w:r>
      <w:r>
        <w:rPr>
          <w:rFonts w:ascii="Times New Roman" w:cs="Times New Roman" w:eastAsia="Times New Roman" w:hAnsi="Times New Roman"/>
          <w:sz w:val="19"/>
          <w:szCs w:val="19"/>
          <w:color w:val="auto"/>
        </w:rPr>
        <w:t>”) on SEDAR+. The Financial Statements have been prepared using International Financial Reporting Standards (“</w:t>
      </w:r>
      <w:r>
        <w:rPr>
          <w:rFonts w:ascii="Times New Roman" w:cs="Times New Roman" w:eastAsia="Times New Roman" w:hAnsi="Times New Roman"/>
          <w:sz w:val="19"/>
          <w:szCs w:val="19"/>
          <w:b w:val="1"/>
          <w:bCs w:val="1"/>
          <w:color w:val="auto"/>
        </w:rPr>
        <w:t>IFRS</w:t>
      </w:r>
      <w:r>
        <w:rPr>
          <w:rFonts w:ascii="Times New Roman" w:cs="Times New Roman" w:eastAsia="Times New Roman" w:hAnsi="Times New Roman"/>
          <w:sz w:val="19"/>
          <w:szCs w:val="19"/>
          <w:color w:val="auto"/>
        </w:rPr>
        <w:t>”) as issued by the International Accounting Standards Board.</w:t>
      </w:r>
    </w:p>
    <w:p>
      <w:pPr>
        <w:spacing w:after="0" w:line="2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MD&amp;A contains disclosure related to Cybin occurring up to and including August 13, 2025. Effective April 1, 2025, the Company changed its presentation currency from the Canadian Dollar (“</w:t>
      </w:r>
      <w:r>
        <w:rPr>
          <w:rFonts w:ascii="Times New Roman" w:cs="Times New Roman" w:eastAsia="Times New Roman" w:hAnsi="Times New Roman"/>
          <w:sz w:val="20"/>
          <w:szCs w:val="20"/>
          <w:b w:val="1"/>
          <w:bCs w:val="1"/>
          <w:color w:val="auto"/>
        </w:rPr>
        <w:t>CAD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to the United States dollar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 The Financial Statements may be viewed on the SEDAR+ profile of Cybin at www.sedarplus.ca.</w:t>
      </w:r>
    </w:p>
    <w:p>
      <w:pPr>
        <w:spacing w:after="0" w:line="1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20"/>
          <w:szCs w:val="20"/>
          <w:b w:val="1"/>
          <w:bCs w:val="1"/>
          <w:color w:val="auto"/>
        </w:rPr>
        <w:t>SubCo</w:t>
      </w:r>
      <w:r>
        <w:rPr>
          <w:rFonts w:ascii="Times New Roman" w:cs="Times New Roman" w:eastAsia="Times New Roman" w:hAnsi="Times New Roman"/>
          <w:sz w:val="20"/>
          <w:szCs w:val="20"/>
          <w:color w:val="auto"/>
        </w:rPr>
        <w:t>”), a wholly-owned subsidiary of the Company (the “</w:t>
      </w:r>
      <w:r>
        <w:rPr>
          <w:rFonts w:ascii="Times New Roman" w:cs="Times New Roman" w:eastAsia="Times New Roman" w:hAnsi="Times New Roman"/>
          <w:sz w:val="20"/>
          <w:szCs w:val="20"/>
          <w:b w:val="1"/>
          <w:bCs w:val="1"/>
          <w:color w:val="auto"/>
        </w:rPr>
        <w:t>Reverse Takeover</w:t>
      </w:r>
      <w:r>
        <w:rPr>
          <w:rFonts w:ascii="Times New Roman" w:cs="Times New Roman" w:eastAsia="Times New Roman" w:hAnsi="Times New Roman"/>
          <w:sz w:val="20"/>
          <w:szCs w:val="20"/>
          <w:color w:val="auto"/>
        </w:rPr>
        <w:t xml:space="preserve">”). The Reverse Takeover was completed by way of a “three-cornered” amalgamation pursuant to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9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September 19, 2024, the Company consolidated its outstanding Common Shares on the basis of one new Common Share for every 38 existing Common Shares (the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As a result, all figures related to shares, warrants, options and earnings per share presented in this MD&amp;A have been restated retrospectively for all periods to reflect the Consolidation.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36" w:right="339" w:bottom="1440" w:gutter="0" w:footer="0" w:header="0"/>
        </w:sectPr>
      </w:pPr>
    </w:p>
    <w:bookmarkStart w:id="28" w:name="page29"/>
    <w:bookmarkEnd w:id="28"/>
    <w:p>
      <w:pPr>
        <w:jc w:val="both"/>
        <w:spacing w:after="0" w:line="296" w:lineRule="auto"/>
        <w:rPr>
          <w:sz w:val="20"/>
          <w:szCs w:val="20"/>
          <w:color w:val="auto"/>
        </w:rPr>
      </w:pPr>
      <w:r>
        <w:rPr>
          <w:rFonts w:ascii="Times New Roman" w:cs="Times New Roman" w:eastAsia="Times New Roman" w:hAnsi="Times New Roman"/>
          <w:sz w:val="20"/>
          <w:szCs w:val="20"/>
          <w:color w:val="auto"/>
        </w:rPr>
        <w:t>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7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Some of the risks which could affect future results and could cause results to differ materially from those expressed in the forward-looking statements contained herein include:</w:t>
      </w:r>
    </w:p>
    <w:p>
      <w:pPr>
        <w:spacing w:after="0" w:line="147" w:lineRule="exact"/>
        <w:rPr>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limited operating history;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achieving publicly announced milestones;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speculative nature of investment risk;</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early stage of the industry and product development;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risks and uncertainties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risks of operating in European countries;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“foreign private issuer” status under U.S. Securities Laws;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plans for growth;</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limited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limited marketing and sales capabilities;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no assurance of commercial success;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no profits or significant revenues;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parties for clinical development activities;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third party relationships;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contract manufacturers;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safety and efficacy of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testing and commercializing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clinical trials;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grade product manufacturing;</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nature of regulatory approvals;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access and acceptance;</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unfavourable publicity or consumer perception;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social media;</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biotechnology and pharmaceutical market competition;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executives and scientists;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employee misconduct;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business expansion and growth;</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negative results of external clinical trials or studies;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product liability;</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enforcing contracts;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type w:val="continuous"/>
        </w:sectPr>
      </w:pPr>
    </w:p>
    <w:bookmarkStart w:id="29" w:name="page30"/>
    <w:bookmarkEnd w:id="29"/>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product and material recalls;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 and supply chain interruption;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to forecast;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promoting the brand;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product viability;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success of quality control systems;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inputs;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liability arising from fraudulent or illegal activity;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risk and insurance coverage;</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costs of operating as public company;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of growth;</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of interest;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foreign operations;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exchange rate fluctuations;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and privacy risk;</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environmental regulation and risks;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decriminalization of psychedelics;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forward-looking statements may prove to be inaccurate;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effects of inflation;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and economic conditions;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application and interpretation of tax laws;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enforcement of civil liabilities;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pandemics;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Intellectual Property:</w:t>
      </w:r>
    </w:p>
    <w:p>
      <w:pPr>
        <w:spacing w:after="0" w:line="283" w:lineRule="exact"/>
        <w:rPr>
          <w:sz w:val="20"/>
          <w:szCs w:val="20"/>
          <w:color w:val="auto"/>
        </w:rPr>
      </w:pPr>
    </w:p>
    <w:p>
      <w:pPr>
        <w:ind w:left="620" w:hanging="291"/>
        <w:spacing w:after="0"/>
        <w:tabs>
          <w:tab w:leader="none" w:pos="6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trademark protection;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trade secrets;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patent law reform;</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patent litigation and intellectual property;</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protection of intellectual property;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licences;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and Accounting Risks:</w:t>
      </w:r>
    </w:p>
    <w:p>
      <w:pPr>
        <w:spacing w:after="0" w:line="297" w:lineRule="exact"/>
        <w:rPr>
          <w:sz w:val="20"/>
          <w:szCs w:val="20"/>
          <w:color w:val="auto"/>
        </w:rPr>
      </w:pPr>
    </w:p>
    <w:p>
      <w:pPr>
        <w:ind w:left="620" w:hanging="291"/>
        <w:spacing w:after="0"/>
        <w:tabs>
          <w:tab w:leader="none" w:pos="62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number of authorized but unissued Common Shares (as defined herein);</w:t>
      </w:r>
    </w:p>
    <w:p>
      <w:pPr>
        <w:spacing w:after="0" w:line="50" w:lineRule="exact"/>
        <w:rPr>
          <w:rFonts w:ascii="Arial" w:cs="Arial" w:eastAsia="Arial" w:hAnsi="Arial"/>
          <w:sz w:val="19"/>
          <w:szCs w:val="19"/>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dilution;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negative cash flow from operating activities;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capital requirements;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lack of significant product revenue;</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or judgments relating to critical accounting policies;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internal controls;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39"/>
          </w:cols>
          <w:pgMar w:left="320" w:top="1440"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Risks related to the Common Shares:</w:t>
      </w:r>
    </w:p>
    <w:p>
      <w:pPr>
        <w:spacing w:after="0" w:line="297" w:lineRule="exact"/>
        <w:rPr>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market for the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sales of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volatile market price for the Common Shares;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tax issues;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no dividends.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82" w:lineRule="exact"/>
        <w:rPr>
          <w:sz w:val="20"/>
          <w:szCs w:val="20"/>
          <w:color w:val="auto"/>
        </w:rPr>
      </w:pPr>
    </w:p>
    <w:p>
      <w:pPr>
        <w:ind w:left="660" w:hanging="331"/>
        <w:spacing w:after="0" w:line="281" w:lineRule="auto"/>
        <w:tabs>
          <w:tab w:leader="none" w:pos="624"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fluctuation of losses from quarter to quarter and year to year due to numerous external risk factors, and anticipation that we will continue to incur significant losses in the future;</w:t>
      </w: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as to the Company’s ability to raise additional funding to support operations;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access additional funding;</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fluctuation of foreign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pandemics;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the development of the Company’s product candidates which are at early stages of development;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reliance upon industry publications as the Company’s primary sources for third-party industry data and forecasts;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parties to plan, conduct and monitor the Company’s preclinical studies and clinical trials;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party contract manufacturers to deliver quality clinical and preclinical materials;</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product candidates may fail to demonstrate safety and efficacy to the satisfaction of regulatory authorities or may not otherwise produce positive results;</w:t>
      </w: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filing investigational new drug applications to commence clinical trials and to continue clinical trials if approved;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of delays and inability to complete clinical trials due to difficulties enrolling patients;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biotechnology and pharmaceutical companies;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reliance on the capabilities and experience of the Company’s key executives and scientists and the resulting loss of any of these individuals;</w:t>
      </w: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fully realize the benefits of acquisitions;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adequately protect the Company’s intellectual property and trade secrets;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patent-related or other litigation; and</w:t>
      </w:r>
    </w:p>
    <w:p>
      <w:pPr>
        <w:spacing w:after="0" w:line="48" w:lineRule="exact"/>
        <w:rPr>
          <w:rFonts w:ascii="Arial" w:cs="Arial" w:eastAsia="Arial" w:hAnsi="Arial"/>
          <w:sz w:val="20"/>
          <w:szCs w:val="20"/>
          <w:color w:val="auto"/>
        </w:rPr>
      </w:pPr>
    </w:p>
    <w:p>
      <w:pPr>
        <w:jc w:val="both"/>
        <w:ind w:left="660" w:hanging="331"/>
        <w:spacing w:after="0" w:line="297" w:lineRule="auto"/>
        <w:tabs>
          <w:tab w:leader="none" w:pos="657"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the risk of unforeseen changes to the laws or regulations in the United States (the “</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the United Kingdom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 Canada, the Netherlands, Ireland and other jurisdictions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92" w:lineRule="auto"/>
        <w:rPr>
          <w:sz w:val="20"/>
          <w:szCs w:val="20"/>
          <w:color w:val="auto"/>
        </w:rPr>
      </w:pPr>
      <w:r>
        <w:rPr>
          <w:rFonts w:ascii="Times New Roman" w:cs="Times New Roman" w:eastAsia="Times New Roman" w:hAnsi="Times New Roman"/>
          <w:sz w:val="20"/>
          <w:szCs w:val="20"/>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STRUCTURE OVERVIEW</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a clinical-stage breakthrough neuropsychiatry company focused on advancing next-generation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OBCA whereby Cybin Corp. amalgamated with SubCo to form an amalgamated corporation and a wholly owned subsidiary of the Company.</w:t>
      </w:r>
    </w:p>
    <w:p>
      <w:pPr>
        <w:spacing w:after="0" w:line="19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connection with the Reverse Takeover, Clarmin Explorations Inc. (“</w:t>
      </w:r>
      <w:r>
        <w:rPr>
          <w:rFonts w:ascii="Times New Roman" w:cs="Times New Roman" w:eastAsia="Times New Roman" w:hAnsi="Times New Roman"/>
          <w:sz w:val="20"/>
          <w:szCs w:val="20"/>
          <w:b w:val="1"/>
          <w:bCs w:val="1"/>
          <w:color w:val="auto"/>
        </w:rPr>
        <w:t>Clarmin</w:t>
      </w:r>
      <w:r>
        <w:rPr>
          <w:rFonts w:ascii="Times New Roman" w:cs="Times New Roman" w:eastAsia="Times New Roman" w:hAnsi="Times New Roman"/>
          <w:sz w:val="20"/>
          <w:szCs w:val="20"/>
          <w:color w:val="auto"/>
        </w:rPr>
        <w:t>”) changed its name to “Cybin Inc.” and the common shares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became listed for trading on Cboe Canada Inc. (the “</w:t>
      </w:r>
      <w:r>
        <w:rPr>
          <w:rFonts w:ascii="Times New Roman" w:cs="Times New Roman" w:eastAsia="Times New Roman" w:hAnsi="Times New Roman"/>
          <w:sz w:val="20"/>
          <w:szCs w:val="20"/>
          <w:b w:val="1"/>
          <w:bCs w:val="1"/>
          <w:color w:val="auto"/>
        </w:rPr>
        <w:t>Cboe Canada</w:t>
      </w:r>
      <w:r>
        <w:rPr>
          <w:rFonts w:ascii="Times New Roman" w:cs="Times New Roman" w:eastAsia="Times New Roman" w:hAnsi="Times New Roman"/>
          <w:sz w:val="20"/>
          <w:szCs w:val="20"/>
          <w:color w:val="auto"/>
        </w:rPr>
        <w:t>”) under the trading symbol “CYBN”.</w:t>
      </w:r>
    </w:p>
    <w:p>
      <w:pPr>
        <w:spacing w:after="0" w:line="1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20"/>
          <w:szCs w:val="20"/>
          <w:b w:val="1"/>
          <w:bCs w:val="1"/>
          <w:color w:val="auto"/>
        </w:rPr>
        <w:t>Cybin Ireland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3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On August 5, 2021, the Common Shares commenced trading on the NYSE American LLC stock exchange (the “</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under the symbol “CYBN”. Concurrent with the commencement of trading on the NYSE American, the Common Shares ceased to be quoted on the OTCQB® Venture Market.</w:t>
      </w:r>
    </w:p>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On October 23, 2023, the Company announced the completion of the acquisition by Cybin of Small Pharma Inc. (“</w:t>
      </w:r>
      <w:r>
        <w:rPr>
          <w:rFonts w:ascii="Times New Roman" w:cs="Times New Roman" w:eastAsia="Times New Roman" w:hAnsi="Times New Roman"/>
          <w:sz w:val="20"/>
          <w:szCs w:val="20"/>
          <w:b w:val="1"/>
          <w:bCs w:val="1"/>
          <w:color w:val="auto"/>
        </w:rPr>
        <w:t>Small Pharma</w:t>
      </w:r>
      <w:r>
        <w:rPr>
          <w:rFonts w:ascii="Times New Roman" w:cs="Times New Roman" w:eastAsia="Times New Roman" w:hAnsi="Times New Roman"/>
          <w:sz w:val="20"/>
          <w:szCs w:val="20"/>
          <w:color w:val="auto"/>
        </w:rPr>
        <w:t xml:space="preserve">”) by way of a statutory plan of arrangement under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(the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20"/>
          <w:szCs w:val="20"/>
          <w:b w:val="1"/>
          <w:bCs w:val="1"/>
          <w:color w:val="auto"/>
        </w:rPr>
        <w:t>Arrangement Agreement</w:t>
      </w:r>
      <w:r>
        <w:rPr>
          <w:rFonts w:ascii="Times New Roman" w:cs="Times New Roman" w:eastAsia="Times New Roman" w:hAnsi="Times New Roman"/>
          <w:sz w:val="20"/>
          <w:szCs w:val="20"/>
          <w:color w:val="auto"/>
        </w:rPr>
        <w:t>”). As a result of the Arrangement, Small Pharma is now a wholly-owned subsidiary of Cybin. On April 1, 2024, pursuant</w:t>
      </w:r>
    </w:p>
    <w:p>
      <w:pPr>
        <w:spacing w:after="0" w:line="3" w:lineRule="exact"/>
        <w:rPr>
          <w:sz w:val="20"/>
          <w:szCs w:val="20"/>
          <w:color w:val="auto"/>
        </w:rPr>
      </w:pPr>
    </w:p>
    <w:p>
      <w:pPr>
        <w:jc w:val="both"/>
        <w:ind w:right="3620"/>
        <w:spacing w:after="0" w:line="281" w:lineRule="auto"/>
        <w:rPr>
          <w:sz w:val="20"/>
          <w:szCs w:val="20"/>
          <w:color w:val="auto"/>
        </w:rPr>
      </w:pPr>
      <w:r>
        <w:rPr>
          <w:rFonts w:ascii="Times New Roman" w:cs="Times New Roman" w:eastAsia="Times New Roman" w:hAnsi="Times New Roman"/>
          <w:sz w:val="20"/>
          <w:szCs w:val="20"/>
          <w:color w:val="auto"/>
        </w:rPr>
        <w:t>to the provisions of the OBCA, Small Pharma completed a horizontal amalgamation with Cybin Corp., with Cybin Corp. being the resulting entity. As a result of this amalgamation, Cybin UK Limited is now a wholly-owned subsidiary of Cybin Corp.</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June 4, 2025, the Company completed the formal dissolution of Natures Journey Inc. and Serenity Life Sciences Inc. These entities were non-operational prior to their dissolution and had no material impact on the Financial Statements.</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Please refer to “</w:t>
      </w:r>
      <w:r>
        <w:rPr>
          <w:rFonts w:ascii="Times New Roman" w:cs="Times New Roman" w:eastAsia="Times New Roman" w:hAnsi="Times New Roman"/>
          <w:sz w:val="20"/>
          <w:szCs w:val="20"/>
          <w:i w:val="1"/>
          <w:iCs w:val="1"/>
          <w:color w:val="auto"/>
        </w:rPr>
        <w:t>General Development of the Business</w:t>
      </w:r>
      <w:r>
        <w:rPr>
          <w:rFonts w:ascii="Times New Roman" w:cs="Times New Roman" w:eastAsia="Times New Roman" w:hAnsi="Times New Roman"/>
          <w:sz w:val="20"/>
          <w:szCs w:val="20"/>
          <w:color w:val="auto"/>
        </w:rPr>
        <w:t>” in the AIF for additional information on the background and operational highlights of Cybin. The AIF may be viewed under the SEDAR+ profile of Cybin at www.sedarplus.ca.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8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Cybin is a clinical-stage breakthrough neuropsychiatry company on a mission to create safe and effective next-generation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5"/>
          <w:szCs w:val="25"/>
          <w:color w:val="auto"/>
          <w:vertAlign w:val="superscript"/>
        </w:rPr>
        <w:t>1</w:t>
      </w:r>
    </w:p>
    <w:p>
      <w:pPr>
        <w:spacing w:after="0" w:line="1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Cybin’s research and development work focuses on a three-pillar strategy that leverages the Company’s core competencies in preclinical innovation and clinical development. This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714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9" w:lineRule="exact"/>
        <w:rPr>
          <w:sz w:val="20"/>
          <w:szCs w:val="20"/>
          <w:color w:val="auto"/>
        </w:rPr>
      </w:pPr>
    </w:p>
    <w:p>
      <w:pPr>
        <w:jc w:val="both"/>
        <w:ind w:firstLine="8"/>
        <w:spacing w:after="0" w:line="237" w:lineRule="auto"/>
        <w:tabs>
          <w:tab w:leader="none" w:pos="79"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33" w:name="page34"/>
    <w:bookmarkEnd w:id="33"/>
    <w:p>
      <w:pPr>
        <w:jc w:val="both"/>
        <w:spacing w:after="0" w:line="297" w:lineRule="auto"/>
        <w:rPr>
          <w:sz w:val="20"/>
          <w:szCs w:val="20"/>
          <w:color w:val="auto"/>
        </w:rPr>
      </w:pPr>
      <w:r>
        <w:rPr>
          <w:rFonts w:ascii="Times New Roman" w:cs="Times New Roman" w:eastAsia="Times New Roman" w:hAnsi="Times New Roman"/>
          <w:sz w:val="20"/>
          <w:szCs w:val="20"/>
          <w:color w:val="auto"/>
        </w:rPr>
        <w:t>supports the creation of intellectual property (“</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focused on developing the Company’s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0"/>
          <w:szCs w:val="20"/>
          <w:b w:val="1"/>
          <w:bCs w:val="1"/>
          <w:color w:val="auto"/>
        </w:rPr>
        <w:t>DMT</w:t>
      </w:r>
      <w:r>
        <w:rPr>
          <w:rFonts w:ascii="Times New Roman" w:cs="Times New Roman" w:eastAsia="Times New Roman" w:hAnsi="Times New Roman"/>
          <w:sz w:val="20"/>
          <w:szCs w:val="20"/>
          <w:color w:val="auto"/>
        </w:rPr>
        <w:t>”), CYB005, phenethylamine and tryptamine derivatives, and an expansive list of preclinical molecules to facilitate future drug development opportunities.</w:t>
      </w:r>
    </w:p>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October 23, 2023, the Company completed the acquisition of Small Pharma by way of the Arrangement pursuant to which Small Pharma became a wholly-owned subsidiary of Cybin. Small Pharma is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20"/>
          <w:szCs w:val="20"/>
          <w:b w:val="1"/>
          <w:bCs w:val="1"/>
          <w:color w:val="auto"/>
        </w:rPr>
        <w:t>LSD</w:t>
      </w:r>
      <w:r>
        <w:rPr>
          <w:rFonts w:ascii="Times New Roman" w:cs="Times New Roman" w:eastAsia="Times New Roman" w:hAnsi="Times New Roman"/>
          <w:sz w:val="20"/>
          <w:szCs w:val="20"/>
          <w:color w:val="auto"/>
        </w:rPr>
        <w:t>”). Second-generation psychedelics refer to those that have been chemically modified with the aim to optimize their therapeutic benefit.</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22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a result of the acquisition of Small Pharma by way of the Arrangement, Cybin currently has over 100 granted patents and over 250 pending applications. See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Advancement of Mental Healthcare</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21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Across its extensive research and development programs, Cybin is evaluating a wide array of novel, synthetic active pharmaceutical ingredients (“</w:t>
      </w:r>
      <w:r>
        <w:rPr>
          <w:rFonts w:ascii="Times New Roman" w:cs="Times New Roman" w:eastAsia="Times New Roman" w:hAnsi="Times New Roman"/>
          <w:sz w:val="20"/>
          <w:szCs w:val="20"/>
          <w:b w:val="1"/>
          <w:bCs w:val="1"/>
          <w:color w:val="auto"/>
        </w:rPr>
        <w:t>API</w:t>
      </w:r>
      <w:r>
        <w:rPr>
          <w:rFonts w:ascii="Times New Roman" w:cs="Times New Roman" w:eastAsia="Times New Roman" w:hAnsi="Times New Roman"/>
          <w:sz w:val="20"/>
          <w:szCs w:val="20"/>
          <w:color w:val="auto"/>
        </w:rPr>
        <w:t>”) intended to be delivered through innovative drug delivery systems including via inhalation, via intravenous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and intramuscular, or subcutaneous administration.</w:t>
      </w:r>
      <w:r>
        <w:rPr>
          <w:rFonts w:ascii="Times New Roman" w:cs="Times New Roman" w:eastAsia="Times New Roman" w:hAnsi="Times New Roman"/>
          <w:sz w:val="25"/>
          <w:szCs w:val="25"/>
          <w:color w:val="auto"/>
          <w:vertAlign w:val="superscript"/>
        </w:rPr>
        <w:t>2</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intends to apply for regulatory approval for therapies targeting indications such as major depressive disorder (“</w:t>
      </w:r>
      <w:r>
        <w:rPr>
          <w:rFonts w:ascii="Times New Roman" w:cs="Times New Roman" w:eastAsia="Times New Roman" w:hAnsi="Times New Roman"/>
          <w:sz w:val="20"/>
          <w:szCs w:val="20"/>
          <w:b w:val="1"/>
          <w:bCs w:val="1"/>
          <w:color w:val="auto"/>
        </w:rPr>
        <w:t>MDD</w:t>
      </w:r>
      <w:r>
        <w:rPr>
          <w:rFonts w:ascii="Times New Roman" w:cs="Times New Roman" w:eastAsia="Times New Roman" w:hAnsi="Times New Roman"/>
          <w:sz w:val="20"/>
          <w:szCs w:val="20"/>
          <w:color w:val="auto"/>
        </w:rPr>
        <w:t>”), alcohol use disorder (“</w:t>
      </w:r>
      <w:r>
        <w:rPr>
          <w:rFonts w:ascii="Times New Roman" w:cs="Times New Roman" w:eastAsia="Times New Roman" w:hAnsi="Times New Roman"/>
          <w:sz w:val="20"/>
          <w:szCs w:val="20"/>
          <w:b w:val="1"/>
          <w:bCs w:val="1"/>
          <w:color w:val="auto"/>
        </w:rPr>
        <w:t>AUD</w:t>
      </w:r>
      <w:r>
        <w:rPr>
          <w:rFonts w:ascii="Times New Roman" w:cs="Times New Roman" w:eastAsia="Times New Roman" w:hAnsi="Times New Roman"/>
          <w:sz w:val="20"/>
          <w:szCs w:val="20"/>
          <w:color w:val="auto"/>
        </w:rPr>
        <w:t>”), generalized anxiety disorder (“</w:t>
      </w:r>
      <w:r>
        <w:rPr>
          <w:rFonts w:ascii="Times New Roman" w:cs="Times New Roman" w:eastAsia="Times New Roman" w:hAnsi="Times New Roman"/>
          <w:sz w:val="20"/>
          <w:szCs w:val="20"/>
          <w:b w:val="1"/>
          <w:bCs w:val="1"/>
          <w:color w:val="auto"/>
        </w:rPr>
        <w:t>GAD</w:t>
      </w:r>
      <w:r>
        <w:rPr>
          <w:rFonts w:ascii="Times New Roman" w:cs="Times New Roman" w:eastAsia="Times New Roman" w:hAnsi="Times New Roman"/>
          <w:sz w:val="20"/>
          <w:szCs w:val="20"/>
          <w:color w:val="auto"/>
        </w:rPr>
        <w:t>”) and potentially other various mental health conditions.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20"/>
          <w:szCs w:val="20"/>
          <w:b w:val="1"/>
          <w:bCs w:val="1"/>
          <w:color w:val="auto"/>
        </w:rPr>
        <w:t>CNS</w:t>
      </w:r>
      <w:r>
        <w:rPr>
          <w:rFonts w:ascii="Times New Roman" w:cs="Times New Roman" w:eastAsia="Times New Roman" w:hAnsi="Times New Roman"/>
          <w:sz w:val="20"/>
          <w:szCs w:val="20"/>
          <w:color w:val="auto"/>
        </w:rPr>
        <w:t>”) disorders, and psychiatric disorders.</w:t>
      </w:r>
      <w:r>
        <w:rPr>
          <w:rFonts w:ascii="Times New Roman" w:cs="Times New Roman" w:eastAsia="Times New Roman" w:hAnsi="Times New Roman"/>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5" w:lineRule="exact"/>
        <w:rPr>
          <w:sz w:val="20"/>
          <w:szCs w:val="20"/>
          <w:color w:val="auto"/>
        </w:rPr>
      </w:pPr>
    </w:p>
    <w:p>
      <w:pPr>
        <w:ind w:left="100" w:hanging="92"/>
        <w:spacing w:after="0"/>
        <w:tabs>
          <w:tab w:leader="none" w:pos="10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See footnote 1.</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See footnote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36" w:right="339" w:bottom="1440" w:gutter="0" w:footer="0" w:header="0"/>
        </w:sectPr>
      </w:pPr>
    </w:p>
    <w:bookmarkStart w:id="34" w:name="page35"/>
    <w:bookmarkEnd w:id="34"/>
    <w:p>
      <w:pPr>
        <w:jc w:val="both"/>
        <w:spacing w:after="0" w:line="278" w:lineRule="auto"/>
        <w:rPr>
          <w:sz w:val="20"/>
          <w:szCs w:val="20"/>
          <w:color w:val="auto"/>
        </w:rPr>
      </w:pPr>
      <w:r>
        <w:rPr>
          <w:rFonts w:ascii="Times New Roman" w:cs="Times New Roman" w:eastAsia="Times New Roman" w:hAnsi="Times New Roman"/>
          <w:sz w:val="20"/>
          <w:szCs w:val="20"/>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The Company will also continue to sponsor select internal and partner-related clinical trials that advance the understanding of safety and efficacy for various psychedelic agents that target mental health and neurological conditions.</w:t>
      </w:r>
      <w:r>
        <w:rPr>
          <w:rFonts w:ascii="Times New Roman" w:cs="Times New Roman" w:eastAsia="Times New Roman" w:hAnsi="Times New Roman"/>
          <w:sz w:val="25"/>
          <w:szCs w:val="25"/>
          <w:color w:val="auto"/>
          <w:vertAlign w:val="superscript"/>
        </w:rPr>
        <w:t>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Stage of Development</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Like most life sciences and pharmaceutical companies, the Company’s neuropsychiatry business is focused on research and development and any future revenue will be dependent on a number of factors, including the outcome of the Company’s clinical trials and the receipt of all necessary regulatory approvals.</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In order to establish its business operations, Cybin intends to leverage the extensive professional network of its management to build working partnerships with (i) existing producers of products based in Canada, the United States, the European Union (the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and the UK to source the pharmaceutical products the Company intends to develop and distribute under its specific brand, and (ii) to explore options to facilitate the development and distribution and sale of its specific brand of pharmaceutical products.</w:t>
      </w:r>
      <w:r>
        <w:rPr>
          <w:rFonts w:ascii="Times New Roman" w:cs="Times New Roman" w:eastAsia="Times New Roman" w:hAnsi="Times New Roman"/>
          <w:sz w:val="25"/>
          <w:szCs w:val="25"/>
          <w:color w:val="auto"/>
          <w:vertAlign w:val="superscript"/>
        </w:rPr>
        <w:t>7</w:t>
      </w:r>
    </w:p>
    <w:p>
      <w:pPr>
        <w:spacing w:after="0" w:line="12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Prescription drugs are classified and regulated under the federal </w:t>
      </w:r>
      <w:r>
        <w:rPr>
          <w:rFonts w:ascii="Times New Roman" w:cs="Times New Roman" w:eastAsia="Times New Roman" w:hAnsi="Times New Roman"/>
          <w:sz w:val="20"/>
          <w:szCs w:val="20"/>
          <w:i w:val="1"/>
          <w:iCs w:val="1"/>
          <w:color w:val="auto"/>
        </w:rPr>
        <w:t>Food and Drugs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Canadian FDA</w:t>
      </w:r>
      <w:r>
        <w:rPr>
          <w:rFonts w:ascii="Times New Roman" w:cs="Times New Roman" w:eastAsia="Times New Roman" w:hAnsi="Times New Roman"/>
          <w:sz w:val="20"/>
          <w:szCs w:val="20"/>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2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 xml:space="preserve">In the United States, foods, drugs and dietary supplements are subject to extensive regulation. The </w:t>
      </w:r>
      <w:r>
        <w:rPr>
          <w:rFonts w:ascii="Times New Roman" w:cs="Times New Roman" w:eastAsia="Times New Roman" w:hAnsi="Times New Roman"/>
          <w:sz w:val="20"/>
          <w:szCs w:val="20"/>
          <w:i w:val="1"/>
          <w:iCs w:val="1"/>
          <w:color w:val="auto"/>
        </w:rPr>
        <w:t>Federal Food, Drug, and Cosmetic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The Company holds a Schedule I manufacturing license from the U.S. Drug Enforcement Administration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for its research lab in the Boston area. The license allows the Company to further become a hub for innovation and drug discovery. Previously, the Company conducted much of its R&amp;D work through globally licensed research organizations in the U.S., Canada, and the UK,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714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5" w:lineRule="exact"/>
        <w:rPr>
          <w:sz w:val="20"/>
          <w:szCs w:val="20"/>
          <w:color w:val="auto"/>
        </w:rPr>
      </w:pPr>
    </w:p>
    <w:p>
      <w:pPr>
        <w:ind w:left="80" w:hanging="72"/>
        <w:spacing w:after="0"/>
        <w:tabs>
          <w:tab w:leader="none" w:pos="8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material factor and assumption underlying this forward-looking statement is that the Company will be able to successfully negotiate strategic partnerships.</w:t>
      </w:r>
    </w:p>
    <w:p>
      <w:pPr>
        <w:ind w:left="80" w:hanging="72"/>
        <w:spacing w:after="0" w:line="191" w:lineRule="auto"/>
        <w:tabs>
          <w:tab w:leader="none" w:pos="8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material factors and assumptions underlying this forward-looking statement are: (a) that the Company will be able to successfully negotiate strategic partnerships; and</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 all necessary approvals for the studies will be obtained.</w:t>
      </w:r>
    </w:p>
    <w:p>
      <w:pPr>
        <w:spacing w:after="0" w:line="5" w:lineRule="exact"/>
        <w:rPr>
          <w:rFonts w:ascii="Times New Roman" w:cs="Times New Roman" w:eastAsia="Times New Roman" w:hAnsi="Times New Roman"/>
          <w:sz w:val="21"/>
          <w:szCs w:val="21"/>
          <w:color w:val="auto"/>
          <w:vertAlign w:val="superscript"/>
        </w:rPr>
      </w:pPr>
    </w:p>
    <w:p>
      <w:pPr>
        <w:spacing w:after="0" w:line="215"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6"/>
          <w:szCs w:val="16"/>
          <w:color w:val="auto"/>
        </w:rPr>
        <w:t xml:space="preserve"> 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35" w:name="page36"/>
    <w:bookmarkEnd w:id="35"/>
    <w:p>
      <w:pPr>
        <w:jc w:val="both"/>
        <w:spacing w:after="0" w:line="325" w:lineRule="auto"/>
        <w:rPr>
          <w:sz w:val="20"/>
          <w:szCs w:val="20"/>
          <w:color w:val="auto"/>
        </w:rPr>
      </w:pPr>
      <w:r>
        <w:rPr>
          <w:rFonts w:ascii="Times New Roman" w:cs="Times New Roman" w:eastAsia="Times New Roman" w:hAnsi="Times New Roman"/>
          <w:sz w:val="20"/>
          <w:szCs w:val="20"/>
          <w:color w:val="auto"/>
        </w:rPr>
        <w:t>through certain in-house capabilities. With the DEA license, the Company has expanded its internal R&amp;D capabilities to support innovative drug discovery and delivery involving Schedule I compounds.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March 13, 2024, the Company announced that it had been granted Breakthrough Therapy Designation (the “</w:t>
      </w:r>
      <w:r>
        <w:rPr>
          <w:rFonts w:ascii="Times New Roman" w:cs="Times New Roman" w:eastAsia="Times New Roman" w:hAnsi="Times New Roman"/>
          <w:sz w:val="20"/>
          <w:szCs w:val="20"/>
          <w:b w:val="1"/>
          <w:bCs w:val="1"/>
          <w:color w:val="auto"/>
        </w:rPr>
        <w:t>BTD</w:t>
      </w:r>
      <w:r>
        <w:rPr>
          <w:rFonts w:ascii="Times New Roman" w:cs="Times New Roman" w:eastAsia="Times New Roman" w:hAnsi="Times New Roman"/>
          <w:sz w:val="20"/>
          <w:szCs w:val="20"/>
          <w:color w:val="auto"/>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Non-Revenue Generating Projects</w:t>
      </w:r>
      <w:r>
        <w:rPr>
          <w:rFonts w:ascii="Times New Roman" w:cs="Times New Roman" w:eastAsia="Times New Roman" w:hAnsi="Times New Roman"/>
          <w:sz w:val="25"/>
          <w:szCs w:val="25"/>
          <w:i w:val="1"/>
          <w:iCs w:val="1"/>
          <w:color w:val="auto"/>
          <w:vertAlign w:val="superscript"/>
        </w:rPr>
        <w:t>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currently has three significant projects, which have not yet generated revenue:</w:t>
      </w:r>
    </w:p>
    <w:p>
      <w:pPr>
        <w:spacing w:after="0" w:line="29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Deuterated Psilocin Program (CYB003)</w:t>
      </w:r>
    </w:p>
    <w:p>
      <w:pPr>
        <w:spacing w:after="0" w:line="4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Deuterated Dimethyltryptamine Program (CYB004)</w:t>
      </w:r>
    </w:p>
    <w:p>
      <w:pPr>
        <w:spacing w:after="0" w:line="4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Phenethylamine and Tryptamine Derivatives Program (CYB005)</w:t>
      </w:r>
    </w:p>
    <w:p>
      <w:pPr>
        <w:spacing w:after="0" w:line="29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9"/>
          <w:szCs w:val="19"/>
          <w:color w:val="auto"/>
        </w:rPr>
        <w:t>he Company was previously exploring a fourth program, the Technology Program; however, in March 2025, the Company concluded that 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would no longer be progressing with this program in order to prioritize the progression of its core clinical development programs.</w:t>
      </w:r>
    </w:p>
    <w:p>
      <w:pPr>
        <w:spacing w:after="0" w:line="2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has developed EMBARK, a psychological support model that integrates leading clinical approaches to promote supportive healing with pharmacological interventions for neuropsychiatry. EMBARK’s six clinical domains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 xml:space="preserve">xistential-Spiritual, </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 xml:space="preserve">indfulness,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ody Aware,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ffective-Cognitive, </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20"/>
          <w:szCs w:val="20"/>
          <w:color w:val="auto"/>
        </w:rPr>
        <w:t xml:space="preserve">elational, </w:t>
      </w: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20"/>
          <w:szCs w:val="20"/>
          <w:color w:val="auto"/>
        </w:rPr>
        <w:t>eeping Momentum) represent the broad spectrum of ways in which therapeutic benefits may arise in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20"/>
          <w:szCs w:val="20"/>
          <w:b w:val="1"/>
          <w:bCs w:val="1"/>
          <w:color w:val="auto"/>
        </w:rPr>
        <w:t>EMBARK OA</w:t>
      </w:r>
      <w:r>
        <w:rPr>
          <w:rFonts w:ascii="Times New Roman" w:cs="Times New Roman" w:eastAsia="Times New Roman" w:hAnsi="Times New Roman"/>
          <w:sz w:val="20"/>
          <w:szCs w:val="20"/>
          <w:color w:val="auto"/>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which is designed for individuals with existing knowledge, skills, and experience in facilitation. The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1714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0" w:hanging="92"/>
        <w:spacing w:after="0"/>
        <w:tabs>
          <w:tab w:leader="none" w:pos="1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auto"/>
        </w:rPr>
        <w:t>About the Deuterated Psilocin Program (CYB003)</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lead program, CYB003, is an orally delivered deuterated psilocin molecule that has been granted FDA BTD for the adjunctive treatment of MDD. CYB003 aims to address the limitations of oral psilocin, including side effects, scalability and accessibility of treatment.</w:t>
      </w:r>
    </w:p>
    <w:p>
      <w:pPr>
        <w:spacing w:after="0" w:line="1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completed its CYB003 Investigational New Drug (“</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”)-enabling preclinical studies and Chemistry, Manufacturing and Control (“</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20"/>
          <w:szCs w:val="20"/>
          <w:b w:val="1"/>
          <w:bCs w:val="1"/>
          <w:color w:val="auto"/>
        </w:rPr>
        <w:t>IRB</w:t>
      </w:r>
      <w:r>
        <w:rPr>
          <w:rFonts w:ascii="Times New Roman" w:cs="Times New Roman" w:eastAsia="Times New Roman" w:hAnsi="Times New Roman"/>
          <w:sz w:val="20"/>
          <w:szCs w:val="20"/>
          <w:color w:val="auto"/>
        </w:rPr>
        <w:t>”) approval in the U.S. to commence its first-in-human Phase 1/2a study of CYB003 in participants with moderate to severe MDD. The Company had engaged Clinilabs Drug Development Corporation (“</w:t>
      </w:r>
      <w:r>
        <w:rPr>
          <w:rFonts w:ascii="Times New Roman" w:cs="Times New Roman" w:eastAsia="Times New Roman" w:hAnsi="Times New Roman"/>
          <w:sz w:val="20"/>
          <w:szCs w:val="20"/>
          <w:b w:val="1"/>
          <w:bCs w:val="1"/>
          <w:color w:val="auto"/>
        </w:rPr>
        <w:t>Clinilabs</w:t>
      </w:r>
      <w:r>
        <w:rPr>
          <w:rFonts w:ascii="Times New Roman" w:cs="Times New Roman" w:eastAsia="Times New Roman" w:hAnsi="Times New Roman"/>
          <w:sz w:val="20"/>
          <w:szCs w:val="20"/>
          <w:color w:val="auto"/>
        </w:rPr>
        <w:t>”), a full-service contract research organization with deep expertise in central nervous system drug development, to carry out the Phase 1/2a clinical trial of CYB003.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Completed CYB003 Phase 1/2a Clinical Trial</w:t>
      </w:r>
    </w:p>
    <w:p>
      <w:pPr>
        <w:spacing w:after="0" w:line="28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2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study investigated the safety, tolerability, pharmacokinetics (“</w:t>
      </w:r>
      <w:r>
        <w:rPr>
          <w:rFonts w:ascii="Times New Roman" w:cs="Times New Roman" w:eastAsia="Times New Roman" w:hAnsi="Times New Roman"/>
          <w:sz w:val="20"/>
          <w:szCs w:val="20"/>
          <w:b w:val="1"/>
          <w:bCs w:val="1"/>
          <w:color w:val="auto"/>
        </w:rPr>
        <w:t>PK</w:t>
      </w:r>
      <w:r>
        <w:rPr>
          <w:rFonts w:ascii="Times New Roman" w:cs="Times New Roman" w:eastAsia="Times New Roman" w:hAnsi="Times New Roman"/>
          <w:sz w:val="20"/>
          <w:szCs w:val="20"/>
          <w:color w:val="auto"/>
        </w:rPr>
        <w:t>”) and pharmacodynamics (“</w:t>
      </w:r>
      <w:r>
        <w:rPr>
          <w:rFonts w:ascii="Times New Roman" w:cs="Times New Roman" w:eastAsia="Times New Roman" w:hAnsi="Times New Roman"/>
          <w:sz w:val="20"/>
          <w:szCs w:val="20"/>
          <w:b w:val="1"/>
          <w:bCs w:val="1"/>
          <w:color w:val="auto"/>
        </w:rPr>
        <w:t>PD</w:t>
      </w:r>
      <w:r>
        <w:rPr>
          <w:rFonts w:ascii="Times New Roman" w:cs="Times New Roman" w:eastAsia="Times New Roman" w:hAnsi="Times New Roman"/>
          <w:sz w:val="20"/>
          <w:szCs w:val="20"/>
          <w:color w:val="auto"/>
        </w:rPr>
        <w:t>”), and pharmacological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20"/>
          <w:szCs w:val="20"/>
          <w:b w:val="1"/>
          <w:bCs w:val="1"/>
          <w:color w:val="auto"/>
        </w:rPr>
        <w:t>MADRS</w:t>
      </w:r>
      <w:r>
        <w:rPr>
          <w:rFonts w:ascii="Times New Roman" w:cs="Times New Roman" w:eastAsia="Times New Roman" w:hAnsi="Times New Roman"/>
          <w:sz w:val="20"/>
          <w:szCs w:val="20"/>
          <w:color w:val="auto"/>
        </w:rPr>
        <w:t>”), and evaluated the incremental benefit of a second dose of CYB003 when administered at Week 3. The study included an optional period of assessment to evaluate the durability of treatment effect out to 12 months. The study is listed on ClinicalTrials.gov under Identifier: NCT05385783.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30, 2022, the Company announced that the first two participants had been dosed in the Phase 1/2a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37" w:name="page38"/>
    <w:bookmarkEnd w:id="37"/>
    <w:p>
      <w:pPr>
        <w:jc w:val="both"/>
        <w:spacing w:after="0" w:line="296" w:lineRule="auto"/>
        <w:rPr>
          <w:sz w:val="20"/>
          <w:szCs w:val="20"/>
          <w:color w:val="auto"/>
        </w:rPr>
      </w:pPr>
      <w:r>
        <w:rPr>
          <w:rFonts w:ascii="Times New Roman" w:cs="Times New Roman" w:eastAsia="Times New Roman" w:hAnsi="Times New Roman"/>
          <w:sz w:val="20"/>
          <w:szCs w:val="20"/>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w:t>
      </w:r>
    </w:p>
    <w:p>
      <w:pPr>
        <w:spacing w:after="0" w:line="21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September 21, 2023, the Company announced that it had completed enrollment in its Phase 2a study of CYB003, its proprietary deuterated psilocin molecule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20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October 31, 2023, the Company announced Phase 2a interim results for CYB003, its proprietary deuterated psilocin molecule,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MADRS total score, was superior in participants assigned to CYB003 compared to the participants who received placebo by 14.08 points (p=0.0005, Cohen’s d=2.15).</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spacing w:after="0" w:line="202" w:lineRule="exact"/>
        <w:rPr>
          <w:sz w:val="20"/>
          <w:szCs w:val="20"/>
          <w:color w:val="auto"/>
        </w:rPr>
      </w:pPr>
    </w:p>
    <w:p>
      <w:pPr>
        <w:ind w:left="660" w:hanging="331"/>
        <w:spacing w:after="0" w:line="288" w:lineRule="auto"/>
        <w:tabs>
          <w:tab w:leader="none" w:pos="624"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Average mean reduction from baseline in the MADRS total score across 2 cohorts was approximately 22 points from baseline in both dosing cohorts.</w:t>
      </w:r>
    </w:p>
    <w:p>
      <w:pPr>
        <w:ind w:left="640" w:hanging="311"/>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of patients on 12 mg and 75% on 16 mg were in remission from depression following 2 doses (MADRS score &lt;/= 10).</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spacing w:after="0" w:line="195"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pivotal study program will include a study with a three-arm design with a high dose, mid-dose, and placebo arm. Patients will not</w:t>
      </w:r>
    </w:p>
    <w:p>
      <w:pPr>
        <w:spacing w:after="0" w:line="65" w:lineRule="exact"/>
        <w:rPr>
          <w:rFonts w:ascii="Times New Roman" w:cs="Times New Roman" w:eastAsia="Times New Roman" w:hAnsi="Times New Roman"/>
          <w:sz w:val="19"/>
          <w:szCs w:val="19"/>
          <w:color w:val="auto"/>
        </w:rPr>
      </w:pPr>
    </w:p>
    <w:p>
      <w:pPr>
        <w:ind w:left="660"/>
        <w:spacing w:after="0" w:line="28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know if they received the therapeutic high dose or the sub therapeutic mid-dose, mitigating the unblinding to an extent and addressing potential expectancy bias;</w:t>
      </w:r>
    </w:p>
    <w:p>
      <w:pPr>
        <w:spacing w:after="0" w:line="1" w:lineRule="exact"/>
        <w:rPr>
          <w:rFonts w:ascii="Times New Roman" w:cs="Times New Roman" w:eastAsia="Times New Roman" w:hAnsi="Times New Roman"/>
          <w:sz w:val="19"/>
          <w:szCs w:val="19"/>
          <w:color w:val="auto"/>
        </w:rPr>
      </w:pPr>
    </w:p>
    <w:p>
      <w:pPr>
        <w:ind w:left="660" w:right="20" w:hanging="328"/>
        <w:spacing w:after="0" w:line="288"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utilize remote, independent, blinded raters who will not have any information on the dose received or the participant’s dosing experience;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of effects during the dosing session will be fire-walled to ensure that the study team stays blinded;</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recruit participants who are largely psychedelic naïve to reduce the impact of expectancy bias; and</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assess long-term efficacy data points up to one year, to outlast any potential expectancy effects.</w:t>
      </w:r>
    </w:p>
    <w:p>
      <w:pPr>
        <w:spacing w:after="0" w:line="28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addition, the studies will include manual and real time artificial intelligence screening of monitoring sessions to ensure monitor fidelity and patient safety.</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18, 2024, the Company reported positive Phase 2 data for CYB003, demonstrating 12-month efficacy in treating MDD. At 12 months after two 16 mg doses, 100% of participants were responsive to treatment and 71% of participants were in remission. The mean change from baseline in MADRS was approximately -23 points at 12 months after two 16 mg doses. CYB003 demonstrated an excellent safety and tolerability profile. No new adverse events were reported in the 12-month follow up, including no reports of suicidality.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3 PARADIGM Pivotal Program</w:t>
      </w:r>
    </w:p>
    <w:p>
      <w:pPr>
        <w:spacing w:after="0" w:line="28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November 13, 2024, the Company announced that it had initiated PARADIGM, a multinational pivotal Phase 3 program evaluating CYB003 for the adjunctive treatment of MDD.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Phase 3 program comprises three pivotal efficacy studies as outlined below. Dosing is underway in APPROACH, the first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pivotal study, and patient rollover has begun into EXTEND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defined below)..</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Pivotal study 1: APPROACH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(A P</w:t>
      </w:r>
      <w:r>
        <w:rPr>
          <w:rFonts w:ascii="Times New Roman" w:cs="Times New Roman" w:eastAsia="Times New Roman" w:hAnsi="Times New Roman"/>
          <w:sz w:val="20"/>
          <w:szCs w:val="20"/>
          <w:color w:val="auto"/>
        </w:rPr>
        <w:t>hase III,</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20"/>
          <w:szCs w:val="20"/>
          <w:color w:val="auto"/>
        </w:rPr>
        <w:t>lacebo-Controlled,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20"/>
          <w:szCs w:val="20"/>
          <w:color w:val="auto"/>
        </w:rPr>
        <w:t>andomized, Double-Blind Trial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20"/>
          <w:szCs w:val="20"/>
          <w:color w:val="auto"/>
        </w:rPr>
        <w:t>ral Doses of CYB003 to</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20"/>
          <w:szCs w:val="20"/>
          <w:color w:val="auto"/>
        </w:rPr>
        <w:t>ssess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20"/>
          <w:szCs w:val="20"/>
          <w:color w:val="auto"/>
        </w:rPr>
        <w:t>ombined Safety and Efficacy in</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20"/>
          <w:szCs w:val="20"/>
          <w:color w:val="auto"/>
        </w:rPr>
        <w:t>umans with Major Depressive Disorder)(“</w:t>
      </w:r>
      <w:r>
        <w:rPr>
          <w:rFonts w:ascii="Times New Roman" w:cs="Times New Roman" w:eastAsia="Times New Roman" w:hAnsi="Times New Roman"/>
          <w:sz w:val="20"/>
          <w:szCs w:val="20"/>
          <w:b w:val="1"/>
          <w:bCs w:val="1"/>
          <w:color w:val="auto"/>
        </w:rPr>
        <w:t>APPROACH</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(n=220) will be randomized 1:1 to receive either 16 mg of CYB003 (n=110) or inactive placebo (n=110). Each study</w:t>
      </w:r>
    </w:p>
    <w:p>
      <w:pPr>
        <w:spacing w:after="0" w:line="53" w:lineRule="exact"/>
        <w:rPr>
          <w:rFonts w:ascii="Times New Roman" w:cs="Times New Roman" w:eastAsia="Times New Roman" w:hAnsi="Times New Roman"/>
          <w:sz w:val="20"/>
          <w:szCs w:val="20"/>
          <w:color w:val="auto"/>
        </w:rPr>
      </w:pPr>
    </w:p>
    <w:p>
      <w:pPr>
        <w:ind w:left="66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25"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APPROACH will enroll participants at approximately 45 clinical sites across the U.S.</w:t>
      </w:r>
    </w:p>
    <w:p>
      <w:pPr>
        <w:spacing w:after="0" w:line="2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Pivotal study 2: EMBRACE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20"/>
          <w:szCs w:val="20"/>
          <w:color w:val="auto"/>
        </w:rPr>
        <w:t>fficacy and Safety, Phase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20"/>
          <w:szCs w:val="20"/>
          <w:color w:val="auto"/>
        </w:rPr>
        <w:t>ulti-center, Double-</w:t>
      </w:r>
      <w:r>
        <w:rPr>
          <w:rFonts w:ascii="Times New Roman" w:cs="Times New Roman" w:eastAsia="Times New Roman" w:hAnsi="Times New Roman"/>
          <w:sz w:val="20"/>
          <w:szCs w:val="20"/>
          <w:b w:val="1"/>
          <w:bCs w:val="1"/>
          <w:u w:val="single" w:color="auto"/>
          <w:color w:val="auto"/>
        </w:rPr>
        <w:t>B</w:t>
      </w:r>
      <w:r>
        <w:rPr>
          <w:rFonts w:ascii="Times New Roman" w:cs="Times New Roman" w:eastAsia="Times New Roman" w:hAnsi="Times New Roman"/>
          <w:sz w:val="20"/>
          <w:szCs w:val="20"/>
          <w:color w:val="auto"/>
        </w:rPr>
        <w:t>lind,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R</w:t>
      </w:r>
      <w:r>
        <w:rPr>
          <w:rFonts w:ascii="Times New Roman" w:cs="Times New Roman" w:eastAsia="Times New Roman" w:hAnsi="Times New Roman"/>
          <w:sz w:val="20"/>
          <w:szCs w:val="20"/>
          <w:color w:val="auto"/>
        </w:rPr>
        <w:t>andomized Controlled Study Comparing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20"/>
          <w:szCs w:val="20"/>
          <w:color w:val="auto"/>
        </w:rPr>
        <w:t>ctive and 1 Inactive Oral Doses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20"/>
          <w:szCs w:val="20"/>
          <w:color w:val="auto"/>
        </w:rPr>
        <w:t>YB003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20"/>
          <w:szCs w:val="20"/>
          <w:color w:val="auto"/>
        </w:rPr>
        <w:t>ligible Participants with Major Depressive Disorder) (“</w:t>
      </w:r>
      <w:r>
        <w:rPr>
          <w:rFonts w:ascii="Times New Roman" w:cs="Times New Roman" w:eastAsia="Times New Roman" w:hAnsi="Times New Roman"/>
          <w:sz w:val="20"/>
          <w:szCs w:val="20"/>
          <w:b w:val="1"/>
          <w:bCs w:val="1"/>
          <w:color w:val="auto"/>
        </w:rPr>
        <w:t>EMBRACE</w:t>
      </w:r>
      <w:r>
        <w:rPr>
          <w:rFonts w:ascii="Times New Roman" w:cs="Times New Roman" w:eastAsia="Times New Roman" w:hAnsi="Times New Roman"/>
          <w:sz w:val="20"/>
          <w:szCs w:val="20"/>
          <w:color w:val="auto"/>
        </w:rPr>
        <w:t>”).</w:t>
      </w:r>
    </w:p>
    <w:p>
      <w:pPr>
        <w:spacing w:after="0" w:line="227"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(n=330) will be randomized 1:1:1 to receive 16 mg of CYB003 (n=110), 8 mg of CYB003 (n=110), or inactive placebo</w:t>
      </w:r>
    </w:p>
    <w:p>
      <w:pPr>
        <w:spacing w:after="0" w:line="53" w:lineRule="exact"/>
        <w:rPr>
          <w:rFonts w:ascii="Times New Roman" w:cs="Times New Roman" w:eastAsia="Times New Roman" w:hAnsi="Times New Roman"/>
          <w:sz w:val="20"/>
          <w:szCs w:val="20"/>
          <w:color w:val="auto"/>
        </w:rPr>
      </w:pPr>
    </w:p>
    <w:p>
      <w:pPr>
        <w:jc w:val="both"/>
        <w:ind w:left="660"/>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(n=110). Each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11"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EMBRACE is expected to enroll at approximately 60 clinical sites, with minimal site overlap with the APPROACH study.</w:t>
      </w:r>
    </w:p>
    <w:p>
      <w:pPr>
        <w:spacing w:after="0" w:line="279"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auto"/>
        </w:rPr>
        <w:t>Pivotal study 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Open Label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Exten</w:t>
      </w:r>
      <w:r>
        <w:rPr>
          <w:rFonts w:ascii="Times New Roman" w:cs="Times New Roman" w:eastAsia="Times New Roman" w:hAnsi="Times New Roman"/>
          <w:sz w:val="20"/>
          <w:szCs w:val="20"/>
          <w:color w:val="auto"/>
        </w:rPr>
        <w:t>sion Study with Optional Additional Doses of CYB003 to Assess the Safety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Long-term Efficacy in Participants With Major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20"/>
          <w:szCs w:val="20"/>
          <w:color w:val="auto"/>
        </w:rPr>
        <w:t>epressive Disorder).</w:t>
      </w:r>
    </w:p>
    <w:p>
      <w:pPr>
        <w:spacing w:after="0" w:line="197" w:lineRule="exact"/>
        <w:rPr>
          <w:sz w:val="20"/>
          <w:szCs w:val="20"/>
          <w:color w:val="auto"/>
        </w:rPr>
      </w:pPr>
    </w:p>
    <w:p>
      <w:pPr>
        <w:jc w:val="both"/>
        <w:ind w:left="660" w:hanging="328"/>
        <w:spacing w:after="0" w:line="301" w:lineRule="auto"/>
        <w:tabs>
          <w:tab w:leader="none" w:pos="64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w:t>
      </w:r>
    </w:p>
    <w:p>
      <w:pPr>
        <w:spacing w:after="0" w:line="1" w:lineRule="exact"/>
        <w:rPr>
          <w:rFonts w:ascii="Times New Roman" w:cs="Times New Roman" w:eastAsia="Times New Roman" w:hAnsi="Times New Roman"/>
          <w:sz w:val="19"/>
          <w:szCs w:val="19"/>
          <w:color w:val="auto"/>
        </w:rPr>
      </w:pPr>
    </w:p>
    <w:p>
      <w:pPr>
        <w:ind w:left="660" w:right="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CYB003 (16 mg) administered three weeks apart. Participants who do not respond to these two doses or relapse again will be eligible to receive an additional single 16 mg dose of CYB003.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325" w:lineRule="auto"/>
        <w:rPr>
          <w:sz w:val="20"/>
          <w:szCs w:val="20"/>
          <w:color w:val="auto"/>
        </w:rPr>
      </w:pPr>
      <w:r>
        <w:rPr>
          <w:rFonts w:ascii="Times New Roman" w:cs="Times New Roman" w:eastAsia="Times New Roman" w:hAnsi="Times New Roman"/>
          <w:sz w:val="20"/>
          <w:szCs w:val="20"/>
          <w:color w:val="auto"/>
        </w:rPr>
        <w:t>Across all three studies, raters will be remote, independent, and blinded with no information on the dose received or the participant’s dosing experience. Effects during the dosing session will be firewalled to ensure that the study team stays blinded.</w:t>
      </w:r>
    </w:p>
    <w:p>
      <w:pPr>
        <w:spacing w:after="0" w:line="170"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color w:val="auto"/>
        </w:rPr>
        <w:t>On January 15, 2025, the Company announced the launch of its first strategic partnership agreement (“</w:t>
      </w:r>
      <w:r>
        <w:rPr>
          <w:rFonts w:ascii="Times New Roman" w:cs="Times New Roman" w:eastAsia="Times New Roman" w:hAnsi="Times New Roman"/>
          <w:sz w:val="20"/>
          <w:szCs w:val="20"/>
          <w:b w:val="1"/>
          <w:bCs w:val="1"/>
          <w:color w:val="auto"/>
        </w:rPr>
        <w:t>SPA</w:t>
      </w:r>
      <w:r>
        <w:rPr>
          <w:rFonts w:ascii="Times New Roman" w:cs="Times New Roman" w:eastAsia="Times New Roman" w:hAnsi="Times New Roman"/>
          <w:sz w:val="20"/>
          <w:szCs w:val="20"/>
          <w:color w:val="auto"/>
        </w:rPr>
        <w:t>”) with Segal Trials in furtherance of the Company’s multinational pivotal Phase 3 program evaluating CYB003 for the adjunctive treatment of MDD.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$12,124 on the Deuterated Psilocin Program during the three months ended June 30, 2025.</w:t>
      </w:r>
    </w:p>
    <w:p>
      <w:pPr>
        <w:spacing w:after="0" w:line="283"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As the Company continues to progress through the CYB003 program, additional milestones related its clinical development have been identified. The Company intends to:</w:t>
      </w:r>
    </w:p>
    <w:p>
      <w:pPr>
        <w:spacing w:after="0" w:line="200" w:lineRule="exact"/>
        <w:rPr>
          <w:sz w:val="20"/>
          <w:szCs w:val="20"/>
          <w:color w:val="auto"/>
        </w:rPr>
      </w:pPr>
    </w:p>
    <w:p>
      <w:pPr>
        <w:ind w:left="620" w:hanging="291"/>
        <w:spacing w:after="0"/>
        <w:tabs>
          <w:tab w:leader="none" w:pos="6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Initiate the second Phase 3 study, EMBRACE, around mid-year 2025.</w:t>
      </w:r>
      <w:r>
        <w:rPr>
          <w:rFonts w:ascii="Times New Roman" w:cs="Times New Roman" w:eastAsia="Times New Roman" w:hAnsi="Times New Roman"/>
          <w:sz w:val="25"/>
          <w:szCs w:val="25"/>
          <w:color w:val="auto"/>
          <w:vertAlign w:val="superscript"/>
        </w:rPr>
        <w:t>9</w:t>
      </w:r>
    </w:p>
    <w:p>
      <w:pPr>
        <w:spacing w:after="0" w:line="4" w:lineRule="exact"/>
        <w:rPr>
          <w:rFonts w:ascii="Arial" w:cs="Arial" w:eastAsia="Arial" w:hAnsi="Arial"/>
          <w:sz w:val="20"/>
          <w:szCs w:val="20"/>
          <w:color w:val="auto"/>
        </w:rPr>
      </w:pPr>
    </w:p>
    <w:p>
      <w:pPr>
        <w:ind w:left="640" w:hanging="311"/>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topline efficacy data readout from the first Phase 3 study, APPROACH, in 2026.</w:t>
      </w:r>
      <w:r>
        <w:rPr>
          <w:rFonts w:ascii="Times New Roman" w:cs="Times New Roman" w:eastAsia="Times New Roman" w:hAnsi="Times New Roman"/>
          <w:sz w:val="25"/>
          <w:szCs w:val="25"/>
          <w:color w:val="auto"/>
          <w:vertAlign w:val="superscript"/>
        </w:rPr>
        <w:t>10</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The Company spent approximately $6,908 to initiate the Phase 3 extension study, EXTEND, of which approximately $2,092 was spent during the three months ended June 30, 2025, and approximately $4,816</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20"/>
          <w:szCs w:val="20"/>
          <w:color w:val="auto"/>
        </w:rPr>
        <w:t xml:space="preserve"> was spent in prior fiscal years.</w:t>
      </w:r>
    </w:p>
    <w:p>
      <w:pPr>
        <w:spacing w:after="0" w:line="8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expects to spend approximately $6,385</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to initiate the second Phase 3 study, EMBRACE, around mid-year 2025 of which approximately $2,352 was spent during the three months ended June 30, 2025, and approximately $3,661</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was spent in prior fiscal years, resulting in an approximate remaining spend as of June 30, 2025, of $372 by around mid-year 2025.</w:t>
      </w:r>
      <w:r>
        <w:rPr>
          <w:rFonts w:ascii="Times New Roman" w:cs="Times New Roman" w:eastAsia="Times New Roman" w:hAnsi="Times New Roman"/>
          <w:sz w:val="25"/>
          <w:szCs w:val="25"/>
          <w:color w:val="auto"/>
          <w:vertAlign w:val="superscript"/>
        </w:rPr>
        <w:t>14</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The Company expects to spend approximately $40,101</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20"/>
          <w:szCs w:val="20"/>
          <w:color w:val="auto"/>
        </w:rPr>
        <w:t xml:space="preserve"> to provide topline efficacy data readout from the first Phase 3 study, APPROACH, in 2026 of which approximately $4,945 was spent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8" w:lineRule="exact"/>
        <w:rPr>
          <w:sz w:val="20"/>
          <w:szCs w:val="20"/>
          <w:color w:val="auto"/>
        </w:rPr>
      </w:pPr>
    </w:p>
    <w:p>
      <w:pPr>
        <w:jc w:val="both"/>
        <w:ind w:firstLine="8"/>
        <w:spacing w:after="0" w:line="234" w:lineRule="auto"/>
        <w:tabs>
          <w:tab w:leader="none" w:pos="8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7"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9.</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Previously disclosed in CAD and converted from USD to CAD at an exchange rate of 1.3913:1</w:t>
      </w:r>
    </w:p>
    <w:p>
      <w:pPr>
        <w:spacing w:after="0" w:line="37" w:lineRule="exact"/>
        <w:rPr>
          <w:rFonts w:ascii="Times New Roman" w:cs="Times New Roman" w:eastAsia="Times New Roman" w:hAnsi="Times New Roman"/>
          <w:sz w:val="21"/>
          <w:szCs w:val="21"/>
          <w:color w:val="auto"/>
          <w:vertAlign w:val="superscript"/>
        </w:rPr>
      </w:pPr>
    </w:p>
    <w:p>
      <w:pPr>
        <w:jc w:val="both"/>
        <w:ind w:firstLine="8"/>
        <w:spacing w:after="0" w:line="232" w:lineRule="auto"/>
        <w:tabs>
          <w:tab w:leader="none" w:pos="159"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$6,196 (previously disclosed as C$8,620).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9.</w:t>
      </w:r>
    </w:p>
    <w:p>
      <w:pPr>
        <w:spacing w:after="0" w:line="3" w:lineRule="exact"/>
        <w:rPr>
          <w:rFonts w:ascii="Times New Roman" w:cs="Times New Roman" w:eastAsia="Times New Roman" w:hAnsi="Times New Roman"/>
          <w:sz w:val="21"/>
          <w:szCs w:val="21"/>
          <w:color w:val="auto"/>
          <w:vertAlign w:val="superscript"/>
        </w:rPr>
      </w:pPr>
    </w:p>
    <w:p>
      <w:pPr>
        <w:ind w:left="160" w:hanging="152"/>
        <w:spacing w:after="0" w:line="228" w:lineRule="auto"/>
        <w:tabs>
          <w:tab w:leader="none" w:pos="1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11.</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9.</w:t>
      </w:r>
    </w:p>
    <w:p>
      <w:pPr>
        <w:spacing w:after="0" w:line="50"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41" w:name="page42"/>
    <w:bookmarkEnd w:id="41"/>
    <w:p>
      <w:pPr>
        <w:jc w:val="both"/>
        <w:spacing w:after="0" w:line="269" w:lineRule="auto"/>
        <w:rPr>
          <w:sz w:val="20"/>
          <w:szCs w:val="20"/>
          <w:color w:val="auto"/>
        </w:rPr>
      </w:pPr>
      <w:r>
        <w:rPr>
          <w:rFonts w:ascii="Times New Roman" w:cs="Times New Roman" w:eastAsia="Times New Roman" w:hAnsi="Times New Roman"/>
          <w:sz w:val="20"/>
          <w:szCs w:val="20"/>
          <w:color w:val="auto"/>
        </w:rPr>
        <w:t>three months ended June 30, 2025, and approximately $3,717</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20"/>
          <w:szCs w:val="20"/>
          <w:color w:val="auto"/>
        </w:rPr>
        <w:t xml:space="preserve"> was spent in prior fiscal years, resulting in an approximate remaining spend as of June 30, 2025, of $31,439 by the milestone completion in 2026.</w:t>
      </w:r>
      <w:r>
        <w:rPr>
          <w:rFonts w:ascii="Times New Roman" w:cs="Times New Roman" w:eastAsia="Times New Roman" w:hAnsi="Times New Roman"/>
          <w:sz w:val="25"/>
          <w:szCs w:val="25"/>
          <w:color w:val="auto"/>
          <w:vertAlign w:val="superscript"/>
        </w:rPr>
        <w:t>17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Deuterated Psilocin (CYB003)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complete future clinical trials for this program in the U.S., Europe, the UK and Australia.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Deuterated Dimethyltryptamine Program</w:t>
      </w:r>
    </w:p>
    <w:p>
      <w:pPr>
        <w:spacing w:after="0" w:line="27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The Company’s proprietary deuterated dimethyltryptamine (“</w:t>
      </w:r>
      <w:r>
        <w:rPr>
          <w:rFonts w:ascii="Times New Roman" w:cs="Times New Roman" w:eastAsia="Times New Roman" w:hAnsi="Times New Roman"/>
          <w:sz w:val="20"/>
          <w:szCs w:val="20"/>
          <w:b w:val="1"/>
          <w:bCs w:val="1"/>
          <w:color w:val="auto"/>
        </w:rPr>
        <w:t>dDMT</w:t>
      </w:r>
      <w:r>
        <w:rPr>
          <w:rFonts w:ascii="Times New Roman" w:cs="Times New Roman" w:eastAsia="Times New Roman" w:hAnsi="Times New Roman"/>
          <w:sz w:val="20"/>
          <w:szCs w:val="20"/>
          <w:color w:val="auto"/>
        </w:rPr>
        <w:t>”) program CYB004 is being developed as an intermittent treatment with the potential for less invasive, more convenient and patient-friendly dosing methods for the potential treatment of GAD. A single intramuscular (“</w:t>
      </w:r>
      <w:r>
        <w:rPr>
          <w:rFonts w:ascii="Times New Roman" w:cs="Times New Roman" w:eastAsia="Times New Roman" w:hAnsi="Times New Roman"/>
          <w:sz w:val="20"/>
          <w:szCs w:val="20"/>
          <w:b w:val="1"/>
          <w:bCs w:val="1"/>
          <w:color w:val="auto"/>
        </w:rPr>
        <w:t>IM</w:t>
      </w:r>
      <w:r>
        <w:rPr>
          <w:rFonts w:ascii="Times New Roman" w:cs="Times New Roman" w:eastAsia="Times New Roman" w:hAnsi="Times New Roman"/>
          <w:sz w:val="20"/>
          <w:szCs w:val="20"/>
          <w:color w:val="auto"/>
        </w:rPr>
        <w:t>”) dose is expected to result in acute psychedelic effects lasting an average of 90 minutes.</w:t>
      </w:r>
    </w:p>
    <w:p>
      <w:pPr>
        <w:spacing w:after="0" w:line="19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findings from these completed studies are as follows:</w:t>
      </w:r>
    </w:p>
    <w:p>
      <w:pPr>
        <w:spacing w:after="0" w:line="283" w:lineRule="exact"/>
        <w:rPr>
          <w:sz w:val="20"/>
          <w:szCs w:val="20"/>
          <w:color w:val="auto"/>
        </w:rPr>
      </w:pPr>
    </w:p>
    <w:p>
      <w:pPr>
        <w:ind w:left="620" w:hanging="291"/>
        <w:spacing w:after="0"/>
        <w:tabs>
          <w:tab w:leader="none" w:pos="6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Phase 2a safety and efficacy data for SPL026 (IV DMT) in 34 participants with MDD, demonstrating a clinically relevant and</w:t>
      </w:r>
    </w:p>
    <w:p>
      <w:pPr>
        <w:spacing w:after="0" w:line="52" w:lineRule="exact"/>
        <w:rPr>
          <w:rFonts w:ascii="Arial" w:cs="Arial" w:eastAsia="Arial" w:hAnsi="Arial"/>
          <w:sz w:val="20"/>
          <w:szCs w:val="20"/>
          <w:color w:val="auto"/>
        </w:rPr>
      </w:pPr>
    </w:p>
    <w:p>
      <w:pPr>
        <w:jc w:val="both"/>
        <w:ind w:left="660"/>
        <w:spacing w:after="0" w:line="286" w:lineRule="auto"/>
        <w:rPr>
          <w:rFonts w:ascii="Arial" w:cs="Arial" w:eastAsia="Arial" w:hAnsi="Arial"/>
          <w:sz w:val="20"/>
          <w:szCs w:val="20"/>
          <w:color w:val="auto"/>
        </w:rPr>
      </w:pPr>
      <w:r>
        <w:rPr>
          <w:rFonts w:ascii="Times New Roman" w:cs="Times New Roman" w:eastAsia="Times New Roman" w:hAnsi="Times New Roman"/>
          <w:sz w:val="20"/>
          <w:szCs w:val="20"/>
          <w:color w:val="auto"/>
        </w:rPr>
        <w:t>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spacing w:after="0" w:line="1"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SPL026 supporting IM administration for patient-friendly dosing. The study demonstrated that IM DMT is well-tolerated and generates a breakthrough psychedelic experience lasting approximately 45 minutes.</w:t>
      </w:r>
    </w:p>
    <w:p>
      <w:pPr>
        <w:jc w:val="both"/>
        <w:ind w:left="660" w:hanging="331"/>
        <w:spacing w:after="0" w:line="284" w:lineRule="auto"/>
        <w:tabs>
          <w:tab w:leader="none" w:pos="624"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SPL028 supporting IM administration for patient-friendly dosing. The completed Phase 1 study of IV/IM SPL028 in healthy volunteers showed that SPL028 is safe and well-tolerated, and demonstrated that IM dosing of SPL028 produced robust psychedelic effects lasting a short duration (average approximately 90 minutes) in the majority of subjects.</w:t>
      </w:r>
    </w:p>
    <w:p>
      <w:pPr>
        <w:spacing w:after="0" w:line="2" w:lineRule="exact"/>
        <w:rPr>
          <w:rFonts w:ascii="Arial" w:cs="Arial" w:eastAsia="Arial" w:hAnsi="Arial"/>
          <w:sz w:val="20"/>
          <w:szCs w:val="20"/>
          <w:color w:val="auto"/>
        </w:rPr>
      </w:pPr>
    </w:p>
    <w:p>
      <w:pPr>
        <w:ind w:left="660" w:hanging="331"/>
        <w:spacing w:after="0" w:line="343" w:lineRule="auto"/>
        <w:tabs>
          <w:tab w:leader="none" w:pos="624"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Phase 1b study evaluating the safety and efficacy of SPL026 in conjunction with selective serotonin reuptake inhibitors (“</w:t>
      </w:r>
      <w:r>
        <w:rPr>
          <w:rFonts w:ascii="Times New Roman" w:cs="Times New Roman" w:eastAsia="Times New Roman" w:hAnsi="Times New Roman"/>
          <w:sz w:val="19"/>
          <w:szCs w:val="19"/>
          <w:b w:val="1"/>
          <w:bCs w:val="1"/>
          <w:color w:val="auto"/>
        </w:rPr>
        <w:t>SSRIs</w:t>
      </w:r>
      <w:r>
        <w:rPr>
          <w:rFonts w:ascii="Times New Roman" w:cs="Times New Roman" w:eastAsia="Times New Roman" w:hAnsi="Times New Roman"/>
          <w:sz w:val="19"/>
          <w:szCs w:val="19"/>
          <w:color w:val="auto"/>
        </w:rPr>
        <w:t>”) in 17 participants with MDD, demonstrating no relevant drug-drug interactions, a favorable safety profile and enhanced efficacy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714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3"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11.</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20"/>
          <w:szCs w:val="20"/>
          <w:color w:val="auto"/>
        </w:rPr>
        <w:t>SPL026 was administered with SSRIs, and a 92% remission rate at 4 weeks in the DMT + SSRI combination cohort (n=12).</w:t>
      </w:r>
    </w:p>
    <w:p>
      <w:pPr>
        <w:spacing w:after="0" w:line="54" w:lineRule="exact"/>
        <w:rPr>
          <w:sz w:val="20"/>
          <w:szCs w:val="20"/>
          <w:color w:val="auto"/>
        </w:rPr>
      </w:pPr>
    </w:p>
    <w:p>
      <w:pPr>
        <w:ind w:left="660" w:hanging="331"/>
        <w:spacing w:after="0" w:line="310" w:lineRule="auto"/>
        <w:tabs>
          <w:tab w:leader="none" w:pos="624"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Phase 1 results for IV CYB004 demonstrated robust and rapid-onset psychedelic effects at lower doses compared to native DMT, suggesting potential as a short-acting, scalable treatment.</w:t>
      </w:r>
    </w:p>
    <w:p>
      <w:pPr>
        <w:spacing w:after="0" w:line="18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is currently advancing CYB004, a deuterated version of DMT, for the potential treatment of GAD. DMT activates the serotonin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20"/>
          <w:szCs w:val="20"/>
          <w:color w:val="auto"/>
        </w:rPr>
        <w:t xml:space="preserve"> receptor, which is believed to mediate the potential therapeutic effects of DMT.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22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CYB004 is secured by a U.S. composition of matter patent with protection through 2041. The patent covers a range of deuteration forms of DMT and protects CYB004 as a putative new chemical entity.</w:t>
      </w:r>
    </w:p>
    <w:p>
      <w:pPr>
        <w:spacing w:after="0" w:line="19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9"/>
          <w:szCs w:val="19"/>
          <w:color w:val="auto"/>
        </w:rPr>
        <w:t>On June 7, 2022, the Company announced it had entered into an agreement to acquire a Phase 1 DMT study (the “</w:t>
      </w:r>
      <w:r>
        <w:rPr>
          <w:rFonts w:ascii="Times New Roman" w:cs="Times New Roman" w:eastAsia="Times New Roman" w:hAnsi="Times New Roman"/>
          <w:sz w:val="19"/>
          <w:szCs w:val="19"/>
          <w:b w:val="1"/>
          <w:bCs w:val="1"/>
          <w:color w:val="auto"/>
        </w:rPr>
        <w:t>Asset Acquisition</w:t>
      </w:r>
      <w:r>
        <w:rPr>
          <w:rFonts w:ascii="Times New Roman" w:cs="Times New Roman" w:eastAsia="Times New Roman" w:hAnsi="Times New Roman"/>
          <w:sz w:val="19"/>
          <w:szCs w:val="19"/>
          <w:color w:val="auto"/>
        </w:rPr>
        <w:t>”) from Entheon Biomedical Corp. (“</w:t>
      </w:r>
      <w:r>
        <w:rPr>
          <w:rFonts w:ascii="Times New Roman" w:cs="Times New Roman" w:eastAsia="Times New Roman" w:hAnsi="Times New Roman"/>
          <w:sz w:val="19"/>
          <w:szCs w:val="19"/>
          <w:b w:val="1"/>
          <w:bCs w:val="1"/>
          <w:color w:val="auto"/>
        </w:rPr>
        <w:t>Entheon</w:t>
      </w:r>
      <w:r>
        <w:rPr>
          <w:rFonts w:ascii="Times New Roman" w:cs="Times New Roman" w:eastAsia="Times New Roman" w:hAnsi="Times New Roman"/>
          <w:sz w:val="19"/>
          <w:szCs w:val="19"/>
          <w:color w:val="auto"/>
        </w:rPr>
        <w:t>”)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w:t>
      </w:r>
    </w:p>
    <w:p>
      <w:pPr>
        <w:spacing w:after="0" w:line="18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January 12, 2023, the Company announced that it has selected GAD as the target indication for its proprietary deuterated DMT molecule, CYB004.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1 CYB004-E DMT Study</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43" w:name="page44"/>
    <w:bookmarkEnd w:id="43"/>
    <w:p>
      <w:pPr>
        <w:jc w:val="both"/>
        <w:spacing w:after="0" w:line="325" w:lineRule="auto"/>
        <w:rPr>
          <w:sz w:val="20"/>
          <w:szCs w:val="20"/>
          <w:color w:val="auto"/>
        </w:rPr>
      </w:pPr>
      <w:r>
        <w:rPr>
          <w:rFonts w:ascii="Times New Roman" w:cs="Times New Roman" w:eastAsia="Times New Roman" w:hAnsi="Times New Roman"/>
          <w:sz w:val="20"/>
          <w:szCs w:val="20"/>
          <w:color w:val="auto"/>
        </w:rPr>
        <w:t>On November 10, 2022, the Company announced that its CYB004-E Phase 1 trial evaluating IV DMT completed dosing for four out of five cohorts and that the Safety Review Committee had confirmed no safety issues.</w:t>
      </w:r>
    </w:p>
    <w:p>
      <w:pPr>
        <w:spacing w:after="0" w:line="1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9, 2023, the Company announced that it had completed dosing for the last subject in Part B of the Phase 1 CYB004-E trial.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24, 2023, the Company announced that it had initiated first-in-human dosing of CYB004 in Part C of the Phase 1 CYB004-E trial.</w:t>
      </w:r>
    </w:p>
    <w:p>
      <w:pPr>
        <w:spacing w:after="0" w:line="28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January 8, 2024, the Company announced positive topline results from its Phase 1 studies of its proprietary deuterated DMT molecules, CYB004 and SPL028.</w:t>
      </w:r>
    </w:p>
    <w:p>
      <w:pPr>
        <w:spacing w:after="0" w:line="174" w:lineRule="exact"/>
        <w:rPr>
          <w:sz w:val="20"/>
          <w:szCs w:val="20"/>
          <w:color w:val="auto"/>
        </w:rPr>
      </w:pPr>
    </w:p>
    <w:p>
      <w:pPr>
        <w:ind w:left="620" w:hanging="291"/>
        <w:spacing w:after="0"/>
        <w:tabs>
          <w:tab w:leader="none" w:pos="6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CYB004 study results showed that IV CYB004 demonstrated robust and rapid-onset psychedelic effects at lower doses</w:t>
      </w:r>
    </w:p>
    <w:p>
      <w:pPr>
        <w:spacing w:after="0" w:line="52" w:lineRule="exact"/>
        <w:rPr>
          <w:rFonts w:ascii="Arial" w:cs="Arial" w:eastAsia="Arial" w:hAnsi="Arial"/>
          <w:sz w:val="20"/>
          <w:szCs w:val="20"/>
          <w:color w:val="auto"/>
        </w:rPr>
      </w:pPr>
    </w:p>
    <w:p>
      <w:pPr>
        <w:ind w:left="660"/>
        <w:spacing w:after="0" w:line="281" w:lineRule="auto"/>
        <w:rPr>
          <w:rFonts w:ascii="Arial" w:cs="Arial" w:eastAsia="Arial" w:hAnsi="Arial"/>
          <w:sz w:val="20"/>
          <w:szCs w:val="20"/>
          <w:color w:val="auto"/>
        </w:rPr>
      </w:pPr>
      <w:r>
        <w:rPr>
          <w:rFonts w:ascii="Times New Roman" w:cs="Times New Roman" w:eastAsia="Times New Roman" w:hAnsi="Times New Roman"/>
          <w:sz w:val="20"/>
          <w:szCs w:val="20"/>
          <w:color w:val="auto"/>
        </w:rPr>
        <w:t>compared to native DMT. These psychedelic effects were rapid in onset when administered as an IV bolus over five minutes and persisted for about 40 minutes after the bolus without the need for an extended infusion.</w:t>
      </w:r>
    </w:p>
    <w:p>
      <w:pPr>
        <w:spacing w:after="0" w:line="1"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SPL028 study identified an IM dose of SPL028 that resulted in a breakthrough psychedelic experience, with a total duration ranging from 55 to 120 minutes.</w:t>
      </w:r>
    </w:p>
    <w:p>
      <w:pPr>
        <w:ind w:left="660" w:hanging="331"/>
        <w:spacing w:after="0" w:line="310" w:lineRule="auto"/>
        <w:tabs>
          <w:tab w:leader="none" w:pos="624"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Both CYB004 (IV) and SPL028 (IM and IV) were well-tolerated with no serious adverse events, and the majority of adverse events were mild to moderate and self-limiting.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23, 2024, the Company announced that it had received FDA clearance to initiate a Phase 2 study of CYB004 in GAD.</w:t>
      </w:r>
    </w:p>
    <w:p>
      <w:pPr>
        <w:spacing w:after="0" w:line="283" w:lineRule="exact"/>
        <w:rPr>
          <w:sz w:val="20"/>
          <w:szCs w:val="20"/>
          <w:color w:val="auto"/>
        </w:rPr>
      </w:pPr>
    </w:p>
    <w:p>
      <w:pPr>
        <w:ind w:right="420"/>
        <w:spacing w:after="0" w:line="325" w:lineRule="auto"/>
        <w:rPr>
          <w:sz w:val="20"/>
          <w:szCs w:val="20"/>
          <w:color w:val="auto"/>
        </w:rPr>
      </w:pPr>
      <w:r>
        <w:rPr>
          <w:rFonts w:ascii="Times New Roman" w:cs="Times New Roman" w:eastAsia="Times New Roman" w:hAnsi="Times New Roman"/>
          <w:sz w:val="20"/>
          <w:szCs w:val="20"/>
          <w:color w:val="auto"/>
        </w:rPr>
        <w:t>On March 15, 2024, the Company announced that it had initiated a Phase 2 study of IM CYB004 in participants with moderate to severe GAD.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auto"/>
        </w:rPr>
        <w:t>About the Phase 2 CYB004 Study in GAD</w:t>
      </w:r>
    </w:p>
    <w:p>
      <w:pPr>
        <w:spacing w:after="0" w:line="2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sub-therapeutic doses of CYB004. The primary endpoint is a change in the Hamilton Anxiety Rating Scale score from baseline at six weeks following the second dose. Other endpoints include the HAM-D (Hamilton Depression Rating Scale), safety assessments, MEQ30 (psychedelic experience assessment) and EQ-5D-5L (quality of life assessment). Participants will be followed for up to a year. Results from this study are expected to provide proof of concept for CYB004’s efficacy in GAD, the time to onset of effects, as well as durability of effects to one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$2,770 on its Deuterated Dimethyltryptamine Program during the three months ended June 30, 2025.</w:t>
      </w:r>
    </w:p>
    <w:p>
      <w:pPr>
        <w:spacing w:after="0" w:line="28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the Company continues to progress its Deuterated Dimethyltryptamine Program, additional milestones related to its clinical development have been identified. The Company intends to:</w:t>
      </w:r>
    </w:p>
    <w:p>
      <w:pPr>
        <w:spacing w:after="0" w:line="174" w:lineRule="exact"/>
        <w:rPr>
          <w:sz w:val="20"/>
          <w:szCs w:val="20"/>
          <w:color w:val="auto"/>
        </w:rPr>
      </w:pPr>
    </w:p>
    <w:p>
      <w:pPr>
        <w:ind w:left="620" w:hanging="291"/>
        <w:spacing w:after="0"/>
        <w:tabs>
          <w:tab w:leader="none" w:pos="6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Complete the Phase 2 GAD study in December 2025.</w:t>
      </w:r>
      <w:r>
        <w:rPr>
          <w:rFonts w:ascii="Times New Roman" w:cs="Times New Roman" w:eastAsia="Times New Roman" w:hAnsi="Times New Roman"/>
          <w:sz w:val="25"/>
          <w:szCs w:val="25"/>
          <w:color w:val="auto"/>
          <w:vertAlign w:val="superscript"/>
        </w:rPr>
        <w:t>18</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expects to spend approximately $8,944</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20"/>
          <w:szCs w:val="20"/>
          <w:color w:val="auto"/>
        </w:rPr>
        <w:t xml:space="preserve"> to complete the Phase 2 GAD study by the milestone completion in December 2025 of which approximately $1,446 was spent during the three months ended June 30, 2025 and approximately $5,030</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20"/>
          <w:szCs w:val="20"/>
          <w:color w:val="auto"/>
        </w:rPr>
        <w:t xml:space="preserve"> was spent in prior fiscal years, resulting in an approximate remaining spend as of June 30, 2025 of $2,468 by the milestone completion in December 2025.</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20"/>
          <w:szCs w:val="20"/>
          <w:color w:val="auto"/>
        </w:rPr>
        <w:t xml:space="preserve"> Enrollment in the study is expected to be completed in August 2025</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Deuterated Dimethyltryptamine (CYB004)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 Phenethylamine and Tryptamine Derivatives Program (CYB005)</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Phenethylamine and Tryptamine Derivatives Program (CYB005) is focused on the development of therapeutic phenethylamine and tryptamine derivatives. In Q2 2025, the program, which historically focused on phenethylamine derivatives, was expanded to include tryptamine derivatives. Studies that have been conducted with compounds of a similar chemical structure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14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0"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has updated this milestone. The Company had previously expected it would complete this milestone by around mid-year 2025. See also footnote 9.</w:t>
      </w:r>
    </w:p>
    <w:p>
      <w:pPr>
        <w:jc w:val="both"/>
        <w:ind w:firstLine="8"/>
        <w:spacing w:after="0" w:line="243" w:lineRule="auto"/>
        <w:tabs>
          <w:tab w:leader="none" w:pos="146"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 had previously estimated that its spending to complete this milestone would be $7,722 (previously disclosed as C$10,744).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9</w:t>
      </w:r>
    </w:p>
    <w:p>
      <w:pPr>
        <w:ind w:left="160" w:hanging="152"/>
        <w:spacing w:after="0" w:line="187" w:lineRule="auto"/>
        <w:tabs>
          <w:tab w:leader="none" w:pos="16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11.</w:t>
      </w:r>
    </w:p>
    <w:p>
      <w:pPr>
        <w:ind w:left="160" w:hanging="152"/>
        <w:spacing w:after="0" w:line="187" w:lineRule="auto"/>
        <w:tabs>
          <w:tab w:leader="none" w:pos="16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9.</w:t>
      </w:r>
    </w:p>
    <w:p>
      <w:pPr>
        <w:ind w:left="160" w:hanging="152"/>
        <w:spacing w:after="0" w:line="191" w:lineRule="auto"/>
        <w:tabs>
          <w:tab w:leader="none" w:pos="16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93" w:lineRule="auto"/>
        <w:rPr>
          <w:sz w:val="20"/>
          <w:szCs w:val="20"/>
          <w:color w:val="auto"/>
        </w:rPr>
      </w:pPr>
      <w:r>
        <w:rPr>
          <w:rFonts w:ascii="Times New Roman" w:cs="Times New Roman" w:eastAsia="Times New Roman" w:hAnsi="Times New Roman"/>
          <w:sz w:val="20"/>
          <w:szCs w:val="20"/>
          <w:color w:val="auto"/>
        </w:rPr>
        <w:t>demonstrated potential for therapeutic use. The CYB005 program builds upon the current understanding of the mechanisms of action of psychedelics and aims to identify key polypharmacological combinations capable of mediating therapeutic effects for target indications. Cybin’s proprietary approach to phenethylamines and tryptamines modification with novel chemistry, proprietary formulations and directed delivery systems has yielded a number of novel, IP-protected leads with diverse pharmacology. Several compounds are now being further studied both in vitro and in vivo for selection of the best development candidates based on neuroplasticity mediated brain circuit rewiring to achieve therapeutic efficacy, including through sub-psychedelic and chronic dosing. The Company is investigating the efficacy and durability of the lead compounds to induce neuroplasticity as a therapeutic biomarker, and for the potential treatment of a range of psychiatric and neurological conditions.</w:t>
      </w:r>
      <w:r>
        <w:rPr>
          <w:rFonts w:ascii="Times New Roman" w:cs="Times New Roman" w:eastAsia="Times New Roman" w:hAnsi="Times New Roman"/>
          <w:sz w:val="25"/>
          <w:szCs w:val="25"/>
          <w:color w:val="auto"/>
          <w:vertAlign w:val="superscript"/>
        </w:rPr>
        <w:t>23</w:t>
      </w:r>
    </w:p>
    <w:p>
      <w:pPr>
        <w:spacing w:after="0" w:line="12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In order to assess the feasibility and viability of these phenethylamine and tryptamine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Current Good Manufacturing Practices (“</w:t>
      </w:r>
      <w:r>
        <w:rPr>
          <w:rFonts w:ascii="Times New Roman" w:cs="Times New Roman" w:eastAsia="Times New Roman" w:hAnsi="Times New Roman"/>
          <w:sz w:val="19"/>
          <w:szCs w:val="19"/>
          <w:b w:val="1"/>
          <w:bCs w:val="1"/>
          <w:color w:val="auto"/>
        </w:rPr>
        <w:t>cGMP</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9"/>
          <w:szCs w:val="19"/>
          <w:b w:val="1"/>
          <w:bCs w:val="1"/>
          <w:color w:val="auto"/>
        </w:rPr>
        <w:t>ADME</w:t>
      </w:r>
      <w:r>
        <w:rPr>
          <w:rFonts w:ascii="Times New Roman" w:cs="Times New Roman" w:eastAsia="Times New Roman" w:hAnsi="Times New Roman"/>
          <w:sz w:val="19"/>
          <w:szCs w:val="19"/>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20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1714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firstLine="8"/>
        <w:spacing w:after="0"/>
        <w:tabs>
          <w:tab w:leader="none" w:pos="16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325" w:lineRule="auto"/>
        <w:rPr>
          <w:sz w:val="20"/>
          <w:szCs w:val="20"/>
          <w:color w:val="auto"/>
        </w:rPr>
      </w:pPr>
      <w:r>
        <w:rPr>
          <w:rFonts w:ascii="Times New Roman" w:cs="Times New Roman" w:eastAsia="Times New Roman" w:hAnsi="Times New Roman"/>
          <w:sz w:val="20"/>
          <w:szCs w:val="20"/>
          <w:color w:val="auto"/>
        </w:rPr>
        <w:t>On October 24, 2024, the Company announced that the United States Patent and Trademark Office granted U.S. patent 12,122,741 with claims to the composition of matter of lead preclinical candidates in the Company’s CYB005 phenethylamines program.</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spent approximately $21 on its preclinical Phenethylamine and Tryptamine Derivatives Program during the three months ended June 30, 2025.</w:t>
      </w:r>
    </w:p>
    <w:p>
      <w:pPr>
        <w:spacing w:after="0" w:line="20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 is currently identifying a viable drug development candidate and completing its assessment of the potential path forward for this candidate, including whether it will be developed internally or by way of potential third party partners. The Company anticipates that its Phenethylamine and Tryptamine Derivatives Program may deliver a drug development candidate by the end of Q3 2026.</w:t>
      </w:r>
      <w:r>
        <w:rPr>
          <w:rFonts w:ascii="Times New Roman" w:cs="Times New Roman" w:eastAsia="Times New Roman" w:hAnsi="Times New Roman"/>
          <w:sz w:val="25"/>
          <w:szCs w:val="25"/>
          <w:color w:val="auto"/>
          <w:vertAlign w:val="superscript"/>
        </w:rPr>
        <w:t>24</w:t>
      </w:r>
    </w:p>
    <w:p>
      <w:pPr>
        <w:spacing w:after="0" w:line="1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expects to spend approximately $1,212</w:t>
      </w:r>
      <w:r>
        <w:rPr>
          <w:rFonts w:ascii="Times New Roman" w:cs="Times New Roman" w:eastAsia="Times New Roman" w:hAnsi="Times New Roman"/>
          <w:sz w:val="25"/>
          <w:szCs w:val="25"/>
          <w:color w:val="auto"/>
          <w:vertAlign w:val="superscript"/>
        </w:rPr>
        <w:t>25</w:t>
      </w:r>
      <w:r>
        <w:rPr>
          <w:rFonts w:ascii="Times New Roman" w:cs="Times New Roman" w:eastAsia="Times New Roman" w:hAnsi="Times New Roman"/>
          <w:sz w:val="20"/>
          <w:szCs w:val="20"/>
          <w:color w:val="auto"/>
        </w:rPr>
        <w:t xml:space="preserve"> to deliver a drug development candidate by the end of Q3 2026, of which approximately $21 was spent in the three months ended June 30, 2025, approximately $691</w:t>
      </w:r>
      <w:r>
        <w:rPr>
          <w:rFonts w:ascii="Times New Roman" w:cs="Times New Roman" w:eastAsia="Times New Roman" w:hAnsi="Times New Roman"/>
          <w:sz w:val="25"/>
          <w:szCs w:val="25"/>
          <w:color w:val="auto"/>
          <w:vertAlign w:val="superscript"/>
        </w:rPr>
        <w:t>26</w:t>
      </w:r>
      <w:r>
        <w:rPr>
          <w:rFonts w:ascii="Times New Roman" w:cs="Times New Roman" w:eastAsia="Times New Roman" w:hAnsi="Times New Roman"/>
          <w:sz w:val="20"/>
          <w:szCs w:val="20"/>
          <w:color w:val="auto"/>
        </w:rPr>
        <w:t xml:space="preserve"> was spent in prior fiscal years resulting in an approximate remaining spend as of June 30, 2025, of $500. The Company intends to continue funding the Phenethylamine and Tryptamine Derivatives Program (CYB005).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Technology Programs</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historically had two technology programs (a) Digital Therapy Platform which was intended to support patients undergoing psychedelic therapies to memorialize the learning from their treatment sessions and to assist with the integration of such learnings into the patient’s psychotherapy program; and (b) Kernel Collaboration to evaluate the use of wearable neuroimaging technology during psychedelic therapy. In March 2025, the Company decided to not proceed with its technology programs in order to prioritize the progression of its clinical development programs. The Company had previously indicated that it was evaluating the path forward for both the Digital Therapy Platform and the Kernel Collaboration. The Company no longer expects to complete the technology programs and is expecting to spend $NIL on these programs.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Relationships with Third Parties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Company’s research and development of its psychedelic pharmaceutical products is conducted by way of licensed partners. The Company also intends to sponsor clinical and other studies at various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714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firstLine="8"/>
        <w:spacing w:after="0" w:line="244" w:lineRule="auto"/>
        <w:tabs>
          <w:tab w:leader="none" w:pos="146"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Q1 2026. The Company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Company. See also footnote 9.</w:t>
      </w:r>
    </w:p>
    <w:p>
      <w:pPr>
        <w:jc w:val="both"/>
        <w:ind w:firstLine="8"/>
        <w:spacing w:after="0"/>
        <w:tabs>
          <w:tab w:leader="none" w:pos="161"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actual spend during the three months ended June 30, 2025, the financial year ended March 31, 2025, the financial year ended March 31, 2024, and expected spend during the period from July 1, 2025 until the achievement of preclinical development of a phenethylamine drug candidate by Q3 2026. The Company had previously estimated that its spending to complete this milestone would be $800 (previously disclosed as C$1,113).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51" w:lineRule="exact"/>
        <w:rPr>
          <w:rFonts w:ascii="Times New Roman" w:cs="Times New Roman" w:eastAsia="Times New Roman" w:hAnsi="Times New Roman"/>
          <w:sz w:val="21"/>
          <w:szCs w:val="21"/>
          <w:color w:val="auto"/>
          <w:vertAlign w:val="superscript"/>
        </w:rPr>
      </w:pPr>
    </w:p>
    <w:p>
      <w:pPr>
        <w:ind w:left="160" w:hanging="152"/>
        <w:spacing w:after="0" w:line="214" w:lineRule="auto"/>
        <w:tabs>
          <w:tab w:leader="none" w:pos="16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Clinilabs Drug Development Corporation</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psilocin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Entheon Biomedical Corp.</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20"/>
          <w:szCs w:val="20"/>
          <w:b w:val="1"/>
          <w:bCs w:val="1"/>
          <w:color w:val="auto"/>
        </w:rPr>
        <w:t>CHDR</w:t>
      </w:r>
      <w:r>
        <w:rPr>
          <w:rFonts w:ascii="Times New Roman" w:cs="Times New Roman" w:eastAsia="Times New Roman" w:hAnsi="Times New Roman"/>
          <w:sz w:val="20"/>
          <w:szCs w:val="20"/>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Mindset Pharma Inc.</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September 27, 2022, the Company entered into an agreement, as amended, with Mindset Pharma Inc. (“</w:t>
      </w:r>
      <w:r>
        <w:rPr>
          <w:rFonts w:ascii="Times New Roman" w:cs="Times New Roman" w:eastAsia="Times New Roman" w:hAnsi="Times New Roman"/>
          <w:sz w:val="20"/>
          <w:szCs w:val="20"/>
          <w:b w:val="1"/>
          <w:bCs w:val="1"/>
          <w:color w:val="auto"/>
        </w:rPr>
        <w:t>Mindset</w:t>
      </w:r>
      <w:r>
        <w:rPr>
          <w:rFonts w:ascii="Times New Roman" w:cs="Times New Roman" w:eastAsia="Times New Roman" w:hAnsi="Times New Roman"/>
          <w:sz w:val="20"/>
          <w:szCs w:val="20"/>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Segal Trials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January 15, 2025, the Company launched its first strategic partnership agreement with Segal Trials in furtherance of Cybin’s multinational pivotal Phase 3 program evaluating CYB003 for the adjunctive treatment of MDD. Segal Trials is a privately held company with a network of six research sites throughout South Florida. Segal Trials has extensive experience conducting research trials with an emphasis on psychiatry, neurology, addiction, and psychedelics research.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Worldwide Clinical Trials</w:t>
      </w:r>
    </w:p>
    <w:p>
      <w:pPr>
        <w:spacing w:after="0" w:line="26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Osmind</w:t>
      </w:r>
    </w:p>
    <w:p>
      <w:pPr>
        <w:spacing w:after="0" w:line="24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April 21, 2025, the Company announced a strategic partnership with Osmind, a leading service provider advancing psychiatry through technology, services, and real-world evidence to bring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36" w:right="339" w:bottom="1440" w:gutter="0" w:footer="0" w:header="0"/>
        </w:sectPr>
      </w:pPr>
    </w:p>
    <w:bookmarkStart w:id="48" w:name="page49"/>
    <w:bookmarkEnd w:id="48"/>
    <w:p>
      <w:pPr>
        <w:jc w:val="both"/>
        <w:spacing w:after="0" w:line="325" w:lineRule="auto"/>
        <w:rPr>
          <w:sz w:val="20"/>
          <w:szCs w:val="20"/>
          <w:color w:val="auto"/>
        </w:rPr>
      </w:pPr>
      <w:r>
        <w:rPr>
          <w:rFonts w:ascii="Times New Roman" w:cs="Times New Roman" w:eastAsia="Times New Roman" w:hAnsi="Times New Roman"/>
          <w:sz w:val="20"/>
          <w:szCs w:val="20"/>
          <w:color w:val="auto"/>
        </w:rPr>
        <w:t>innovative mental health treatments to patients in need. Through this partnership, the Company will leverage Osmind’s 800-clinic network, point-of-care software, and real-world data to support the commercial preparation for its clinical-stage pipeline.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i w:val="1"/>
          <w:iCs w:val="1"/>
          <w:color w:val="auto"/>
        </w:rPr>
        <w:t>enExel iResearch Atlanta and Cedar Clinical Research</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April 23, 2025, the Company announced the addition of CenExel iResearch Atlanta and Cedar Clinical Research to its SPA program, bringing the total to 18 clinical sites engaged to advance Cybin’s multinational Phase 3 PARADIGM program evaluating CYB003 for the adjunctive treatment of MDD. The APPROACH study is expected to include approximately 45 clinical sites.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Thermo Fisher Scientific</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May 15, 2025, the Company announced that it has engaged Thermo Fisher Scientific to provide U.S.-based manufacturing for the CYB003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Third-Party Partners</w:t>
      </w:r>
    </w:p>
    <w:p>
      <w:pPr>
        <w:spacing w:after="0" w:line="2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5"/>
          <w:szCs w:val="25"/>
          <w:color w:val="auto"/>
          <w:vertAlign w:val="superscript"/>
        </w:rPr>
        <w:t>27</w:t>
      </w:r>
      <w:r>
        <w:rPr>
          <w:rFonts w:ascii="Times New Roman" w:cs="Times New Roman" w:eastAsia="Times New Roman" w:hAnsi="Times New Roman"/>
          <w:sz w:val="20"/>
          <w:szCs w:val="20"/>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3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has conducted due diligence on each such third party, including but not limited to the review of necessary licences and the regulatory framework enacted in the jurisdiction of operation.</w:t>
      </w:r>
    </w:p>
    <w:p>
      <w:pPr>
        <w:spacing w:after="0" w:line="1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14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8" w:lineRule="exact"/>
        <w:rPr>
          <w:sz w:val="20"/>
          <w:szCs w:val="20"/>
          <w:color w:val="auto"/>
        </w:rPr>
      </w:pPr>
    </w:p>
    <w:p>
      <w:pPr>
        <w:ind w:firstLine="8"/>
        <w:spacing w:after="0" w:line="225" w:lineRule="auto"/>
        <w:tabs>
          <w:tab w:leader="none" w:pos="151"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materially from those anticipated. Accordingly, investors are cautioned not to put undue reliance on the foregoing estimates.</w:t>
      </w:r>
    </w:p>
    <w:p>
      <w:pPr>
        <w:spacing w:after="0" w:line="2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this MD&amp;A or unforeseen events.</w:t>
      </w:r>
    </w:p>
    <w:p>
      <w:pPr>
        <w:spacing w:after="0" w:line="21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Intellectual Property</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Cybin has title to twenty five granted US patents and seventy six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11,242,318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11,724,985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11,746,088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11,834,410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11,958,807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12,110,272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12,240,813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12,291,499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12,122,741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2018311307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2020378647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2020381103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2021334933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2021204158</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2020286709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1120220221983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Brazil</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3104072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Drug Substance Compositions Comprising N,N-Dimethyltryptamine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3160337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3179161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3142290</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3160334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3179335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046951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048675</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right w:val="single" w:sz="8" w:color="auto"/>
            </w:tcBorders>
          </w:tcPr>
          <w:p>
            <w:pPr>
              <w:ind w:left="300"/>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049402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049106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3463323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Oral Dosage Forms of 2R,6R-Hydroxynorketamine or Derivatives Thereof</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3687515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3532457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3826632</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3844147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3873883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3902541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4031529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60"/>
          </w:cols>
          <w:pgMar w:left="320" w:top="1440" w:right="319" w:bottom="1440" w:gutter="0" w:footer="0" w:header="0"/>
          <w:type w:val="continuous"/>
        </w:sectPr>
      </w:pPr>
    </w:p>
    <w:bookmarkStart w:id="51" w:name="page52"/>
    <w:bookmarkEnd w:id="5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4138818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4149460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European Patent Office</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40042383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40035970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40056359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40060666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40065709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40064531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40045846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40060891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40078818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40089095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507114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528813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320"/>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292753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 Compositions Comprising Same, and Uses Thereof in the Treatment of Psychiatric or</w:t>
            </w: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Neurological Disorders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288617</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298542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7288154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7423131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7523474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A therapeutic composition comprising a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7579888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Japan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404310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411316</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412331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415678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788543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Dimethyltryptamine derivatives and their use in psychedelic-assisted psychotherapy</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794833</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793361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794813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2589605</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Republic of Korea</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2636385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Republic of Korea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2023/01086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South Africa</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I891942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Taiwan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Compounds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60"/>
          </w:cols>
          <w:pgMar w:left="320" w:top="1440" w:right="319" w:bottom="1440" w:gutter="0" w:footer="0" w:header="0"/>
          <w:type w:val="continuous"/>
        </w:sectPr>
      </w:pPr>
    </w:p>
    <w:bookmarkStart w:id="52" w:name="page53"/>
    <w:bookmarkEnd w:id="5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660" w:type="dxa"/>
            <w:vAlign w:val="bottom"/>
            <w:tcBorders>
              <w:top w:val="single" w:sz="8" w:color="auto"/>
              <w:left w:val="single" w:sz="8" w:color="auto"/>
              <w:bottom w:val="single" w:sz="8" w:color="auto"/>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I860478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Taiwan</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2585978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2586940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2592822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2595776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Kingdom</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11,377,416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11,771,681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11,773,062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11,643,390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11,471,417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11,406,619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11,697,638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5-Methoxy-N,N-Dimethyltryptamine Crystalline Forms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11,660,289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11,578,039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12,042,564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12,076,311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N,N-Dimethyltryptamine</w:t>
            </w: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6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12,084,417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12,157,723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12,251,371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12,318,477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12,343,327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In addition, Cybin has title to two provisional patent applications, thirty three US non-provisional patent applications, two hundred and fifteen national (non-US) patent applications, and seven Patent Cooperation Treaty (“</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applications, including claims directed to compositions of matter and methods of use in support of its research and development and preclinical and clinical trial programs.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18/056,958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18/041,728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18/027,810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18/547,100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18/561,152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18/576,487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Integrated Data Collection Devices for Use in Various Therapeutic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Wellness Applications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18/588,132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PCT/EP2024/054897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18/688,125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PCT/EP2024/062406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18/707,825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PCT/EP2024/065453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18/720,922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60"/>
          </w:cols>
          <w:pgMar w:left="320" w:top="1440" w:right="319" w:bottom="1440" w:gutter="0" w:footer="0" w:header="0"/>
        </w:sectPr>
      </w:pPr>
    </w:p>
    <w:bookmarkStart w:id="53" w:name="page54"/>
    <w:bookmarkEnd w:id="5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PCT/EP2024/067458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Processes For Preparing Phenethylamine Compounds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18/730,423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18/825,122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18/883,262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18/850,356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18/852,115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18/867,231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 Dispersions of Psilocybin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19/020,095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19/106,551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19/119,308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19/170,327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63/822,926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Manufacture of Psilocin or Deuterated Psilocin Salts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793553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812214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297492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312785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3177454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NC2022/0016662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MX/a/2022/014605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MX/a/2024/006467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202203191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10-2022-7040243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10-2024-7019118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EP21808464.8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24175524.8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202180036163.3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202410728550.9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1120220235658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2021276656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2024203974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60"/>
          </w:cols>
          <w:pgMar w:left="320" w:top="1440" w:right="319" w:bottom="1440" w:gutter="0" w:footer="0" w:header="0"/>
        </w:sectPr>
      </w:pPr>
    </w:p>
    <w:bookmarkStart w:id="54" w:name="page55"/>
    <w:bookmarkEnd w:id="5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11202254530T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10202401521X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202213256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2201007493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1-2022-553135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1-2024-551326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202227065770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2022-571175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2024-080101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62023078320.6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42024099806.2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10-2023-7003815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2021327136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2023-512063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21766581.9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62023079716.4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10-2023-7006128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2021328671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21763068.0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21786852.0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10-2023-7007858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2021354006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2023-519831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3194558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60"/>
          </w:cols>
          <w:pgMar w:left="320" w:top="1440" w:right="319" w:bottom="1440" w:gutter="0" w:footer="0" w:header="0"/>
        </w:sectPr>
      </w:pPr>
    </w:p>
    <w:bookmarkStart w:id="55" w:name="page56"/>
    <w:bookmarkEnd w:id="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62023079720.6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802136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305457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3212563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NC2023/0013714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Columbia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MX/a/2023/010843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202302731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202501220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10-2023-7032581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22716857.2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202280022029.2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1120230188946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2022239825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11202305618U</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202309486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2301005753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1-2023-552572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202327063524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2023-556906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62024086011.9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2022277515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3216799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22729558.1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202327074210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2023-571283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10-2023-7041239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62024089505.7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2022342266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3231021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22716971.1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2024-515026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10-2024-7008355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62024094405.3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2022381220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1120240088332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60"/>
          </w:cols>
          <w:pgMar w:left="320" w:top="1440" w:right="319" w:bottom="1440" w:gutter="0" w:footer="0" w:header="0"/>
        </w:sectPr>
      </w:pPr>
    </w:p>
    <w:bookmarkStart w:id="56" w:name="page57"/>
    <w:bookmarkEnd w:id="5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3236624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202280073355.6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22783493.4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202417038272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2024-526529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10-2024-7017594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810005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1120242311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62024097476.1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2023207801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1120240139522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3259235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202380016531.7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23700949.3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313889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202417058417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2024-541809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10-2024-7026687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MX/a/2024/008691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PI2024003160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811765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62024099899.2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Compositions and Methods</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2023222397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3244275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23705529.8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62024101488.0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2023222126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23705530.6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60"/>
          </w:cols>
          <w:pgMar w:left="320" w:top="1440" w:right="319" w:bottom="1440" w:gutter="0" w:footer="0" w:header="0"/>
        </w:sectPr>
      </w:pPr>
    </w:p>
    <w:bookmarkStart w:id="57" w:name="page58"/>
    <w:bookmarkEnd w:id="5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2023246690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3246274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23715813.4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2024-557460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10-2024-7032719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815769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62025103102.2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2023242469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3247035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23717049.3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813800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62025103101.4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Combination of Nitrous Oxide and 5-HT2A Receptor Agonists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2023331937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3265884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23764241.8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2025-512678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10-2025-7007259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2023366306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3271746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202380075041.4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23798713.6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2025-524528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10-2025-7014590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1120253030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2024229430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24708160.7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322138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60"/>
          </w:cols>
          <w:pgMar w:left="320" w:top="1440" w:right="319" w:bottom="1440" w:gutter="0" w:footer="0" w:header="0"/>
        </w:sectPr>
      </w:pPr>
    </w:p>
    <w:bookmarkStart w:id="58" w:name="page59"/>
    <w:bookmarkEnd w:id="5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823179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Methods of Treating Depressive Disorders with a Psilocybin Analog</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1120220089198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202217028822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Compounds, Compositions Comprising Same, and Uses Thereof in the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Treatment of Psychiatric or Neurological Disorders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2023-202672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18/921,515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2021391581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3203020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23198784.3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42024091001.8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202317043169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303288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2023-533243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800961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Deuterated or Partially Deuterated N,N-Dimethyltryptamine</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21 816489.5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18/252,949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2022393234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11 2024 009571 1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3238583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22 818741.5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62025102900.0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202417045861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312859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2024-529536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10-2024-7020007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MX/a/2024/005955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811102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11202403174T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2024/03906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2024002791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1120242659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202401452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2401003192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12024551165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18/711,130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19/192,691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NC2024/0007518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202280084101.4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24194778.7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60"/>
          </w:cols>
          <w:pgMar w:left="320" w:top="1440" w:right="319" w:bottom="1440" w:gutter="0" w:footer="0" w:header="0"/>
        </w:sectPr>
      </w:pPr>
    </w:p>
    <w:bookmarkStart w:id="59" w:name="page60"/>
    <w:bookmarkEnd w:id="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42025103259.5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298129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2023000584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11202300697X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19/202,059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18/619,547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Administration</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PCT/EP2024/058587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Combination Comprising a Monoamine Antidepressant Agent and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Short-Duration 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PCT/EP2024/051569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22214748.0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202217028688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292754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21203394.8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Solid Oral Dosage Forms of 2R,6R-Hydroxynorketamine or</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Derivatives Thereof</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18/602,171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Synthesis of N,N-Dimethyltryptamine-Type Compounds, Methods, and</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Uses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1120220245661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42023070531.1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202217076779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298541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1120210243330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22173907.1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783166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10-2021-7043410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10-2024-7030292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18/779,611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2021284861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202217076899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2023361184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3,270,486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23 790574.0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60"/>
          </w:cols>
          <w:pgMar w:left="320" w:top="1440" w:right="319" w:bottom="1440" w:gutter="0" w:footer="0" w:header="0"/>
        </w:sectPr>
      </w:pPr>
    </w:p>
    <w:bookmarkStart w:id="60" w:name="page61"/>
    <w:bookmarkEnd w:id="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2025-521004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10-2025-7015515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19/119,888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Method of Administration of a Parenteral Formulation Comprising a</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Psychedelic Agent</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3118556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202180046533.1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18/748,483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24 215587.7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42025109674.9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63/723,250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Pharmaceutical Compositions Comprising Deuterated N,N-</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Dimethyltryptamine</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PCT/EP2025/069677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Pharmaceutical Compositions Comprising Deuterated N,N-</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Dimethyltryptamine</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114126133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Pharmaceutical Compositions Comprising Deuterated N,N-</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Dimethyltryptamine</w:t>
            </w:r>
          </w:p>
        </w:tc>
        <w:tc>
          <w:tcPr>
            <w:tcW w:w="0" w:type="dxa"/>
            <w:vAlign w:val="bottom"/>
          </w:tcPr>
          <w:p>
            <w:pPr>
              <w:spacing w:after="0"/>
              <w:rPr>
                <w:sz w:val="1"/>
                <w:szCs w:val="1"/>
                <w:color w:val="auto"/>
              </w:rPr>
            </w:pPr>
          </w:p>
        </w:tc>
      </w:tr>
      <w:tr>
        <w:trPr>
          <w:trHeight w:val="84"/>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2024212866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3280177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24 702075.3</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322260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TBC</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823545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19/149,911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Pending</w:t>
            </w:r>
          </w:p>
        </w:tc>
        <w:tc>
          <w:tcPr>
            <w:tcW w:w="4720" w:type="dxa"/>
            <w:vAlign w:val="bottom"/>
            <w:tcBorders>
              <w:right w:val="single" w:sz="8" w:color="auto"/>
            </w:tcBorders>
          </w:tcPr>
          <w:p>
            <w:pPr>
              <w:ind w:left="320"/>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 Disorders by Parenteral</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4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Administration of a Single, Effective Parenteral Dose of A Short-</w:t>
            </w:r>
          </w:p>
        </w:tc>
        <w:tc>
          <w:tcPr>
            <w:tcW w:w="0" w:type="dxa"/>
            <w:vAlign w:val="bottom"/>
          </w:tcPr>
          <w:p>
            <w:pPr>
              <w:spacing w:after="0"/>
              <w:rPr>
                <w:sz w:val="1"/>
                <w:szCs w:val="1"/>
                <w:color w:val="auto"/>
              </w:rPr>
            </w:pPr>
          </w:p>
        </w:tc>
      </w:tr>
      <w:tr>
        <w:trPr>
          <w:trHeight w:val="213"/>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Acting Psychedelic Agent</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95"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60"/>
          </w:cols>
          <w:pgMar w:left="320" w:top="1440" w:right="319" w:bottom="1440" w:gutter="0" w:footer="0" w:header="0"/>
        </w:sectPr>
      </w:pPr>
    </w:p>
    <w:bookmarkStart w:id="61" w:name="page62"/>
    <w:bookmarkEnd w:id="61"/>
    <w:p>
      <w:pPr>
        <w:jc w:val="both"/>
        <w:spacing w:after="0" w:line="325" w:lineRule="auto"/>
        <w:rPr>
          <w:sz w:val="20"/>
          <w:szCs w:val="20"/>
          <w:color w:val="auto"/>
        </w:rPr>
      </w:pPr>
      <w:r>
        <w:rPr>
          <w:rFonts w:ascii="Times New Roman" w:cs="Times New Roman" w:eastAsia="Times New Roman" w:hAnsi="Times New Roman"/>
          <w:sz w:val="20"/>
          <w:szCs w:val="20"/>
          <w:color w:val="auto"/>
        </w:rPr>
        <w:t>The Company owns or has filed applications for registration of thirty-five trademarks, including APPROACH®, CYBIN®, EMBARK®, EMBRACE®, PARADIGM®, and REVOLUTIONIZING MENTAL HEALTHCARE®.</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Regulatory Framework and Licensing Regime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Canada, oversight of healthcare is divided between the federal and provincial governments. The federal government is responsible for regulating, among other things, the approval, import, sale, and marketing of drugs such as psilocin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Certain psychoactive compounds, such as psilocin, are considered controlled substances under Schedule III of the </w:t>
      </w:r>
      <w:r>
        <w:rPr>
          <w:rFonts w:ascii="Times New Roman" w:cs="Times New Roman" w:eastAsia="Times New Roman" w:hAnsi="Times New Roman"/>
          <w:sz w:val="20"/>
          <w:szCs w:val="20"/>
          <w:i w:val="1"/>
          <w:iCs w:val="1"/>
          <w:color w:val="auto"/>
        </w:rPr>
        <w:t>Controlled Drugs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Substances Act </w:t>
      </w:r>
      <w:r>
        <w:rPr>
          <w:rFonts w:ascii="Times New Roman" w:cs="Times New Roman" w:eastAsia="Times New Roman" w:hAnsi="Times New Roman"/>
          <w:sz w:val="20"/>
          <w:szCs w:val="20"/>
          <w:color w:val="auto"/>
        </w:rPr>
        <w:t>(Canada) (the “</w:t>
      </w:r>
      <w:r>
        <w:rPr>
          <w:rFonts w:ascii="Times New Roman" w:cs="Times New Roman" w:eastAsia="Times New Roman" w:hAnsi="Times New Roman"/>
          <w:sz w:val="20"/>
          <w:szCs w:val="20"/>
          <w:b w:val="1"/>
          <w:bCs w:val="1"/>
          <w:color w:val="auto"/>
        </w:rPr>
        <w:t>CDSA</w:t>
      </w:r>
      <w:r>
        <w:rPr>
          <w:rFonts w:ascii="Times New Roman" w:cs="Times New Roman" w:eastAsia="Times New Roman" w:hAnsi="Times New Roman"/>
          <w:sz w:val="20"/>
          <w:szCs w:val="20"/>
          <w:color w:val="auto"/>
        </w:rPr>
        <w:t>”). In order to conduct any scientific research, including preclinical and clinical trials, using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psychoactive compounds listed as controlled substances under the CDSA, an exemption under Section 56 of the CDSA (“</w:t>
      </w:r>
      <w:r>
        <w:rPr>
          <w:rFonts w:ascii="Times New Roman" w:cs="Times New Roman" w:eastAsia="Times New Roman" w:hAnsi="Times New Roman"/>
          <w:sz w:val="20"/>
          <w:szCs w:val="20"/>
          <w:b w:val="1"/>
          <w:bCs w:val="1"/>
          <w:color w:val="auto"/>
        </w:rPr>
        <w:t>Section 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Exemption</w:t>
      </w:r>
      <w:r>
        <w:rPr>
          <w:rFonts w:ascii="Times New Roman" w:cs="Times New Roman" w:eastAsia="Times New Roman" w:hAnsi="Times New Roman"/>
          <w:sz w:val="20"/>
          <w:szCs w:val="20"/>
          <w:color w:val="auto"/>
        </w:rPr>
        <w:t>”) is required.</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Health Canada has not approved psilocin as a drug for any indication. However, there are legal routes through which psilocin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9"/>
          <w:szCs w:val="19"/>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Company has not applied for access under the SAP.</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62" w:name="page63"/>
    <w:bookmarkEnd w:id="62"/>
    <w:p>
      <w:pPr>
        <w:jc w:val="both"/>
        <w:spacing w:after="0" w:line="274" w:lineRule="auto"/>
        <w:rPr>
          <w:sz w:val="20"/>
          <w:szCs w:val="20"/>
          <w:color w:val="auto"/>
        </w:rPr>
      </w:pPr>
      <w:r>
        <w:rPr>
          <w:rFonts w:ascii="Times New Roman" w:cs="Times New Roman" w:eastAsia="Times New Roman" w:hAnsi="Times New Roman"/>
          <w:sz w:val="20"/>
          <w:szCs w:val="20"/>
          <w:color w:val="auto"/>
        </w:rPr>
        <w:t>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2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Psilocybin, psilocin, DMT, and 5-Methoxy-DMT are strictly controlled under the federal Controlled Substances Act, 21 U.S.C. §801, et. seq. (“</w:t>
      </w:r>
      <w:r>
        <w:rPr>
          <w:rFonts w:ascii="Times New Roman" w:cs="Times New Roman" w:eastAsia="Times New Roman" w:hAnsi="Times New Roman"/>
          <w:sz w:val="20"/>
          <w:szCs w:val="20"/>
          <w:b w:val="1"/>
          <w:bCs w:val="1"/>
          <w:color w:val="auto"/>
        </w:rPr>
        <w:t>CSA</w:t>
      </w:r>
      <w:r>
        <w:rPr>
          <w:rFonts w:ascii="Times New Roman" w:cs="Times New Roman" w:eastAsia="Times New Roman" w:hAnsi="Times New Roman"/>
          <w:sz w:val="20"/>
          <w:szCs w:val="20"/>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Europe/Netherlands</w:t>
      </w:r>
    </w:p>
    <w:p>
      <w:pPr>
        <w:spacing w:after="0" w:line="25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The International Narcotics Control Board (“</w:t>
      </w:r>
      <w:r>
        <w:rPr>
          <w:rFonts w:ascii="Times New Roman" w:cs="Times New Roman" w:eastAsia="Times New Roman" w:hAnsi="Times New Roman"/>
          <w:sz w:val="20"/>
          <w:szCs w:val="20"/>
          <w:b w:val="1"/>
          <w:bCs w:val="1"/>
          <w:color w:val="auto"/>
        </w:rPr>
        <w:t>INCB</w:t>
      </w:r>
      <w:r>
        <w:rPr>
          <w:rFonts w:ascii="Times New Roman" w:cs="Times New Roman" w:eastAsia="Times New Roman" w:hAnsi="Times New Roman"/>
          <w:sz w:val="20"/>
          <w:szCs w:val="20"/>
          <w:color w:val="auto"/>
        </w:rPr>
        <w:t>”), a United Nations (“</w:t>
      </w:r>
      <w:r>
        <w:rPr>
          <w:rFonts w:ascii="Times New Roman" w:cs="Times New Roman" w:eastAsia="Times New Roman" w:hAnsi="Times New Roman"/>
          <w:sz w:val="20"/>
          <w:szCs w:val="20"/>
          <w:b w:val="1"/>
          <w:bCs w:val="1"/>
          <w:color w:val="auto"/>
        </w:rPr>
        <w:t>UN</w:t>
      </w:r>
      <w:r>
        <w:rPr>
          <w:rFonts w:ascii="Times New Roman" w:cs="Times New Roman" w:eastAsia="Times New Roman" w:hAnsi="Times New Roman"/>
          <w:sz w:val="20"/>
          <w:szCs w:val="20"/>
          <w:color w:val="auto"/>
        </w:rPr>
        <w:t>”) entity, monitors enforcement of restrictions on controlled substances. The INCB’s authority is defined by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26" w:right="339" w:bottom="1440" w:gutter="0" w:footer="0" w:header="0"/>
        </w:sectPr>
      </w:pPr>
    </w:p>
    <w:bookmarkStart w:id="63" w:name="page64"/>
    <w:bookmarkEnd w:id="63"/>
    <w:p>
      <w:pPr>
        <w:jc w:val="both"/>
        <w:spacing w:after="0" w:line="296" w:lineRule="auto"/>
        <w:rPr>
          <w:sz w:val="20"/>
          <w:szCs w:val="20"/>
          <w:color w:val="auto"/>
        </w:rPr>
      </w:pPr>
      <w:r>
        <w:rPr>
          <w:rFonts w:ascii="Times New Roman" w:cs="Times New Roman" w:eastAsia="Times New Roman" w:hAnsi="Times New Roman"/>
          <w:sz w:val="20"/>
          <w:szCs w:val="20"/>
          <w:color w:val="auto"/>
        </w:rPr>
        <w:t>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 w:cs="Times New Roman" w:eastAsia="Times New Roman" w:hAnsi="Times New Roman"/>
          <w:sz w:val="25"/>
          <w:szCs w:val="25"/>
          <w:color w:val="auto"/>
          <w:vertAlign w:val="superscript"/>
        </w:rPr>
        <w:t>28</w:t>
      </w:r>
      <w:r>
        <w:rPr>
          <w:rFonts w:ascii="Times New Roman" w:cs="Times New Roman" w:eastAsia="Times New Roman" w:hAnsi="Times New Roman"/>
          <w:sz w:val="20"/>
          <w:szCs w:val="20"/>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21" w:lineRule="exact"/>
        <w:rPr>
          <w:sz w:val="20"/>
          <w:szCs w:val="20"/>
          <w:color w:val="auto"/>
        </w:rPr>
      </w:pPr>
    </w:p>
    <w:p>
      <w:pPr>
        <w:ind w:left="660" w:hanging="331"/>
        <w:spacing w:after="0" w:line="288" w:lineRule="auto"/>
        <w:tabs>
          <w:tab w:leader="none" w:pos="624"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620" w:hanging="291"/>
        <w:spacing w:after="0"/>
        <w:tabs>
          <w:tab w:leader="none" w:pos="6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manufacture, trade, distribution and possession be under a special licence or prior authorization;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provide for close supervision of the activities and acts mentioned in paragraphs (a) and (b);</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restrict the amount supplied to a duly authorized person to the quantity required for his authorized purpose;</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jc w:val="both"/>
        <w:ind w:left="660" w:hanging="331"/>
        <w:spacing w:after="0" w:line="295" w:lineRule="auto"/>
        <w:tabs>
          <w:tab w:leader="none" w:pos="624"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14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jc w:val="both"/>
        <w:ind w:firstLine="8"/>
        <w:spacing w:after="0" w:line="237" w:lineRule="auto"/>
        <w:tabs>
          <w:tab w:leader="none" w:pos="159"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329" w:lineRule="auto"/>
        <w:rPr>
          <w:sz w:val="20"/>
          <w:szCs w:val="20"/>
          <w:color w:val="auto"/>
        </w:rPr>
      </w:pPr>
      <w:r>
        <w:rPr>
          <w:rFonts w:ascii="Times New Roman" w:cs="Times New Roman" w:eastAsia="Times New Roman" w:hAnsi="Times New Roman"/>
          <w:sz w:val="20"/>
          <w:szCs w:val="20"/>
          <w:color w:val="auto"/>
        </w:rPr>
        <w:t>(Opiumwet) (the “</w:t>
      </w:r>
      <w:r>
        <w:rPr>
          <w:rFonts w:ascii="Times New Roman" w:cs="Times New Roman" w:eastAsia="Times New Roman" w:hAnsi="Times New Roman"/>
          <w:sz w:val="20"/>
          <w:szCs w:val="20"/>
          <w:b w:val="1"/>
          <w:bCs w:val="1"/>
          <w:color w:val="auto"/>
        </w:rPr>
        <w:t>Dutch Opium Act</w:t>
      </w:r>
      <w:r>
        <w:rPr>
          <w:rFonts w:ascii="Times New Roman" w:cs="Times New Roman" w:eastAsia="Times New Roman" w:hAnsi="Times New Roman"/>
          <w:sz w:val="20"/>
          <w:szCs w:val="20"/>
          <w:color w:val="auto"/>
        </w:rPr>
        <w:t>”) and as such, subject to express authorization being obtained, the production, trade and possession of DMT are prohibited.</w:t>
      </w:r>
    </w:p>
    <w:p>
      <w:pPr>
        <w:spacing w:after="0" w:line="17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addition to the Dutch Opium Act, two other Dutch Acts may be relevant when it comes to drugs: the Medicines Act and the Commodities Act.</w:t>
      </w:r>
    </w:p>
    <w:p>
      <w:pPr>
        <w:spacing w:after="0" w:line="20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0"/>
          <w:szCs w:val="20"/>
          <w:b w:val="1"/>
          <w:bCs w:val="1"/>
          <w:color w:val="auto"/>
        </w:rPr>
        <w:t>CCMO</w:t>
      </w:r>
      <w:r>
        <w:rPr>
          <w:rFonts w:ascii="Times New Roman" w:cs="Times New Roman" w:eastAsia="Times New Roman" w:hAnsi="Times New Roman"/>
          <w:sz w:val="20"/>
          <w:szCs w:val="20"/>
          <w:color w:val="auto"/>
        </w:rPr>
        <w:t>”), which is also known as the Competent Authority in The Netherlands. In Dutch, the CCMO is called the ‘</w:t>
      </w:r>
      <w:r>
        <w:rPr>
          <w:rFonts w:ascii="Times New Roman" w:cs="Times New Roman" w:eastAsia="Times New Roman" w:hAnsi="Times New Roman"/>
          <w:sz w:val="20"/>
          <w:szCs w:val="20"/>
          <w:i w:val="1"/>
          <w:iCs w:val="1"/>
          <w:color w:val="auto"/>
        </w:rPr>
        <w:t>Centrale Commissie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Mensgebonden Onderzoek</w:t>
      </w:r>
      <w:r>
        <w:rPr>
          <w:rFonts w:ascii="Times New Roman" w:cs="Times New Roman" w:eastAsia="Times New Roman" w:hAnsi="Times New Roman"/>
          <w:sz w:val="20"/>
          <w:szCs w:val="20"/>
          <w:color w:val="auto"/>
        </w:rPr>
        <w:t>’. In cases where the study involves a substance subject to the Dutch Opium Act (such as DMT), an official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exemption by Farmatec is needed, which needs to be included in the CTA.</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9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8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auto"/>
        </w:rPr>
        <w:t>The main UK controlled drugs legislation is the Misuse of Drugs Act 1971 (the “</w:t>
      </w:r>
      <w:r>
        <w:rPr>
          <w:rFonts w:ascii="Times New Roman" w:cs="Times New Roman" w:eastAsia="Times New Roman" w:hAnsi="Times New Roman"/>
          <w:sz w:val="19"/>
          <w:szCs w:val="19"/>
          <w:b w:val="1"/>
          <w:bCs w:val="1"/>
          <w:color w:val="auto"/>
        </w:rPr>
        <w:t>MDA</w:t>
      </w:r>
      <w:r>
        <w:rPr>
          <w:rFonts w:ascii="Times New Roman" w:cs="Times New Roman" w:eastAsia="Times New Roman" w:hAnsi="Times New Roman"/>
          <w:sz w:val="19"/>
          <w:szCs w:val="19"/>
          <w:color w:val="auto"/>
        </w:rPr>
        <w:t>”) and the Misuse of Drugs Regulations 2001 (the “</w:t>
      </w:r>
      <w:r>
        <w:rPr>
          <w:rFonts w:ascii="Times New Roman" w:cs="Times New Roman" w:eastAsia="Times New Roman" w:hAnsi="Times New Roman"/>
          <w:sz w:val="19"/>
          <w:szCs w:val="19"/>
          <w:b w:val="1"/>
          <w:bCs w:val="1"/>
          <w:color w:val="auto"/>
        </w:rPr>
        <w:t>MDR</w:t>
      </w:r>
      <w:r>
        <w:rPr>
          <w:rFonts w:ascii="Times New Roman" w:cs="Times New Roman" w:eastAsia="Times New Roman" w:hAnsi="Times New Roman"/>
          <w:sz w:val="19"/>
          <w:szCs w:val="19"/>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the United Kingdom, “Fungus (of any kind) which contains psilocin or an ester of psilocin” is controlled as a Class A drug under the MDA and Schedule 1 drug under the MDR.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36" w:right="339" w:bottom="1440" w:gutter="0" w:footer="0" w:header="0"/>
        </w:sectPr>
      </w:pPr>
    </w:p>
    <w:bookmarkStart w:id="65" w:name="page66"/>
    <w:bookmarkEnd w:id="65"/>
    <w:p>
      <w:pPr>
        <w:jc w:val="both"/>
        <w:spacing w:after="0" w:line="296" w:lineRule="auto"/>
        <w:rPr>
          <w:sz w:val="20"/>
          <w:szCs w:val="20"/>
          <w:color w:val="auto"/>
        </w:rPr>
      </w:pPr>
      <w:r>
        <w:rPr>
          <w:rFonts w:ascii="Times New Roman" w:cs="Times New Roman" w:eastAsia="Times New Roman" w:hAnsi="Times New Roman"/>
          <w:sz w:val="20"/>
          <w:szCs w:val="20"/>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Company previously mentioned that it intended to file a clinical trial application with the UK Medical and Healthcare Products Regulatory Agency (“</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related to the Deuterated Psilocin Program upon completion of its pre-clinical studies and CMC development. The Company had then decided that it would first proceed in the U.S. and would subsequently file a clinical trial application with the MHRA. Anticipated timelines related to regulatory filings are based on reasonable assumptions informed by current knowledge and information available to the Company.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Company may continue to handle controlled drugs on the same terms and subject to the same conditions of the 2024-2025 licence.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Licensing Requirements</w:t>
      </w:r>
    </w:p>
    <w:p>
      <w:pPr>
        <w:spacing w:after="0" w:line="2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5"/>
          <w:szCs w:val="25"/>
          <w:color w:val="auto"/>
          <w:vertAlign w:val="superscript"/>
        </w:rPr>
        <w:t>29</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212"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5"/>
          <w:szCs w:val="25"/>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3" w:lineRule="exact"/>
        <w:rPr>
          <w:sz w:val="20"/>
          <w:szCs w:val="20"/>
          <w:color w:val="auto"/>
        </w:rPr>
      </w:pPr>
    </w:p>
    <w:p>
      <w:pPr>
        <w:jc w:val="both"/>
        <w:ind w:firstLine="8"/>
        <w:spacing w:after="0" w:line="235" w:lineRule="auto"/>
        <w:tabs>
          <w:tab w:leader="none" w:pos="159"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1" w:lineRule="exact"/>
        <w:rPr>
          <w:rFonts w:ascii="Times New Roman" w:cs="Times New Roman" w:eastAsia="Times New Roman" w:hAnsi="Times New Roman"/>
          <w:sz w:val="21"/>
          <w:szCs w:val="21"/>
          <w:color w:val="auto"/>
          <w:vertAlign w:val="superscript"/>
        </w:rPr>
      </w:pPr>
    </w:p>
    <w:p>
      <w:pPr>
        <w:ind w:right="20" w:firstLine="8"/>
        <w:spacing w:after="0" w:line="207" w:lineRule="auto"/>
        <w:tabs>
          <w:tab w:leader="none" w:pos="159"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95" w:lineRule="auto"/>
        <w:rPr>
          <w:sz w:val="20"/>
          <w:szCs w:val="20"/>
          <w:color w:val="auto"/>
        </w:rPr>
      </w:pPr>
      <w:r>
        <w:rPr>
          <w:rFonts w:ascii="Times New Roman" w:cs="Times New Roman" w:eastAsia="Times New Roman" w:hAnsi="Times New Roman"/>
          <w:sz w:val="20"/>
          <w:szCs w:val="20"/>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License and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5"/>
          <w:szCs w:val="25"/>
          <w:color w:val="auto"/>
          <w:vertAlign w:val="superscript"/>
        </w:rPr>
        <w:t>31</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Small Pharma holds the appropriate UK Home Office licence required to sponsor clinical trials using Schedule I compounds.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 Following the UK’s exit from the EU and the end of the transitional period, up to (and including) December 31, 2024, there were separate licensing routes and licences for products supplied: (i) in Great Britain only; (ii) in Northern Ireland only; and (iii) across the UK. From 1 January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71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1"/>
          <w:szCs w:val="21"/>
          <w:color w:val="auto"/>
          <w:vertAlign w:val="superscript"/>
        </w:rPr>
        <w:t>31</w:t>
      </w:r>
      <w:r>
        <w:rPr>
          <w:rFonts w:ascii="Times New Roman" w:cs="Times New Roman" w:eastAsia="Times New Roman" w:hAnsi="Times New Roman"/>
          <w:sz w:val="16"/>
          <w:szCs w:val="16"/>
          <w:color w:val="auto"/>
        </w:rPr>
        <w:t xml:space="preserve"> 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29" w:lineRule="auto"/>
        <w:rPr>
          <w:sz w:val="20"/>
          <w:szCs w:val="20"/>
          <w:color w:val="auto"/>
        </w:rPr>
      </w:pPr>
      <w:r>
        <w:rPr>
          <w:rFonts w:ascii="Times New Roman" w:cs="Times New Roman" w:eastAsia="Times New Roman" w:hAnsi="Times New Roman"/>
          <w:sz w:val="20"/>
          <w:szCs w:val="20"/>
          <w:color w:val="auto"/>
        </w:rPr>
        <w:t>meet defined standards (Good Manufacturing Practices (“</w:t>
      </w:r>
      <w:r>
        <w:rPr>
          <w:rFonts w:ascii="Times New Roman" w:cs="Times New Roman" w:eastAsia="Times New Roman" w:hAnsi="Times New Roman"/>
          <w:sz w:val="20"/>
          <w:szCs w:val="20"/>
          <w:b w:val="1"/>
          <w:bCs w:val="1"/>
          <w:color w:val="auto"/>
        </w:rPr>
        <w:t>GMP</w:t>
      </w:r>
      <w:r>
        <w:rPr>
          <w:rFonts w:ascii="Times New Roman" w:cs="Times New Roman" w:eastAsia="Times New Roman" w:hAnsi="Times New Roman"/>
          <w:sz w:val="20"/>
          <w:szCs w:val="20"/>
          <w:color w:val="auto"/>
        </w:rPr>
        <w:t>”)) and/or Good Distribution Practice (“</w:t>
      </w:r>
      <w:r>
        <w:rPr>
          <w:rFonts w:ascii="Times New Roman" w:cs="Times New Roman" w:eastAsia="Times New Roman" w:hAnsi="Times New Roman"/>
          <w:sz w:val="20"/>
          <w:szCs w:val="20"/>
          <w:b w:val="1"/>
          <w:bCs w:val="1"/>
          <w:color w:val="auto"/>
        </w:rPr>
        <w:t>GDP</w:t>
      </w:r>
      <w:r>
        <w:rPr>
          <w:rFonts w:ascii="Times New Roman" w:cs="Times New Roman" w:eastAsia="Times New Roman" w:hAnsi="Times New Roman"/>
          <w:sz w:val="20"/>
          <w:szCs w:val="20"/>
          <w:color w:val="auto"/>
        </w:rPr>
        <w:t>”) and to hold a related licence from the MHRA.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 the API is subsequently processed will determine the licences (in addition to any applicable Home Office licences as referred to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UK-based facility must hold. In particular:</w:t>
      </w:r>
    </w:p>
    <w:p>
      <w:pPr>
        <w:spacing w:after="0" w:line="266" w:lineRule="exact"/>
        <w:rPr>
          <w:sz w:val="20"/>
          <w:szCs w:val="20"/>
          <w:color w:val="auto"/>
        </w:rPr>
      </w:pPr>
    </w:p>
    <w:p>
      <w:pPr>
        <w:jc w:val="both"/>
        <w:ind w:left="660" w:hanging="331"/>
        <w:spacing w:after="0" w:line="286" w:lineRule="auto"/>
        <w:tabs>
          <w:tab w:leader="none" w:pos="624"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if the API is just one ‘ingredient’ (i.e. active substance) of the investigational medicinal product (the “</w:t>
      </w:r>
      <w:r>
        <w:rPr>
          <w:rFonts w:ascii="Times New Roman" w:cs="Times New Roman" w:eastAsia="Times New Roman" w:hAnsi="Times New Roman"/>
          <w:sz w:val="20"/>
          <w:szCs w:val="20"/>
          <w:b w:val="1"/>
          <w:bCs w:val="1"/>
          <w:color w:val="auto"/>
        </w:rPr>
        <w:t>IMP</w:t>
      </w:r>
      <w:r>
        <w:rPr>
          <w:rFonts w:ascii="Times New Roman" w:cs="Times New Roman" w:eastAsia="Times New Roman" w:hAnsi="Times New Roman"/>
          <w:sz w:val="20"/>
          <w:szCs w:val="20"/>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jc w:val="both"/>
        <w:ind w:left="660" w:hanging="331"/>
        <w:spacing w:after="0" w:line="295" w:lineRule="auto"/>
        <w:tabs>
          <w:tab w:leader="none" w:pos="624"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0"/>
          <w:szCs w:val="20"/>
          <w:b w:val="1"/>
          <w:bCs w:val="1"/>
          <w:color w:val="auto"/>
        </w:rPr>
        <w:t>MIA(IMP</w:t>
      </w:r>
      <w:r>
        <w:rPr>
          <w:rFonts w:ascii="Times New Roman" w:cs="Times New Roman" w:eastAsia="Times New Roman" w:hAnsi="Times New Roman"/>
          <w:sz w:val="20"/>
          <w:szCs w:val="20"/>
          <w:color w:val="auto"/>
        </w:rPr>
        <w:t>)”)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Some products fall on the borderline between medicines and other categories of regulate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26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0"/>
          <w:szCs w:val="20"/>
          <w:i w:val="1"/>
          <w:iCs w:val="1"/>
          <w:color w:val="auto"/>
        </w:rPr>
        <w:t>Psilocybe</w:t>
      </w:r>
      <w:r>
        <w:rPr>
          <w:rFonts w:ascii="Times New Roman" w:cs="Times New Roman" w:eastAsia="Times New Roman" w:hAnsi="Times New Roman"/>
          <w:sz w:val="20"/>
          <w:szCs w:val="20"/>
          <w:color w:val="auto"/>
        </w:rPr>
        <w:t xml:space="preserve">, such as </w:t>
      </w:r>
      <w:r>
        <w:rPr>
          <w:rFonts w:ascii="Times New Roman" w:cs="Times New Roman" w:eastAsia="Times New Roman" w:hAnsi="Times New Roman"/>
          <w:sz w:val="20"/>
          <w:szCs w:val="20"/>
          <w:i w:val="1"/>
          <w:iCs w:val="1"/>
          <w:color w:val="auto"/>
        </w:rPr>
        <w:t>P. azurescens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 semilanceata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cyanescens</w:t>
      </w:r>
      <w:r>
        <w:rPr>
          <w:rFonts w:ascii="Times New Roman" w:cs="Times New Roman" w:eastAsia="Times New Roman" w:hAnsi="Times New Roman"/>
          <w:sz w:val="20"/>
          <w:szCs w:val="20"/>
          <w:color w:val="auto"/>
        </w:rPr>
        <w:t>, but psilocybin has also been isolated from about a dozen other genera. As a prodrug, psilocybin is quickly converted by the body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psilocin, which has mind-altering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36" w:right="339" w:bottom="1440" w:gutter="0" w:footer="0" w:header="0"/>
        </w:sectPr>
      </w:pPr>
    </w:p>
    <w:bookmarkStart w:id="68" w:name="page69"/>
    <w:bookmarkEnd w:id="68"/>
    <w:p>
      <w:pPr>
        <w:jc w:val="both"/>
        <w:spacing w:after="0" w:line="325" w:lineRule="auto"/>
        <w:rPr>
          <w:sz w:val="20"/>
          <w:szCs w:val="20"/>
          <w:color w:val="auto"/>
        </w:rPr>
      </w:pPr>
      <w:r>
        <w:rPr>
          <w:rFonts w:ascii="Times New Roman" w:cs="Times New Roman" w:eastAsia="Times New Roman" w:hAnsi="Times New Roman"/>
          <w:sz w:val="20"/>
          <w:szCs w:val="20"/>
          <w:color w:val="auto"/>
        </w:rPr>
        <w:t>The pharmacokinetics, pharmacology and human metabolism of psilocin are well known and well characterized. In conjunction with psychotherapy, psilocin has been utilized broadly in phase II clinical trials.</w:t>
      </w:r>
    </w:p>
    <w:p>
      <w:pPr>
        <w:spacing w:after="0" w:line="14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Cybin has commenced research and development on the delivery of synthetic psilocin and other psychedelics through mechanisms such as sublingual film delivery, IV, and by way of inhalation.</w:t>
      </w:r>
    </w:p>
    <w:p>
      <w:pPr>
        <w:spacing w:after="0" w:line="20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Research and development is led by the Company’s North American Chief Scientific Officer, Alex Nivorozhkin Ph.D., a seasoned medicinal chemist, drug delivery expert and founder of multiple biotech companies.</w:t>
      </w:r>
    </w:p>
    <w:p>
      <w:pPr>
        <w:spacing w:after="0" w:line="17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Canada generally involves:</w:t>
      </w:r>
    </w:p>
    <w:p>
      <w:pPr>
        <w:spacing w:after="0" w:line="252" w:lineRule="exact"/>
        <w:rPr>
          <w:sz w:val="20"/>
          <w:szCs w:val="20"/>
          <w:color w:val="auto"/>
        </w:rPr>
      </w:pPr>
    </w:p>
    <w:p>
      <w:pPr>
        <w:ind w:left="660" w:hanging="331"/>
        <w:spacing w:after="0" w:line="314" w:lineRule="auto"/>
        <w:tabs>
          <w:tab w:leader="none" w:pos="624"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Chemical and Biological Research – </w:t>
      </w:r>
      <w:r>
        <w:rPr>
          <w:rFonts w:ascii="Times New Roman" w:cs="Times New Roman" w:eastAsia="Times New Roman" w:hAnsi="Times New Roman"/>
          <w:sz w:val="20"/>
          <w:szCs w:val="20"/>
          <w:color w:val="auto"/>
        </w:rPr>
        <w:t>Laboratory tests are carried out on tissue cultures and with a variety of small animals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effects of the drug. If the results are promising, the manufacturer will proceed to the next step of development.</w:t>
      </w:r>
    </w:p>
    <w:p>
      <w:pPr>
        <w:spacing w:after="0" w:line="193" w:lineRule="exact"/>
        <w:rPr>
          <w:rFonts w:ascii="Arial" w:cs="Arial" w:eastAsia="Arial" w:hAnsi="Arial"/>
          <w:sz w:val="20"/>
          <w:szCs w:val="20"/>
          <w:color w:val="auto"/>
        </w:rPr>
      </w:pPr>
    </w:p>
    <w:p>
      <w:pPr>
        <w:ind w:left="660" w:hanging="331"/>
        <w:spacing w:after="0" w:line="314" w:lineRule="auto"/>
        <w:tabs>
          <w:tab w:leader="none" w:pos="624"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Preclinical Development – </w:t>
      </w:r>
      <w:r>
        <w:rPr>
          <w:rFonts w:ascii="Times New Roman" w:cs="Times New Roman" w:eastAsia="Times New Roman" w:hAnsi="Times New Roman"/>
          <w:sz w:val="20"/>
          <w:szCs w:val="20"/>
          <w:color w:val="auto"/>
        </w:rPr>
        <w:t>Animals are given the drug in varying amounts over differing periods of time. If it can be shown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drug causes no serious or unexpected harm at the doses required to have an effect, the manufacturer will proceed to clinical trials.</w:t>
      </w:r>
    </w:p>
    <w:p>
      <w:pPr>
        <w:spacing w:after="0" w:line="193" w:lineRule="exact"/>
        <w:rPr>
          <w:rFonts w:ascii="Arial" w:cs="Arial" w:eastAsia="Arial" w:hAnsi="Arial"/>
          <w:sz w:val="20"/>
          <w:szCs w:val="20"/>
          <w:color w:val="auto"/>
        </w:rPr>
      </w:pPr>
    </w:p>
    <w:p>
      <w:pPr>
        <w:jc w:val="both"/>
        <w:ind w:left="660" w:hanging="331"/>
        <w:spacing w:after="0" w:line="286" w:lineRule="auto"/>
        <w:tabs>
          <w:tab w:leader="none" w:pos="624"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1 - </w:t>
      </w:r>
      <w:r>
        <w:rPr>
          <w:rFonts w:ascii="Times New Roman" w:cs="Times New Roman" w:eastAsia="Times New Roman" w:hAnsi="Times New Roman"/>
          <w:sz w:val="20"/>
          <w:szCs w:val="20"/>
          <w:color w:val="auto"/>
        </w:rPr>
        <w:t>The first administration in humans is to test if people can tolerate the drug. If this testing is to take place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Canada, the manufacturer must prepare a clinical trial application for the Therapeutic Products Directorate of Health Canada (the “</w:t>
      </w:r>
      <w:r>
        <w:rPr>
          <w:rFonts w:ascii="Times New Roman" w:cs="Times New Roman" w:eastAsia="Times New Roman" w:hAnsi="Times New Roman"/>
          <w:sz w:val="20"/>
          <w:szCs w:val="20"/>
          <w:b w:val="1"/>
          <w:bCs w:val="1"/>
          <w:color w:val="auto"/>
        </w:rPr>
        <w:t>TPD</w:t>
      </w:r>
      <w:r>
        <w:rPr>
          <w:rFonts w:ascii="Times New Roman" w:cs="Times New Roman" w:eastAsia="Times New Roman" w:hAnsi="Times New Roman"/>
          <w:sz w:val="20"/>
          <w:szCs w:val="20"/>
          <w:color w:val="auto"/>
        </w:rPr>
        <w:t>”). This includes the results of the first two steps and a proposal for testing in humans. If the information is sufficient, the</w:t>
      </w:r>
    </w:p>
    <w:p>
      <w:pPr>
        <w:ind w:left="660" w:right="20"/>
        <w:spacing w:after="0" w:line="315" w:lineRule="auto"/>
        <w:rPr>
          <w:rFonts w:ascii="Arial" w:cs="Arial" w:eastAsia="Arial" w:hAnsi="Arial"/>
          <w:sz w:val="20"/>
          <w:szCs w:val="20"/>
          <w:color w:val="auto"/>
        </w:rPr>
      </w:pPr>
      <w:r>
        <w:rPr>
          <w:rFonts w:ascii="Times New Roman" w:cs="Times New Roman" w:eastAsia="Times New Roman" w:hAnsi="Times New Roman"/>
          <w:sz w:val="20"/>
          <w:szCs w:val="20"/>
          <w:color w:val="auto"/>
        </w:rPr>
        <w:t>Health Products and Food Branch of Health Canada (the “</w:t>
      </w:r>
      <w:r>
        <w:rPr>
          <w:rFonts w:ascii="Times New Roman" w:cs="Times New Roman" w:eastAsia="Times New Roman" w:hAnsi="Times New Roman"/>
          <w:sz w:val="20"/>
          <w:szCs w:val="20"/>
          <w:b w:val="1"/>
          <w:bCs w:val="1"/>
          <w:color w:val="auto"/>
        </w:rPr>
        <w:t>HPFB</w:t>
      </w:r>
      <w:r>
        <w:rPr>
          <w:rFonts w:ascii="Times New Roman" w:cs="Times New Roman" w:eastAsia="Times New Roman" w:hAnsi="Times New Roman"/>
          <w:sz w:val="20"/>
          <w:szCs w:val="20"/>
          <w:color w:val="auto"/>
        </w:rPr>
        <w:t>”) grants permission to start testing the drug, generally first on healthy volunteers.</w:t>
      </w:r>
    </w:p>
    <w:p>
      <w:pPr>
        <w:spacing w:after="0" w:line="179" w:lineRule="exact"/>
        <w:rPr>
          <w:rFonts w:ascii="Arial" w:cs="Arial" w:eastAsia="Arial" w:hAnsi="Arial"/>
          <w:sz w:val="20"/>
          <w:szCs w:val="20"/>
          <w:color w:val="auto"/>
        </w:rPr>
      </w:pPr>
    </w:p>
    <w:p>
      <w:pPr>
        <w:ind w:left="620" w:hanging="291"/>
        <w:spacing w:after="0"/>
        <w:tabs>
          <w:tab w:leader="none" w:pos="6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2 - Phase 2 </w:t>
      </w:r>
      <w:r>
        <w:rPr>
          <w:rFonts w:ascii="Times New Roman" w:cs="Times New Roman" w:eastAsia="Times New Roman" w:hAnsi="Times New Roman"/>
          <w:sz w:val="20"/>
          <w:szCs w:val="20"/>
          <w:color w:val="auto"/>
        </w:rPr>
        <w:t>trials are carried out on people with the target condition, who are usually otherwise healthy, with</w:t>
      </w:r>
    </w:p>
    <w:p>
      <w:pPr>
        <w:spacing w:after="0" w:line="56" w:lineRule="exact"/>
        <w:rPr>
          <w:rFonts w:ascii="Arial" w:cs="Arial" w:eastAsia="Arial" w:hAnsi="Arial"/>
          <w:sz w:val="20"/>
          <w:szCs w:val="20"/>
          <w:color w:val="auto"/>
        </w:rPr>
      </w:pPr>
    </w:p>
    <w:p>
      <w:pPr>
        <w:ind w:left="660" w:right="20"/>
        <w:spacing w:after="0" w:line="311" w:lineRule="auto"/>
        <w:rPr>
          <w:rFonts w:ascii="Arial" w:cs="Arial" w:eastAsia="Arial" w:hAnsi="Arial"/>
          <w:sz w:val="20"/>
          <w:szCs w:val="20"/>
          <w:color w:val="auto"/>
        </w:rPr>
      </w:pPr>
      <w:r>
        <w:rPr>
          <w:rFonts w:ascii="Times New Roman" w:cs="Times New Roman" w:eastAsia="Times New Roman" w:hAnsi="Times New Roman"/>
          <w:sz w:val="20"/>
          <w:szCs w:val="20"/>
          <w:color w:val="auto"/>
        </w:rPr>
        <w:t>no other medical condition. Trials carried out in Canada must be approved by the TPD. In phase II, the objective of the trials is to continue to gather information on the safety of the drug and begin to determine its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69" w:name="page70"/>
    <w:bookmarkEnd w:id="69"/>
    <w:p>
      <w:pPr>
        <w:ind w:left="620" w:hanging="291"/>
        <w:spacing w:after="0"/>
        <w:tabs>
          <w:tab w:leader="none" w:pos="6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3 - </w:t>
      </w:r>
      <w:r>
        <w:rPr>
          <w:rFonts w:ascii="Times New Roman" w:cs="Times New Roman" w:eastAsia="Times New Roman" w:hAnsi="Times New Roman"/>
          <w:sz w:val="20"/>
          <w:szCs w:val="20"/>
          <w:color w:val="auto"/>
        </w:rPr>
        <w:t>If the results from phase II show promise, the manufacturer provides an updated clinical trial application</w:t>
      </w:r>
    </w:p>
    <w:p>
      <w:pPr>
        <w:spacing w:after="0" w:line="56" w:lineRule="exact"/>
        <w:rPr>
          <w:rFonts w:ascii="Arial" w:cs="Arial" w:eastAsia="Arial" w:hAnsi="Arial"/>
          <w:sz w:val="20"/>
          <w:szCs w:val="20"/>
          <w:color w:val="auto"/>
        </w:rPr>
      </w:pPr>
    </w:p>
    <w:p>
      <w:pPr>
        <w:jc w:val="both"/>
        <w:ind w:left="660"/>
        <w:spacing w:after="0" w:line="296" w:lineRule="auto"/>
        <w:rPr>
          <w:rFonts w:ascii="Arial" w:cs="Arial" w:eastAsia="Arial" w:hAnsi="Arial"/>
          <w:sz w:val="20"/>
          <w:szCs w:val="20"/>
          <w:color w:val="auto"/>
        </w:rPr>
      </w:pPr>
      <w:r>
        <w:rPr>
          <w:rFonts w:ascii="Times New Roman" w:cs="Times New Roman" w:eastAsia="Times New Roman" w:hAnsi="Times New Roman"/>
          <w:sz w:val="20"/>
          <w:szCs w:val="20"/>
          <w:color w:val="auto"/>
        </w:rPr>
        <w:t>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11" w:lineRule="exact"/>
        <w:rPr>
          <w:rFonts w:ascii="Arial" w:cs="Arial" w:eastAsia="Arial" w:hAnsi="Arial"/>
          <w:sz w:val="20"/>
          <w:szCs w:val="20"/>
          <w:color w:val="auto"/>
        </w:rPr>
      </w:pPr>
    </w:p>
    <w:p>
      <w:pPr>
        <w:jc w:val="both"/>
        <w:ind w:left="660" w:hanging="331"/>
        <w:spacing w:after="0" w:line="302" w:lineRule="auto"/>
        <w:tabs>
          <w:tab w:leader="none" w:pos="624"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New Drug Submission – </w:t>
      </w:r>
      <w:r>
        <w:rPr>
          <w:rFonts w:ascii="Times New Roman" w:cs="Times New Roman" w:eastAsia="Times New Roman" w:hAnsi="Times New Roman"/>
          <w:sz w:val="19"/>
          <w:szCs w:val="19"/>
          <w:color w:val="auto"/>
        </w:rPr>
        <w:t>If the results from phase III continue to be favourable, the drug manufacturer can submit a new drug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submission (“</w:t>
      </w:r>
      <w:r>
        <w:rPr>
          <w:rFonts w:ascii="Times New Roman" w:cs="Times New Roman" w:eastAsia="Times New Roman" w:hAnsi="Times New Roman"/>
          <w:sz w:val="19"/>
          <w:szCs w:val="19"/>
          <w:b w:val="1"/>
          <w:bCs w:val="1"/>
          <w:color w:val="auto"/>
        </w:rPr>
        <w:t>NDS</w:t>
      </w:r>
      <w:r>
        <w:rPr>
          <w:rFonts w:ascii="Times New Roman" w:cs="Times New Roman" w:eastAsia="Times New Roman" w:hAnsi="Times New Roman"/>
          <w:sz w:val="19"/>
          <w:szCs w:val="19"/>
          <w:color w:val="auto"/>
        </w:rPr>
        <w:t>”) to the TPD. A drug manufacturer can submit an NDS regardless of whether the clinical trials were carried out in Canada. The TPD reviews all the information gathered during the development of the drug and assesses the risks and benefits of the</w:t>
      </w:r>
    </w:p>
    <w:p>
      <w:pPr>
        <w:spacing w:after="0" w:line="1" w:lineRule="exact"/>
        <w:rPr>
          <w:rFonts w:ascii="Arial" w:cs="Arial" w:eastAsia="Arial" w:hAnsi="Arial"/>
          <w:sz w:val="19"/>
          <w:szCs w:val="19"/>
          <w:color w:val="auto"/>
        </w:rPr>
      </w:pPr>
    </w:p>
    <w:p>
      <w:pPr>
        <w:ind w:left="660" w:right="20"/>
        <w:spacing w:after="0" w:line="311" w:lineRule="auto"/>
        <w:rPr>
          <w:rFonts w:ascii="Arial" w:cs="Arial" w:eastAsia="Arial" w:hAnsi="Arial"/>
          <w:sz w:val="19"/>
          <w:szCs w:val="19"/>
          <w:color w:val="auto"/>
        </w:rPr>
      </w:pPr>
      <w:r>
        <w:rPr>
          <w:rFonts w:ascii="Times New Roman" w:cs="Times New Roman" w:eastAsia="Times New Roman" w:hAnsi="Times New Roman"/>
          <w:sz w:val="20"/>
          <w:szCs w:val="20"/>
          <w:color w:val="auto"/>
        </w:rPr>
        <w:t>drug. If it is judged that, for a specific patient population and specific conditions of use, the benefits of the drug outweigh the known risks, the HPFB will approve the drug by issuing a notice of compliance.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1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the United States generally involves:</w:t>
      </w:r>
    </w:p>
    <w:p>
      <w:pPr>
        <w:spacing w:after="0" w:line="283" w:lineRule="exact"/>
        <w:rPr>
          <w:sz w:val="20"/>
          <w:szCs w:val="20"/>
          <w:color w:val="auto"/>
        </w:rPr>
      </w:pPr>
    </w:p>
    <w:p>
      <w:pPr>
        <w:ind w:left="660" w:hanging="331"/>
        <w:spacing w:after="0" w:line="288" w:lineRule="auto"/>
        <w:tabs>
          <w:tab w:leader="none" w:pos="624"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extensive non-clinical laboratory tests, animal studies and formulation studies, all performed in accordance with the FDA’s Good Laboratory, Good Clinical and/or Good Manufacturing Practice regulations;</w:t>
      </w:r>
    </w:p>
    <w:p>
      <w:pPr>
        <w:ind w:left="620" w:hanging="291"/>
        <w:spacing w:after="0"/>
        <w:tabs>
          <w:tab w:leader="none" w:pos="6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Application, which the FDA must approve before human clinical trials may begin;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IRB or independent ethics committee at each clinical trial site before each trial may be initiated;</w:t>
      </w:r>
    </w:p>
    <w:p>
      <w:pPr>
        <w:spacing w:after="0" w:line="52" w:lineRule="exact"/>
        <w:rPr>
          <w:rFonts w:ascii="Arial" w:cs="Arial" w:eastAsia="Arial" w:hAnsi="Arial"/>
          <w:sz w:val="20"/>
          <w:szCs w:val="20"/>
          <w:color w:val="auto"/>
        </w:rPr>
      </w:pPr>
    </w:p>
    <w:p>
      <w:pPr>
        <w:jc w:val="both"/>
        <w:ind w:left="660" w:hanging="331"/>
        <w:spacing w:after="0" w:line="284" w:lineRule="auto"/>
        <w:tabs>
          <w:tab w:leader="none" w:pos="624"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 w:lineRule="exact"/>
        <w:rPr>
          <w:rFonts w:ascii="Arial" w:cs="Arial" w:eastAsia="Arial" w:hAnsi="Arial"/>
          <w:sz w:val="20"/>
          <w:szCs w:val="20"/>
          <w:color w:val="auto"/>
        </w:rPr>
      </w:pPr>
    </w:p>
    <w:p>
      <w:pPr>
        <w:ind w:left="620" w:hanging="291"/>
        <w:spacing w:after="0"/>
        <w:tabs>
          <w:tab w:leader="none" w:pos="6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 New Drug Application (“</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w:t>
      </w:r>
    </w:p>
    <w:p>
      <w:pPr>
        <w:spacing w:after="0" w:line="43" w:lineRule="exact"/>
        <w:rPr>
          <w:rFonts w:ascii="Arial" w:cs="Arial" w:eastAsia="Arial" w:hAnsi="Arial"/>
          <w:sz w:val="20"/>
          <w:szCs w:val="20"/>
          <w:color w:val="auto"/>
        </w:rPr>
      </w:pPr>
    </w:p>
    <w:p>
      <w:pPr>
        <w:ind w:left="620" w:hanging="291"/>
        <w:spacing w:after="0"/>
        <w:tabs>
          <w:tab w:leader="none" w:pos="62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satisfactory completion of one or more FDA pre-approval inspections of the manufacturing facility or facilities where the drug will be</w:t>
      </w:r>
    </w:p>
    <w:p>
      <w:pPr>
        <w:spacing w:after="0" w:line="64" w:lineRule="exact"/>
        <w:rPr>
          <w:rFonts w:ascii="Arial" w:cs="Arial" w:eastAsia="Arial" w:hAnsi="Arial"/>
          <w:sz w:val="19"/>
          <w:szCs w:val="19"/>
          <w:color w:val="auto"/>
        </w:rPr>
      </w:pPr>
    </w:p>
    <w:p>
      <w:pPr>
        <w:ind w:left="660"/>
        <w:spacing w:after="0" w:line="281" w:lineRule="auto"/>
        <w:rPr>
          <w:rFonts w:ascii="Arial" w:cs="Arial" w:eastAsia="Arial" w:hAnsi="Arial"/>
          <w:sz w:val="19"/>
          <w:szCs w:val="19"/>
          <w:color w:val="auto"/>
        </w:rPr>
      </w:pPr>
      <w:r>
        <w:rPr>
          <w:rFonts w:ascii="Times New Roman" w:cs="Times New Roman" w:eastAsia="Times New Roman" w:hAnsi="Times New Roman"/>
          <w:sz w:val="20"/>
          <w:szCs w:val="20"/>
          <w:color w:val="auto"/>
        </w:rPr>
        <w:t>produced to assess compliance with cGMP requirements to assure that the facilities, methods and controls are adequate to preserve the drug’s identity, strength, quality, and purity; and</w:t>
      </w:r>
    </w:p>
    <w:p>
      <w:pPr>
        <w:spacing w:after="0" w:line="1" w:lineRule="exact"/>
        <w:rPr>
          <w:rFonts w:ascii="Arial" w:cs="Arial" w:eastAsia="Arial" w:hAnsi="Arial"/>
          <w:sz w:val="19"/>
          <w:szCs w:val="19"/>
          <w:color w:val="auto"/>
        </w:rPr>
      </w:pPr>
    </w:p>
    <w:p>
      <w:pPr>
        <w:ind w:left="620" w:hanging="291"/>
        <w:spacing w:after="0"/>
        <w:tabs>
          <w:tab w:leader="none" w:pos="6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prior to any commercial marketing, sale or shipment of the drug.</w:t>
      </w:r>
    </w:p>
    <w:p>
      <w:pPr>
        <w:spacing w:after="0" w:line="296"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the Company cannot be certain that the DEA will schedule or reschedule any Schedule I substance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36" w:right="339" w:bottom="1440" w:gutter="0" w:footer="0" w:header="0"/>
        </w:sectPr>
      </w:pPr>
    </w:p>
    <w:bookmarkStart w:id="70" w:name="page71"/>
    <w:bookmarkEnd w:id="70"/>
    <w:p>
      <w:pPr>
        <w:jc w:val="both"/>
        <w:spacing w:after="0" w:line="325" w:lineRule="auto"/>
        <w:rPr>
          <w:sz w:val="20"/>
          <w:szCs w:val="20"/>
          <w:color w:val="auto"/>
        </w:rPr>
      </w:pPr>
      <w:r>
        <w:rPr>
          <w:rFonts w:ascii="Times New Roman" w:cs="Times New Roman" w:eastAsia="Times New Roman" w:hAnsi="Times New Roman"/>
          <w:sz w:val="20"/>
          <w:szCs w:val="20"/>
          <w:color w:val="auto"/>
        </w:rPr>
        <w:t>product candidate to Schedule II, III, IV, or V, or that approvals for its prescription drug product candidates will be granted on a timely basis, if at all.</w:t>
      </w:r>
    </w:p>
    <w:p>
      <w:pPr>
        <w:spacing w:after="0" w:line="1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71" w:name="page72"/>
    <w:bookmarkEnd w:id="71"/>
    <w:p>
      <w:pPr>
        <w:jc w:val="both"/>
        <w:spacing w:after="0" w:line="296" w:lineRule="auto"/>
        <w:rPr>
          <w:sz w:val="20"/>
          <w:szCs w:val="20"/>
          <w:color w:val="auto"/>
        </w:rPr>
      </w:pPr>
      <w:r>
        <w:rPr>
          <w:rFonts w:ascii="Times New Roman" w:cs="Times New Roman" w:eastAsia="Times New Roman" w:hAnsi="Times New Roman"/>
          <w:sz w:val="20"/>
          <w:szCs w:val="20"/>
          <w:color w:val="auto"/>
        </w:rPr>
        <w:t>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0"/>
          <w:szCs w:val="20"/>
          <w:i w:val="1"/>
          <w:iCs w:val="1"/>
          <w:color w:val="auto"/>
        </w:rPr>
        <w:t>False Claims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72" w:name="page73"/>
    <w:bookmarkEnd w:id="72"/>
    <w:p>
      <w:pPr>
        <w:jc w:val="both"/>
        <w:spacing w:after="0" w:line="298" w:lineRule="auto"/>
        <w:rPr>
          <w:sz w:val="20"/>
          <w:szCs w:val="20"/>
          <w:color w:val="auto"/>
        </w:rPr>
      </w:pPr>
      <w:r>
        <w:rPr>
          <w:rFonts w:ascii="Times New Roman" w:cs="Times New Roman" w:eastAsia="Times New Roman" w:hAnsi="Times New Roman"/>
          <w:sz w:val="20"/>
          <w:szCs w:val="20"/>
          <w:color w:val="auto"/>
        </w:rPr>
        <w:t>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1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Controlled Substances</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2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import and manufacturing, and each registration will specify which schedules of controlled substances are authorized.</w:t>
      </w:r>
    </w:p>
    <w:p>
      <w:pPr>
        <w:spacing w:after="0" w:line="2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23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EU (Netherlands)</w:t>
      </w:r>
    </w:p>
    <w:p>
      <w:pPr>
        <w:spacing w:after="0" w:line="2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Regulation (EU) No 536/2014 on Clinical Trials on Medicinal Products for Human Use ( the “</w:t>
      </w:r>
      <w:r>
        <w:rPr>
          <w:rFonts w:ascii="Times New Roman" w:cs="Times New Roman" w:eastAsia="Times New Roman" w:hAnsi="Times New Roman"/>
          <w:sz w:val="19"/>
          <w:szCs w:val="19"/>
          <w:b w:val="1"/>
          <w:bCs w:val="1"/>
          <w:color w:val="auto"/>
        </w:rPr>
        <w:t>CTR</w:t>
      </w:r>
      <w:r>
        <w:rPr>
          <w:rFonts w:ascii="Times New Roman" w:cs="Times New Roman" w:eastAsia="Times New Roman" w:hAnsi="Times New Roman"/>
          <w:sz w:val="19"/>
          <w:szCs w:val="19"/>
          <w:color w:val="auto"/>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 w:cs="Times New Roman" w:eastAsia="Times New Roman" w:hAnsi="Times New Roman"/>
          <w:sz w:val="24"/>
          <w:szCs w:val="24"/>
          <w:color w:val="auto"/>
          <w:vertAlign w:val="superscript"/>
        </w:rPr>
        <w:t>32</w:t>
      </w:r>
      <w:r>
        <w:rPr>
          <w:rFonts w:ascii="Times New Roman" w:cs="Times New Roman" w:eastAsia="Times New Roman" w:hAnsi="Times New Roman"/>
          <w:sz w:val="19"/>
          <w:szCs w:val="19"/>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9"/>
          <w:szCs w:val="19"/>
          <w:b w:val="1"/>
          <w:bCs w:val="1"/>
          <w:color w:val="auto"/>
        </w:rPr>
        <w:t>CTSI</w:t>
      </w:r>
      <w:r>
        <w:rPr>
          <w:rFonts w:ascii="Times New Roman" w:cs="Times New Roman" w:eastAsia="Times New Roman" w:hAnsi="Times New Roman"/>
          <w:sz w:val="19"/>
          <w:szCs w:val="19"/>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0"/>
          <w:szCs w:val="20"/>
          <w:b w:val="1"/>
          <w:bCs w:val="1"/>
          <w:color w:val="auto"/>
        </w:rPr>
        <w:t>CTAG</w:t>
      </w:r>
      <w:r>
        <w:rPr>
          <w:rFonts w:ascii="Times New Roman" w:cs="Times New Roman" w:eastAsia="Times New Roman" w:hAnsi="Times New Roman"/>
          <w:sz w:val="20"/>
          <w:szCs w:val="20"/>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2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Investigational Medicinal Product Dossier (“</w:t>
      </w:r>
      <w:r>
        <w:rPr>
          <w:rFonts w:ascii="Times New Roman" w:cs="Times New Roman" w:eastAsia="Times New Roman" w:hAnsi="Times New Roman"/>
          <w:sz w:val="20"/>
          <w:szCs w:val="20"/>
          <w:b w:val="1"/>
          <w:bCs w:val="1"/>
          <w:color w:val="auto"/>
        </w:rPr>
        <w:t>IMPD</w:t>
      </w:r>
      <w:r>
        <w:rPr>
          <w:rFonts w:ascii="Times New Roman" w:cs="Times New Roman" w:eastAsia="Times New Roman" w:hAnsi="Times New Roman"/>
          <w:sz w:val="20"/>
          <w:szCs w:val="20"/>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0"/>
          <w:szCs w:val="20"/>
          <w:b w:val="1"/>
          <w:bCs w:val="1"/>
          <w:color w:val="auto"/>
        </w:rPr>
        <w:t>Clinical Trials Directive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714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8"/>
        <w:spacing w:after="0"/>
        <w:tabs>
          <w:tab w:leader="none" w:pos="173"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36" w:right="339" w:bottom="1440" w:gutter="0" w:footer="0" w:header="0"/>
        </w:sectPr>
      </w:pPr>
    </w:p>
    <w:bookmarkStart w:id="75" w:name="page76"/>
    <w:bookmarkEnd w:id="75"/>
    <w:p>
      <w:pPr>
        <w:jc w:val="both"/>
        <w:spacing w:after="0" w:line="291" w:lineRule="auto"/>
        <w:rPr>
          <w:sz w:val="20"/>
          <w:szCs w:val="20"/>
          <w:color w:val="auto"/>
        </w:rPr>
      </w:pPr>
      <w:r>
        <w:rPr>
          <w:rFonts w:ascii="Times New Roman" w:cs="Times New Roman" w:eastAsia="Times New Roman" w:hAnsi="Times New Roman"/>
          <w:sz w:val="20"/>
          <w:szCs w:val="20"/>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22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2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In accordance with the Dutch Medicines Act (</w:t>
      </w:r>
      <w:r>
        <w:rPr>
          <w:rFonts w:ascii="Times New Roman" w:cs="Times New Roman" w:eastAsia="Times New Roman" w:hAnsi="Times New Roman"/>
          <w:sz w:val="20"/>
          <w:szCs w:val="20"/>
          <w:i w:val="1"/>
          <w:iCs w:val="1"/>
          <w:color w:val="auto"/>
        </w:rPr>
        <w:t>Geneesmiddelenwet</w:t>
      </w:r>
      <w:r>
        <w:rPr>
          <w:rFonts w:ascii="Times New Roman" w:cs="Times New Roman" w:eastAsia="Times New Roman" w:hAnsi="Times New Roman"/>
          <w:sz w:val="20"/>
          <w:szCs w:val="20"/>
          <w:color w:val="auto"/>
        </w:rPr>
        <w:t>), “medicinal products” are defined as: a substance or a combination of substances that is intended to be administered or used for,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76" w:name="page77"/>
    <w:bookmarkEnd w:id="76"/>
    <w:p>
      <w:pPr>
        <w:jc w:val="both"/>
        <w:spacing w:after="0" w:line="303" w:lineRule="auto"/>
        <w:rPr>
          <w:sz w:val="20"/>
          <w:szCs w:val="20"/>
          <w:color w:val="auto"/>
        </w:rPr>
      </w:pPr>
      <w:r>
        <w:rPr>
          <w:rFonts w:ascii="Times New Roman" w:cs="Times New Roman" w:eastAsia="Times New Roman" w:hAnsi="Times New Roman"/>
          <w:sz w:val="20"/>
          <w:szCs w:val="20"/>
          <w:color w:val="auto"/>
        </w:rPr>
        <w:t>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auto"/>
        </w:rPr>
        <w:t>Marketing Authorization Regulatory Process</w:t>
      </w:r>
    </w:p>
    <w:p>
      <w:pPr>
        <w:spacing w:after="0" w:line="2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78" w:name="page79"/>
    <w:bookmarkEnd w:id="78"/>
    <w:p>
      <w:pPr>
        <w:jc w:val="both"/>
        <w:spacing w:after="0" w:line="296" w:lineRule="auto"/>
        <w:rPr>
          <w:sz w:val="20"/>
          <w:szCs w:val="20"/>
          <w:color w:val="auto"/>
        </w:rPr>
      </w:pPr>
      <w:r>
        <w:rPr>
          <w:rFonts w:ascii="Times New Roman" w:cs="Times New Roman" w:eastAsia="Times New Roman" w:hAnsi="Times New Roman"/>
          <w:sz w:val="20"/>
          <w:szCs w:val="20"/>
          <w:color w:val="auto"/>
        </w:rPr>
        <w:t>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0"/>
          <w:szCs w:val="20"/>
          <w:b w:val="1"/>
          <w:bCs w:val="1"/>
          <w:color w:val="auto"/>
        </w:rPr>
        <w:t>CMDh</w:t>
      </w:r>
      <w:r>
        <w:rPr>
          <w:rFonts w:ascii="Times New Roman" w:cs="Times New Roman" w:eastAsia="Times New Roman" w:hAnsi="Times New Roman"/>
          <w:sz w:val="20"/>
          <w:szCs w:val="20"/>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w:t>
      </w:r>
    </w:p>
    <w:p>
      <w:pPr>
        <w:spacing w:after="0" w:line="2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0"/>
          <w:szCs w:val="20"/>
          <w:color w:val="auto"/>
        </w:rPr>
        <w:t xml:space="preserve">In Ireland, psilocin is a controlled substance under the </w:t>
      </w:r>
      <w:r>
        <w:rPr>
          <w:rFonts w:ascii="Times New Roman" w:cs="Times New Roman" w:eastAsia="Times New Roman" w:hAnsi="Times New Roman"/>
          <w:sz w:val="20"/>
          <w:szCs w:val="20"/>
          <w:i w:val="1"/>
          <w:iCs w:val="1"/>
          <w:color w:val="auto"/>
        </w:rPr>
        <w:t>Misuse of Drugs Act, 1977, 1984 and 2015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Ireland MDA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Misuse of Drugs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Regulations 2017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Ireland MDR</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i w:val="1"/>
          <w:iCs w:val="1"/>
          <w:color w:val="auto"/>
        </w:rPr>
        <w:t xml:space="preserve"> Criminal Justice (Psychoactive Substances) Act 2010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2010 Act</w:t>
      </w:r>
      <w:r>
        <w:rPr>
          <w:rFonts w:ascii="Times New Roman" w:cs="Times New Roman" w:eastAsia="Times New Roman" w:hAnsi="Times New Roman"/>
          <w:sz w:val="20"/>
          <w:szCs w:val="20"/>
          <w:color w:val="auto"/>
        </w:rPr>
        <w:t>”). These are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 shall not apply in relation to any “substance, product, preparation, plant, fungus or natural organism” as specified in the order.</w:t>
      </w:r>
    </w:p>
    <w:p>
      <w:pPr>
        <w:spacing w:after="0" w:line="22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209" w:lineRule="exact"/>
        <w:rPr>
          <w:sz w:val="20"/>
          <w:szCs w:val="20"/>
          <w:color w:val="auto"/>
        </w:rPr>
      </w:pPr>
    </w:p>
    <w:p>
      <w:pPr>
        <w:ind w:right="580"/>
        <w:spacing w:after="0" w:line="311" w:lineRule="auto"/>
        <w:rPr>
          <w:sz w:val="20"/>
          <w:szCs w:val="20"/>
          <w:color w:val="auto"/>
        </w:rPr>
      </w:pPr>
      <w:r>
        <w:rPr>
          <w:rFonts w:ascii="Times New Roman" w:cs="Times New Roman" w:eastAsia="Times New Roman" w:hAnsi="Times New Roman"/>
          <w:sz w:val="20"/>
          <w:szCs w:val="20"/>
          <w:color w:val="auto"/>
        </w:rPr>
        <w:t>The Irish Government’s Legislative Programme for Summer 2025 does not contain any proposed amendments to the above-mentioned legislation which currently govern controlled substances.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Applicable Laws</w:t>
      </w:r>
    </w:p>
    <w:p>
      <w:pPr>
        <w:spacing w:after="0" w:line="2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8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3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Cooperation Treaty</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PCT facilitates filing for patent recognition in multiple jurisdictions simultaneously using a single uniform patent application. 157 countries, including Canada and the United States have ratified the PCT.</w:t>
      </w:r>
    </w:p>
    <w:p>
      <w:pPr>
        <w:spacing w:after="0" w:line="173"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Quarterly Information</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Effective April 1, 2025, the Company changed its presentation currency from the Canadian Dollar to the United States dollar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w:t>
      </w:r>
    </w:p>
    <w:p>
      <w:pPr>
        <w:spacing w:after="0" w:line="1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following table sets forth selected consolidated financial information for the periods indicated that are derived </w:t>
      </w:r>
      <w:r>
        <w:rPr>
          <w:rFonts w:ascii="Times New Roman" w:cs="Times New Roman" w:eastAsia="Times New Roman" w:hAnsi="Times New Roman"/>
          <w:sz w:val="21"/>
          <w:szCs w:val="21"/>
          <w:color w:val="auto"/>
        </w:rPr>
        <w:t>f</w:t>
      </w:r>
      <w:r>
        <w:rPr>
          <w:rFonts w:ascii="Times New Roman" w:cs="Times New Roman" w:eastAsia="Times New Roman" w:hAnsi="Times New Roman"/>
          <w:sz w:val="20"/>
          <w:szCs w:val="20"/>
          <w:color w:val="auto"/>
        </w:rPr>
        <w:t>rom, and should be read in conjunction with, the Financial Statements and related notes thereto. As a result of the change in reporting currency, the dollar amounts in the table below have been restated from CAD to USD. Assets and liabilities at each balance sheet date were translated at the closing rate on those dates. Expense items for prior periods were translated using the average rate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36" w:right="339" w:bottom="1440" w:gutter="0" w:footer="0" w:header="0"/>
        </w:sectPr>
      </w:pPr>
    </w:p>
    <w:bookmarkStart w:id="81" w:name="page82"/>
    <w:bookmarkEnd w:id="81"/>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i w:val="1"/>
                <w:iCs w:val="1"/>
                <w:color w:val="auto"/>
              </w:rPr>
              <w:t>(United States dollars in thousands,</w:t>
            </w:r>
          </w:p>
        </w:tc>
        <w:tc>
          <w:tcPr>
            <w:tcW w:w="1080" w:type="dxa"/>
            <w:vAlign w:val="bottom"/>
            <w:shd w:val="clear" w:color="auto" w:fill="B6B6B6"/>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12"/>
        </w:trPr>
        <w:tc>
          <w:tcPr>
            <w:tcW w:w="2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i w:val="1"/>
                <w:iCs w:val="1"/>
                <w:color w:val="auto"/>
              </w:rPr>
              <w:t>except per share and share figures)</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1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2024  March 31, 2024</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Revenues ($)</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5"/>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Expenses ($)</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24,624</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23,183</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22,388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42,705</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14,849</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18,680</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19,838</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10,372</w:t>
            </w:r>
          </w:p>
        </w:tc>
      </w:tr>
      <w:tr>
        <w:trPr>
          <w:trHeight w:val="202"/>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Net loss ($)</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(24,613)</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(21,307)</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(7,539)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(41,927)</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(10,834)</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(15,826)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(22,265)</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(8,866)</w:t>
            </w:r>
          </w:p>
        </w:tc>
      </w:tr>
      <w:tr>
        <w:trPr>
          <w:trHeight w:val="473"/>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 Basic</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22,401,197</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20,898,038</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20,001,406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20,001,406</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20,001,404</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12,045,467</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9,468,579</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6,173,270</w:t>
            </w:r>
          </w:p>
        </w:tc>
      </w:tr>
      <w:tr>
        <w:trPr>
          <w:trHeight w:val="203"/>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(0.54)</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(2.35)</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427"/>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w:t>
            </w:r>
          </w:p>
        </w:tc>
        <w:tc>
          <w:tcPr>
            <w:tcW w:w="1080" w:type="dxa"/>
            <w:vAlign w:val="bottom"/>
            <w:shd w:val="clear" w:color="auto" w:fill="B6B6B6"/>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8"/>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Diluted</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22,401,197</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20,898,038</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20,001,406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20,001,406</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20,001,404</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12,045,467</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9,468,579</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6,173,270</w:t>
            </w:r>
          </w:p>
        </w:tc>
      </w:tr>
      <w:tr>
        <w:trPr>
          <w:trHeight w:val="203"/>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(0.54)</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(2.35)</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473"/>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118,692</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93,922</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94,718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114,318</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133,904</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154,238</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29,487</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13,401</w:t>
            </w:r>
          </w:p>
        </w:tc>
      </w:tr>
      <w:tr>
        <w:trPr>
          <w:trHeight w:val="203"/>
        </w:trPr>
        <w:tc>
          <w:tcPr>
            <w:tcW w:w="23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Total Assets ($)</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210,813</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179,897</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176,208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194,378</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207,969</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222,895</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98,083</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42,624</w:t>
            </w:r>
          </w:p>
        </w:tc>
      </w:tr>
      <w:tr>
        <w:trPr>
          <w:trHeight w:val="206"/>
        </w:trPr>
        <w:tc>
          <w:tcPr>
            <w:tcW w:w="2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Non-Current Liabilities ($)</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5"/>
                <w:szCs w:val="15"/>
                <w:color w:val="auto"/>
              </w:rPr>
              <w:t>44,500</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32</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Total assets increased by $30,916 from April 1, 2025 to June 30, 2025, mainly as a result of an increase in cash, due to the issuance of the Convertible Debentures (as defined below), and an increase in prepaid expenses. As at June 30, 2025, the Company had prepaid expenses related to future clinical work of $14,599 (March 31, 2025 - $11,165).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30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04"/>
        </w:trPr>
        <w:tc>
          <w:tcPr>
            <w:tcW w:w="7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w:t>
            </w:r>
          </w:p>
        </w:tc>
        <w:tc>
          <w:tcPr>
            <w:tcW w:w="26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14,995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378"/>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26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8,876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378"/>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753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162"/>
        </w:trPr>
        <w:tc>
          <w:tcPr>
            <w:tcW w:w="7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24,624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0" w:type="dxa"/>
            <w:vAlign w:val="bottom"/>
          </w:tcPr>
          <w:p>
            <w:pPr>
              <w:spacing w:after="0"/>
              <w:rPr>
                <w:sz w:val="1"/>
                <w:szCs w:val="1"/>
                <w:color w:val="auto"/>
              </w:rPr>
            </w:pPr>
          </w:p>
        </w:tc>
      </w:tr>
      <w:tr>
        <w:trPr>
          <w:trHeight w:val="304"/>
        </w:trPr>
        <w:tc>
          <w:tcPr>
            <w:tcW w:w="7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6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1,944</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955</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26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7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26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(2,917)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74"/>
        </w:trPr>
        <w:tc>
          <w:tcPr>
            <w:tcW w:w="71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2600" w:type="dxa"/>
            <w:vAlign w:val="bottom"/>
            <w:tcBorders>
              <w:bottom w:val="single" w:sz="8" w:color="auto"/>
            </w:tcBorders>
            <w:shd w:val="clear" w:color="auto" w:fill="DBDBDB"/>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(24,613)</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0" w:type="dxa"/>
            <w:vAlign w:val="bottom"/>
          </w:tcPr>
          <w:p>
            <w:pPr>
              <w:spacing w:after="0"/>
              <w:rPr>
                <w:sz w:val="1"/>
                <w:szCs w:val="1"/>
                <w:color w:val="auto"/>
              </w:rPr>
            </w:pPr>
          </w:p>
        </w:tc>
      </w:tr>
      <w:tr>
        <w:trPr>
          <w:trHeight w:val="318"/>
        </w:trPr>
        <w:tc>
          <w:tcPr>
            <w:tcW w:w="7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Basic loss per share for the period</w:t>
            </w:r>
          </w:p>
        </w:tc>
        <w:tc>
          <w:tcPr>
            <w:tcW w:w="26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(1.10)</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22,401,197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20,001,404</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For the three months ended June 30, 2025, Cybin incurred a net loss of $24,613, compared to a net loss of $10,834 during the same period in the prior year. The net loss for the three month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includes a non-cash component related to share-based compensation of $753, compared to $2,904 during the same period in the prior year.</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During the three months ended June 30, 2025, the Company was focused on progressing its various research programs, with a focus on its Deuterated Psilocin Program (CYB003) and Deuterated Dimethyltryptamine Program (CYB004), and raising awareness of the Company and its industry. During such period, both the CYB003 and the CYB004 clinical programs have progressed towards the milestones noted above. See “</w:t>
      </w:r>
      <w:r>
        <w:rPr>
          <w:rFonts w:ascii="Times New Roman" w:cs="Times New Roman" w:eastAsia="Times New Roman" w:hAnsi="Times New Roman"/>
          <w:sz w:val="20"/>
          <w:szCs w:val="20"/>
          <w:i w:val="1"/>
          <w:iCs w:val="1"/>
          <w:color w:val="auto"/>
        </w:rPr>
        <w:t>Non-Revenue Generating Projects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months ended June 30, 2025, operating expenses totaled $24,624 (2024 - $14,849). The operating expenses include a non-cash component of $753 (2024 - $2,904) related to share-based compensation. The remaining operating expenses were incurred to support research activities, raising capital, and the overall development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months ended June 30, 2025, the Company’s research expenses totaled $14,995 compared to $5,877 during the same period in the prior year. Research expenses for the three month period are comprised of advancement of the development programs of $12,095 (2024 - $3,386), payroll related expenses of $2,596 (2024 - $2,155), lab and administration expenses of $280 (2024 - $123), and professional and consulting fees of $24 (2024 - $213).</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overall increase in research expenses for the three months ended June 30, 2025 is due to the progression of the Company’s various research programs, primarily related to the advancement of its clinical trials for both its Deuterated Psilocin Program (CYB003) and Deuterated Dimethyltryptamine Program (CYB004). Both of the Company’s proprietary clinical programs, CYB003 and CYB004, have shown positive phase 2 safety and efficacy results. Furthermore, CYB003, which has been granted FDA BTD, is progressing its phase 3 studies.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Administration Costs</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For the three months ended June 30, 2025, general and administrative expenses were $8,876 compared to $6,068 during the same period in the prior year. General and administrative expenses for the three month period are comprised of professional and consulting fees $2,908 (2024 - $460), capital market expenses of $2,059 (2024 - $1,905), payroll and benefits of $1,607 (2024 - $2,208), business development expenses of $1,125 (2024 - $464), office and administration expenses of $770 (2024 - $561), investor relations and marketing media expenses of $381 (2024 - $396) and listing fees of $26 (2024 - $74).</w:t>
      </w:r>
    </w:p>
    <w:p>
      <w:pPr>
        <w:spacing w:after="0" w:line="20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overall increase in general and administrative expenses for the three months ended June 30, 2025 is due to additional professional and consulting fees incurred related to exploring financing opportunities and additional spend due to the overall growth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months ended June 30, 2025, the Company recorded share-based compensation expenses of $753, compared to $2,904, during the same period in the prior year. The decrease is related to the timing of issuance of option grants and the market impact on the variable inputs in option valuation. There were no new option grants during the three months ended June 30, 2025.</w:t>
      </w:r>
    </w:p>
    <w:p>
      <w:pPr>
        <w:spacing w:after="0" w:line="16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share-based compensation expense was recorded based on the fair value using a Black Scholes Model. On exercise of warrants and options the equity reserve balances will be moved to share capital.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Foreign Exchange Gain</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months ended June 30, 2025, the Company incurred foreign currency translation gains from operations and revaluations of balance sheet assets and liabilities held in foreign currencies of $1,944. The Company holds assets and liabilities in Canadian dollars, United States dollars, Euros, and British pounds.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Interest Income</w:t>
      </w:r>
    </w:p>
    <w:p>
      <w:pPr>
        <w:spacing w:after="0" w:line="25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For the three months ended June 30, 2025, the Company recorded interest income of $955, compared to $1,565, during the same period in the prior year. The decrease is largely related to a decrease on interest rates and the average cash balance earning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 issuance costs</w:t>
      </w:r>
    </w:p>
    <w:p>
      <w:pPr>
        <w:spacing w:after="0" w:line="25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For the three months ended June 30, 2025, the Company recorded $2,917 related to debt issuance costs incurred as a result of the Convertible Debentures issued on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36" w:right="339" w:bottom="1440" w:gutter="0" w:footer="0" w:header="0"/>
        </w:sectPr>
      </w:pPr>
    </w:p>
    <w:bookmarkStart w:id="84" w:name="page85"/>
    <w:bookmarkEnd w:id="84"/>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Capital Resources and Cash Flows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2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214"/>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2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r>
      <w:tr>
        <w:trPr>
          <w:trHeight w:val="20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20" w:type="dxa"/>
            <w:vAlign w:val="bottom"/>
          </w:tcPr>
          <w:p>
            <w:pPr>
              <w:spacing w:after="0"/>
              <w:rPr>
                <w:sz w:val="17"/>
                <w:szCs w:val="17"/>
                <w:color w:val="auto"/>
              </w:rPr>
            </w:pPr>
          </w:p>
        </w:tc>
        <w:tc>
          <w:tcPr>
            <w:tcW w:w="18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(29,548)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(19,888)</w:t>
            </w:r>
          </w:p>
        </w:tc>
        <w:tc>
          <w:tcPr>
            <w:tcW w:w="1640" w:type="dxa"/>
            <w:vAlign w:val="bottom"/>
            <w:shd w:val="clear" w:color="auto" w:fill="DBDBDB"/>
          </w:tcPr>
          <w:p>
            <w:pPr>
              <w:jc w:val="right"/>
              <w:ind w:right="419"/>
              <w:spacing w:after="0"/>
              <w:rPr>
                <w:sz w:val="20"/>
                <w:szCs w:val="20"/>
                <w:color w:val="auto"/>
              </w:rPr>
            </w:pPr>
            <w:r>
              <w:rPr>
                <w:rFonts w:ascii="Times New Roman" w:cs="Times New Roman" w:eastAsia="Times New Roman" w:hAnsi="Times New Roman"/>
                <w:sz w:val="16"/>
                <w:szCs w:val="16"/>
                <w:color w:val="auto"/>
              </w:rPr>
              <w:t>(9,660)</w:t>
            </w:r>
          </w:p>
        </w:tc>
        <w:tc>
          <w:tcPr>
            <w:tcW w:w="8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20" w:type="dxa"/>
            <w:vAlign w:val="bottom"/>
          </w:tcPr>
          <w:p>
            <w:pPr>
              <w:spacing w:after="0"/>
              <w:rPr>
                <w:sz w:val="18"/>
                <w:szCs w:val="18"/>
                <w:color w:val="auto"/>
              </w:rPr>
            </w:pPr>
          </w:p>
        </w:tc>
        <w:tc>
          <w:tcPr>
            <w:tcW w:w="18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640" w:type="dxa"/>
            <w:vAlign w:val="bottom"/>
            <w:shd w:val="clear" w:color="auto" w:fill="DBDBDB"/>
          </w:tcPr>
          <w:p>
            <w:pPr>
              <w:jc w:val="right"/>
              <w:ind w:right="419"/>
              <w:spacing w:after="0"/>
              <w:rPr>
                <w:sz w:val="20"/>
                <w:szCs w:val="20"/>
                <w:color w:val="auto"/>
              </w:rPr>
            </w:pPr>
            <w:r>
              <w:rPr>
                <w:rFonts w:ascii="Times New Roman" w:cs="Times New Roman" w:eastAsia="Times New Roman" w:hAnsi="Times New Roman"/>
                <w:sz w:val="16"/>
                <w:szCs w:val="16"/>
                <w:color w:val="auto"/>
              </w:rPr>
              <w:t>(48)</w:t>
            </w:r>
          </w:p>
        </w:tc>
        <w:tc>
          <w:tcPr>
            <w:tcW w:w="8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9"/>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1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54,633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640" w:type="dxa"/>
            <w:vAlign w:val="bottom"/>
            <w:tcBorders>
              <w:bottom w:val="single" w:sz="8" w:color="auto"/>
            </w:tcBorders>
            <w:shd w:val="clear" w:color="auto" w:fill="DBDBDB"/>
          </w:tcPr>
          <w:p>
            <w:pPr>
              <w:jc w:val="right"/>
              <w:ind w:right="459"/>
              <w:spacing w:after="0"/>
              <w:rPr>
                <w:sz w:val="20"/>
                <w:szCs w:val="20"/>
                <w:color w:val="auto"/>
              </w:rPr>
            </w:pPr>
            <w:r>
              <w:rPr>
                <w:rFonts w:ascii="Times New Roman" w:cs="Times New Roman" w:eastAsia="Times New Roman" w:hAnsi="Times New Roman"/>
                <w:sz w:val="16"/>
                <w:szCs w:val="16"/>
                <w:color w:val="auto"/>
              </w:rPr>
              <w:t>54,805</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w:t>
            </w:r>
          </w:p>
        </w:tc>
        <w:tc>
          <w:tcPr>
            <w:tcW w:w="2420" w:type="dxa"/>
            <w:vAlign w:val="bottom"/>
          </w:tcPr>
          <w:p>
            <w:pPr>
              <w:spacing w:after="0"/>
              <w:rPr>
                <w:sz w:val="17"/>
                <w:szCs w:val="17"/>
                <w:color w:val="auto"/>
              </w:rPr>
            </w:pPr>
          </w:p>
        </w:tc>
        <w:tc>
          <w:tcPr>
            <w:tcW w:w="18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24,864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(20,233)</w:t>
            </w:r>
          </w:p>
        </w:tc>
        <w:tc>
          <w:tcPr>
            <w:tcW w:w="1640" w:type="dxa"/>
            <w:vAlign w:val="bottom"/>
            <w:shd w:val="clear" w:color="auto" w:fill="DBDBDB"/>
          </w:tcPr>
          <w:p>
            <w:pPr>
              <w:jc w:val="right"/>
              <w:ind w:right="459"/>
              <w:spacing w:after="0"/>
              <w:rPr>
                <w:sz w:val="20"/>
                <w:szCs w:val="20"/>
                <w:color w:val="auto"/>
              </w:rPr>
            </w:pPr>
            <w:r>
              <w:rPr>
                <w:rFonts w:ascii="Times New Roman" w:cs="Times New Roman" w:eastAsia="Times New Roman" w:hAnsi="Times New Roman"/>
                <w:sz w:val="16"/>
                <w:szCs w:val="16"/>
                <w:color w:val="auto"/>
              </w:rPr>
              <w:t>45,097</w:t>
            </w: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foreign exchange difference</w:t>
            </w:r>
          </w:p>
        </w:tc>
        <w:tc>
          <w:tcPr>
            <w:tcW w:w="2420" w:type="dxa"/>
            <w:vAlign w:val="bottom"/>
          </w:tcPr>
          <w:p>
            <w:pPr>
              <w:spacing w:after="0"/>
              <w:rPr>
                <w:sz w:val="18"/>
                <w:szCs w:val="18"/>
                <w:color w:val="auto"/>
              </w:rPr>
            </w:pPr>
          </w:p>
        </w:tc>
        <w:tc>
          <w:tcPr>
            <w:tcW w:w="18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40" w:type="dxa"/>
            <w:vAlign w:val="bottom"/>
            <w:shd w:val="clear" w:color="auto" w:fill="DBDBDB"/>
          </w:tcPr>
          <w:p>
            <w:pPr>
              <w:jc w:val="right"/>
              <w:ind w:right="459"/>
              <w:spacing w:after="0"/>
              <w:rPr>
                <w:sz w:val="20"/>
                <w:szCs w:val="20"/>
                <w:color w:val="auto"/>
              </w:rPr>
            </w:pPr>
            <w:r>
              <w:rPr>
                <w:rFonts w:ascii="Times New Roman" w:cs="Times New Roman" w:eastAsia="Times New Roman" w:hAnsi="Times New Roman"/>
                <w:sz w:val="16"/>
                <w:szCs w:val="16"/>
                <w:color w:val="auto"/>
              </w:rPr>
              <w:t>7</w:t>
            </w: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1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4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93,922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154,238</w:t>
            </w:r>
          </w:p>
        </w:tc>
        <w:tc>
          <w:tcPr>
            <w:tcW w:w="1640" w:type="dxa"/>
            <w:vAlign w:val="bottom"/>
            <w:tcBorders>
              <w:bottom w:val="single" w:sz="8" w:color="auto"/>
            </w:tcBorders>
            <w:shd w:val="clear" w:color="auto" w:fill="DBDBDB"/>
          </w:tcPr>
          <w:p>
            <w:pPr>
              <w:jc w:val="right"/>
              <w:ind w:right="419"/>
              <w:spacing w:after="0"/>
              <w:rPr>
                <w:sz w:val="20"/>
                <w:szCs w:val="20"/>
                <w:color w:val="auto"/>
              </w:rPr>
            </w:pPr>
            <w:r>
              <w:rPr>
                <w:rFonts w:ascii="Times New Roman" w:cs="Times New Roman" w:eastAsia="Times New Roman" w:hAnsi="Times New Roman"/>
                <w:sz w:val="16"/>
                <w:szCs w:val="16"/>
                <w:color w:val="auto"/>
              </w:rPr>
              <w:t>(60,316)</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1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118,692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133,904</w:t>
            </w:r>
          </w:p>
        </w:tc>
        <w:tc>
          <w:tcPr>
            <w:tcW w:w="1640" w:type="dxa"/>
            <w:vAlign w:val="bottom"/>
            <w:tcBorders>
              <w:bottom w:val="single" w:sz="8" w:color="auto"/>
            </w:tcBorders>
            <w:shd w:val="clear" w:color="auto" w:fill="DBDBDB"/>
          </w:tcPr>
          <w:p>
            <w:pPr>
              <w:jc w:val="right"/>
              <w:ind w:right="419"/>
              <w:spacing w:after="0"/>
              <w:rPr>
                <w:sz w:val="20"/>
                <w:szCs w:val="20"/>
                <w:color w:val="auto"/>
              </w:rPr>
            </w:pPr>
            <w:r>
              <w:rPr>
                <w:rFonts w:ascii="Times New Roman" w:cs="Times New Roman" w:eastAsia="Times New Roman" w:hAnsi="Times New Roman"/>
                <w:sz w:val="16"/>
                <w:szCs w:val="16"/>
                <w:color w:val="auto"/>
              </w:rPr>
              <w:t>(15,212)</w:t>
            </w: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361"/>
        </w:trPr>
        <w:tc>
          <w:tcPr>
            <w:tcW w:w="33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6"/>
          </w:tcPr>
          <w:p>
            <w:pPr>
              <w:spacing w:after="0"/>
              <w:rPr>
                <w:sz w:val="24"/>
                <w:szCs w:val="24"/>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Primarily relates to cash used for operating expenses including research expenses, salaries, and other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929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15175" cy="1929130"/>
                    </a:xfrm>
                    <a:prstGeom prst="rect">
                      <a:avLst/>
                    </a:prstGeom>
                    <a:noFill/>
                  </pic:spPr>
                </pic:pic>
              </a:graphicData>
            </a:graphic>
          </wp:anchor>
        </w:drawing>
      </w:r>
    </w:p>
    <w:p>
      <w:pPr>
        <w:jc w:val="both"/>
        <w:ind w:left="3640" w:right="40"/>
        <w:spacing w:after="0" w:line="234" w:lineRule="auto"/>
        <w:rPr>
          <w:sz w:val="20"/>
          <w:szCs w:val="20"/>
          <w:color w:val="auto"/>
        </w:rPr>
      </w:pPr>
      <w:r>
        <w:rPr>
          <w:rFonts w:ascii="Times New Roman" w:cs="Times New Roman" w:eastAsia="Times New Roman" w:hAnsi="Times New Roman"/>
          <w:sz w:val="18"/>
          <w:szCs w:val="18"/>
          <w:color w:val="auto"/>
        </w:rPr>
        <w:t>general and administration expenses. Cash flows from operating activities exclude expenses not affecting cash, such as share based compensation expense, depreciation and amortization, lease interest, unrealized foreign exchange gains or losses, and net changes in non-cash balances relating to operations.</w:t>
      </w:r>
    </w:p>
    <w:p>
      <w:pPr>
        <w:spacing w:after="0" w:line="23" w:lineRule="exact"/>
        <w:rPr>
          <w:sz w:val="20"/>
          <w:szCs w:val="20"/>
          <w:color w:val="auto"/>
        </w:rPr>
      </w:pPr>
    </w:p>
    <w:p>
      <w:pPr>
        <w:jc w:val="both"/>
        <w:ind w:left="3640" w:right="40"/>
        <w:spacing w:after="0"/>
        <w:rPr>
          <w:sz w:val="20"/>
          <w:szCs w:val="20"/>
          <w:color w:val="auto"/>
        </w:rPr>
      </w:pPr>
      <w:r>
        <w:rPr>
          <w:rFonts w:ascii="Times New Roman" w:cs="Times New Roman" w:eastAsia="Times New Roman" w:hAnsi="Times New Roman"/>
          <w:sz w:val="18"/>
          <w:szCs w:val="18"/>
          <w:color w:val="auto"/>
        </w:rPr>
        <w:t>For the three months ended June 30, 2025, cash used in operating activities was $29,548 driven by a net loss for the period of $24,613, a decrease in working capital of $3,775, a non-cash unrealized foreign exchange gain of $1,944 and a gain on sale of lab equipment of $7, partially offset by the following non-cash items: share-based compensation of $753 and depreciation and amortization of $38.</w:t>
      </w:r>
    </w:p>
    <w:p>
      <w:pPr>
        <w:spacing w:after="0" w:line="32" w:lineRule="exact"/>
        <w:rPr>
          <w:sz w:val="20"/>
          <w:szCs w:val="20"/>
          <w:color w:val="auto"/>
        </w:rPr>
      </w:pPr>
    </w:p>
    <w:p>
      <w:pPr>
        <w:jc w:val="both"/>
        <w:ind w:left="3640" w:right="60" w:hanging="3617"/>
        <w:spacing w:after="0" w:line="242" w:lineRule="auto"/>
        <w:tabs>
          <w:tab w:leader="none" w:pos="3620" w:val="left"/>
        </w:tabs>
        <w:rPr>
          <w:sz w:val="20"/>
          <w:szCs w:val="20"/>
          <w:color w:val="auto"/>
        </w:rPr>
      </w:pPr>
      <w:r>
        <w:rPr>
          <w:rFonts w:ascii="Times New Roman" w:cs="Times New Roman" w:eastAsia="Times New Roman" w:hAnsi="Times New Roman"/>
          <w:sz w:val="18"/>
          <w:szCs w:val="18"/>
          <w:b w:val="1"/>
          <w:bCs w:val="1"/>
          <w:color w:val="auto"/>
        </w:rPr>
        <w:t>Net cash used in investing activities</w:t>
      </w:r>
      <w:r>
        <w:rPr>
          <w:sz w:val="20"/>
          <w:szCs w:val="20"/>
          <w:color w:val="auto"/>
        </w:rPr>
        <w:tab/>
      </w:r>
      <w:r>
        <w:rPr>
          <w:rFonts w:ascii="Times New Roman" w:cs="Times New Roman" w:eastAsia="Times New Roman" w:hAnsi="Times New Roman"/>
          <w:sz w:val="18"/>
          <w:szCs w:val="18"/>
          <w:color w:val="auto"/>
        </w:rPr>
        <w:t>For the three months ended June 30, 2025, cash used in investing activities was driven by the purchase of intangible assets and equipment of $231 offset by the proceeds received from sale of lab equipment $10.</w:t>
      </w:r>
    </w:p>
    <w:p>
      <w:pPr>
        <w:spacing w:after="0" w:line="35" w:lineRule="exact"/>
        <w:rPr>
          <w:sz w:val="20"/>
          <w:szCs w:val="20"/>
          <w:color w:val="auto"/>
        </w:rPr>
      </w:pPr>
    </w:p>
    <w:p>
      <w:pPr>
        <w:jc w:val="both"/>
        <w:ind w:left="3640" w:right="40" w:hanging="3617"/>
        <w:spacing w:after="0" w:line="242" w:lineRule="auto"/>
        <w:tabs>
          <w:tab w:leader="none" w:pos="3620" w:val="left"/>
        </w:tabs>
        <w:rPr>
          <w:sz w:val="20"/>
          <w:szCs w:val="20"/>
          <w:color w:val="auto"/>
        </w:rPr>
      </w:pPr>
      <w:r>
        <w:rPr>
          <w:rFonts w:ascii="Times New Roman" w:cs="Times New Roman" w:eastAsia="Times New Roman" w:hAnsi="Times New Roman"/>
          <w:sz w:val="18"/>
          <w:szCs w:val="18"/>
          <w:b w:val="1"/>
          <w:bCs w:val="1"/>
          <w:color w:val="auto"/>
        </w:rPr>
        <w:t>Net cash provided by financing activities</w:t>
      </w:r>
      <w:r>
        <w:rPr>
          <w:sz w:val="20"/>
          <w:szCs w:val="20"/>
          <w:color w:val="auto"/>
        </w:rPr>
        <w:tab/>
      </w:r>
      <w:r>
        <w:rPr>
          <w:rFonts w:ascii="Times New Roman" w:cs="Times New Roman" w:eastAsia="Times New Roman" w:hAnsi="Times New Roman"/>
          <w:sz w:val="18"/>
          <w:szCs w:val="18"/>
          <w:color w:val="auto"/>
        </w:rPr>
        <w:t>For the three months ended June 30, 2025, cash from financing activities was driven by net proceeds on the issuance of common shares of share issuance costs of $10,133 and the net cash received from issuance of the Convertible Debentures of $44,500.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2023 ATM Program</w:t>
      </w:r>
    </w:p>
    <w:p>
      <w:pPr>
        <w:spacing w:after="0" w:line="4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August 23, 2023, the Company announced the filing of a prospectus supplement (the “</w:t>
      </w:r>
      <w:r>
        <w:rPr>
          <w:rFonts w:ascii="Times New Roman" w:cs="Times New Roman" w:eastAsia="Times New Roman" w:hAnsi="Times New Roman"/>
          <w:sz w:val="20"/>
          <w:szCs w:val="20"/>
          <w:b w:val="1"/>
          <w:bCs w:val="1"/>
          <w:color w:val="auto"/>
        </w:rPr>
        <w:t>ATM Prospectus Supplement</w:t>
      </w:r>
      <w:r>
        <w:rPr>
          <w:rFonts w:ascii="Times New Roman" w:cs="Times New Roman" w:eastAsia="Times New Roman" w:hAnsi="Times New Roman"/>
          <w:sz w:val="20"/>
          <w:szCs w:val="20"/>
          <w:color w:val="auto"/>
        </w:rPr>
        <w:t>”) under the 2023 Base Shelf Prospectus to renew its previously established at-the-market equity program (the “</w:t>
      </w:r>
      <w:r>
        <w:rPr>
          <w:rFonts w:ascii="Times New Roman" w:cs="Times New Roman" w:eastAsia="Times New Roman" w:hAnsi="Times New Roman"/>
          <w:sz w:val="20"/>
          <w:szCs w:val="20"/>
          <w:b w:val="1"/>
          <w:bCs w:val="1"/>
          <w:color w:val="auto"/>
        </w:rPr>
        <w:t>2023 ATM Program</w:t>
      </w:r>
      <w:r>
        <w:rPr>
          <w:rFonts w:ascii="Times New Roman" w:cs="Times New Roman" w:eastAsia="Times New Roman" w:hAnsi="Times New Roman"/>
          <w:sz w:val="20"/>
          <w:szCs w:val="20"/>
          <w:color w:val="auto"/>
        </w:rPr>
        <w:t>”) that allowed the Company to issue and sell up to US$35,000 of Common Shares from treasury to the public, from time to time. Distributions of Common Shares under the 2023 ATM Program were made pursuant to the terms and conditions of an at-the-market equity distribution agreement dated August 23, 2023 among the Company, Cantor Fitzgerald Canada Corporation and Cantor Fitzgerald &amp; Co. (the “</w:t>
      </w:r>
      <w:r>
        <w:rPr>
          <w:rFonts w:ascii="Times New Roman" w:cs="Times New Roman" w:eastAsia="Times New Roman" w:hAnsi="Times New Roman"/>
          <w:sz w:val="20"/>
          <w:szCs w:val="20"/>
          <w:b w:val="1"/>
          <w:bCs w:val="1"/>
          <w:color w:val="auto"/>
        </w:rPr>
        <w:t>2023 Distribution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2023 ATM Program was effective until February 10, 2025, when it was terminated in accordance with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Distribution Agreement.</w:t>
      </w:r>
    </w:p>
    <w:p>
      <w:pPr>
        <w:spacing w:after="0" w:line="21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From August 23, 2023, being the date of the launch of the 2023 ATM Program to February 10, 2025, the Company sold 1,653,320 Common Shares under the 2023 ATM Program, at an average price of $11.05 per Common Share, for aggregate gross proceeds of $18,265. Share issuance costs related to the 2023 ATM Program were US$829.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i w:val="1"/>
          <w:iCs w:val="1"/>
          <w:color w:val="auto"/>
        </w:rPr>
        <w:t>LPC Agreement</w:t>
      </w:r>
    </w:p>
    <w:p>
      <w:pPr>
        <w:spacing w:after="0" w:line="2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On May 30, 2023, the Company entered into a Common Share purchase agreement (the “</w:t>
      </w:r>
      <w:r>
        <w:rPr>
          <w:rFonts w:ascii="Times New Roman" w:cs="Times New Roman" w:eastAsia="Times New Roman" w:hAnsi="Times New Roman"/>
          <w:sz w:val="20"/>
          <w:szCs w:val="20"/>
          <w:b w:val="1"/>
          <w:bCs w:val="1"/>
          <w:color w:val="auto"/>
        </w:rPr>
        <w:t>LPC Purchase Agreement</w:t>
      </w:r>
      <w:r>
        <w:rPr>
          <w:rFonts w:ascii="Times New Roman" w:cs="Times New Roman" w:eastAsia="Times New Roman" w:hAnsi="Times New Roman"/>
          <w:sz w:val="20"/>
          <w:szCs w:val="20"/>
          <w:color w:val="auto"/>
        </w:rPr>
        <w:t>”) with Lincoln Park Capital Fund, LLC (“</w:t>
      </w:r>
      <w:r>
        <w:rPr>
          <w:rFonts w:ascii="Times New Roman" w:cs="Times New Roman" w:eastAsia="Times New Roman" w:hAnsi="Times New Roman"/>
          <w:sz w:val="20"/>
          <w:szCs w:val="20"/>
          <w:b w:val="1"/>
          <w:bCs w:val="1"/>
          <w:color w:val="auto"/>
        </w:rPr>
        <w:t>LPC</w:t>
      </w:r>
      <w:r>
        <w:rPr>
          <w:rFonts w:ascii="Times New Roman" w:cs="Times New Roman" w:eastAsia="Times New Roman" w:hAnsi="Times New Roman"/>
          <w:sz w:val="20"/>
          <w:szCs w:val="20"/>
          <w:color w:val="auto"/>
        </w:rPr>
        <w:t>”).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 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66,812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 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 On November 9, 2023, the Company announced that it has, again, suspended all sales under the LPC Agreement.</w:t>
      </w:r>
    </w:p>
    <w:p>
      <w:pPr>
        <w:spacing w:after="0" w:line="22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During the three months ended June 30, 2025, no Common Shares were issued under the LPC Purchase Agreement. As at June 30, 2025, the Company has sold 50,658 Common Shares, at an average price of $9.18 per Common Share, for aggregate gross proceeds of $465 pursuant to the LPC Purchase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2025 ATM Program</w:t>
      </w:r>
    </w:p>
    <w:p>
      <w:pPr>
        <w:spacing w:after="0" w:line="2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February 10, 2025, the Company launched a new at-the-market equity program (the “</w:t>
      </w:r>
      <w:r>
        <w:rPr>
          <w:rFonts w:ascii="Times New Roman" w:cs="Times New Roman" w:eastAsia="Times New Roman" w:hAnsi="Times New Roman"/>
          <w:sz w:val="20"/>
          <w:szCs w:val="20"/>
          <w:b w:val="1"/>
          <w:bCs w:val="1"/>
          <w:color w:val="auto"/>
        </w:rPr>
        <w:t>2025 ATM Program</w:t>
      </w:r>
      <w:r>
        <w:rPr>
          <w:rFonts w:ascii="Times New Roman" w:cs="Times New Roman" w:eastAsia="Times New Roman" w:hAnsi="Times New Roman"/>
          <w:sz w:val="20"/>
          <w:szCs w:val="20"/>
          <w:color w:val="auto"/>
        </w:rPr>
        <w:t>”) to allow the Company to issue and sell up to US$100,000 of Common Shares from treasury to the public. In connection with the 2025 ATM Program, the Company entered into an at-the-market equity distribution agreement (the “</w:t>
      </w:r>
      <w:r>
        <w:rPr>
          <w:rFonts w:ascii="Times New Roman" w:cs="Times New Roman" w:eastAsia="Times New Roman" w:hAnsi="Times New Roman"/>
          <w:sz w:val="20"/>
          <w:szCs w:val="20"/>
          <w:b w:val="1"/>
          <w:bCs w:val="1"/>
          <w:color w:val="auto"/>
        </w:rPr>
        <w:t>2025 Distribution Agreement</w:t>
      </w:r>
      <w:r>
        <w:rPr>
          <w:rFonts w:ascii="Times New Roman" w:cs="Times New Roman" w:eastAsia="Times New Roman" w:hAnsi="Times New Roman"/>
          <w:sz w:val="20"/>
          <w:szCs w:val="20"/>
          <w:color w:val="auto"/>
        </w:rPr>
        <w:t>”) dated February 10, 2025, among the Company, Cantor Fitzgerald Canada Corporation and Cantor Fitzgerald &amp; Co. The 2025 ATM Program is to be effective until the earlier of the issuance and sale of all of the Common Shares issuable pursuant to the 2025 ATM Program and September 17, 2025, unless earlier terminated in accordance with the terms of the 2025 Distribution Agreement.</w:t>
      </w:r>
    </w:p>
    <w:p>
      <w:pPr>
        <w:spacing w:after="0" w:line="20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From February 10, 2025, being the date of the launch of the 2025 ATM Program to June 30, 2025 the Company sold 1,997,205 Common Shares under the 2025 ATM Program, at an average price of $7.83 per Common Share, for aggregate gross proceeds of $15,631. Share issuance costs related to the 2025 ATM Program were $470. During the three months ended June 30, 2025, the Company sold 1,422,423 Common Shares under the 2025 ATM Program at an average price of $7.36 per Common Share, for aggregate gross proceeds of $10,465.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i w:val="1"/>
          <w:iCs w:val="1"/>
          <w:color w:val="auto"/>
        </w:rPr>
        <w:t>Convertible Debentures</w:t>
      </w:r>
    </w:p>
    <w:p>
      <w:pPr>
        <w:spacing w:after="0" w:line="2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June 30, 2025, the Company announced that it has entered into a securities purchase agreement (the “</w:t>
      </w:r>
      <w:r>
        <w:rPr>
          <w:rFonts w:ascii="Times New Roman" w:cs="Times New Roman" w:eastAsia="Times New Roman" w:hAnsi="Times New Roman"/>
          <w:sz w:val="20"/>
          <w:szCs w:val="20"/>
          <w:b w:val="1"/>
          <w:bCs w:val="1"/>
          <w:color w:val="auto"/>
        </w:rPr>
        <w:t>Securities Purchase Agreement</w:t>
      </w:r>
      <w:r>
        <w:rPr>
          <w:rFonts w:ascii="Times New Roman" w:cs="Times New Roman" w:eastAsia="Times New Roman" w:hAnsi="Times New Roman"/>
          <w:sz w:val="20"/>
          <w:szCs w:val="20"/>
          <w:color w:val="auto"/>
        </w:rPr>
        <w:t>”) with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pursuant to which the Company agreed to sell and issue to High Trail up to US$500,000 aggregate principal amount of unsecured convertible debentures (the “</w:t>
      </w:r>
      <w:r>
        <w:rPr>
          <w:rFonts w:ascii="Times New Roman" w:cs="Times New Roman" w:eastAsia="Times New Roman" w:hAnsi="Times New Roman"/>
          <w:sz w:val="20"/>
          <w:szCs w:val="20"/>
          <w:b w:val="1"/>
          <w:bCs w:val="1"/>
          <w:color w:val="auto"/>
        </w:rPr>
        <w:t>Convertible Debentures</w:t>
      </w:r>
      <w:r>
        <w:rPr>
          <w:rFonts w:ascii="Times New Roman" w:cs="Times New Roman" w:eastAsia="Times New Roman" w:hAnsi="Times New Roman"/>
          <w:sz w:val="20"/>
          <w:szCs w:val="20"/>
          <w:color w:val="auto"/>
        </w:rPr>
        <w:t>”). The sale and issue of US$50,000 principal amount of Convertible Debentures was completed on June 30, 2025 (the “</w:t>
      </w:r>
      <w:r>
        <w:rPr>
          <w:rFonts w:ascii="Times New Roman" w:cs="Times New Roman" w:eastAsia="Times New Roman" w:hAnsi="Times New Roman"/>
          <w:sz w:val="20"/>
          <w:szCs w:val="20"/>
          <w:b w:val="1"/>
          <w:bCs w:val="1"/>
          <w:color w:val="auto"/>
        </w:rPr>
        <w:t>Convertible Debenture Private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Placement</w:t>
      </w:r>
      <w:r>
        <w:rPr>
          <w:rFonts w:ascii="Times New Roman" w:cs="Times New Roman" w:eastAsia="Times New Roman" w:hAnsi="Times New Roman"/>
          <w:sz w:val="20"/>
          <w:szCs w:val="20"/>
          <w:color w:val="auto"/>
        </w:rPr>
        <w:t>”). The sale and issue of US$450,000 principal amount of Convertible Debentures shall be determined at a future date,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mutual agreement of the parties.</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Convertible Debentures have a two-year term from the closing date (the “</w:t>
      </w:r>
      <w:r>
        <w:rPr>
          <w:rFonts w:ascii="Times New Roman" w:cs="Times New Roman" w:eastAsia="Times New Roman" w:hAnsi="Times New Roman"/>
          <w:sz w:val="20"/>
          <w:szCs w:val="20"/>
          <w:b w:val="1"/>
          <w:bCs w:val="1"/>
          <w:color w:val="auto"/>
        </w:rPr>
        <w:t>Convertible Denture Term</w:t>
      </w:r>
      <w:r>
        <w:rPr>
          <w:rFonts w:ascii="Times New Roman" w:cs="Times New Roman" w:eastAsia="Times New Roman" w:hAnsi="Times New Roman"/>
          <w:sz w:val="20"/>
          <w:szCs w:val="20"/>
          <w:color w:val="auto"/>
        </w:rPr>
        <w:t>”). On closing, the Company pre-paid guaranteed interest of $5,500, equal to 11% of the amount issued for the Convertible Debenture Term (the equivalent of 5.5% per annum). Upon the occurrence of an event of default, interest shall increase to a rate of 18% on the outstanding principal balance. Pursuant to the terms of the Securities Purchase Agreement, the Company and High Tail may, upon mutual consent, enter into subsequent securities purchase agreements for the purchase and sale of up to an additional US$450,000 principal amount of Convertible Debentures, in tranches, in amounts on such dates as may be mutually agreed and each subsequent tranche shall include prepaid interest at a rate of 9.5%.</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Subject to the terms of the Securities Purchase Agreement and the Convertible Debentures, High Trail will be entitled to convert the principal amount and accrued and unpaid interest, if any, on each Convertible Debenture, in whole or in part, from time to time, into Common Shares at a conversion price per Common Share equal to the lower of (a) $10.92, which is 130% of the volume weighted average price (“</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of the Common Shares on the day prior to the initial issuance of the Convertible Debentures, or (b) the VWAP of the Common Shares during the five trading days immediately prior to the date of conversion.</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 its sole discretion, may prepay any outstanding amount under the Convertible Debentures, in whole or in part, in cash by providing High Trail with advance written notice prior to such prepayment. The prepayment shall include, (i) if paid during the first year after closing, a 5% prepayment premium on the amount of the prepayment or (ii) if paid during the second year after closing, a 3% prepayment premium on the amount of the prepayment.</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connection with the offering, the Company and High Trail entered into a customary Registration Rights Agreement pursuant to which the Company has agreed to provide certain registration rights to High Trail under the U.S. Securities Act of 1933, as amended.</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intends to use the net proceeds from the Convertible Debenture Private Placement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i w:val="1"/>
          <w:iCs w:val="1"/>
          <w:color w:val="auto"/>
        </w:rPr>
        <w:t>Overview</w:t>
      </w:r>
    </w:p>
    <w:p>
      <w:pPr>
        <w:spacing w:after="0" w:line="25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at June 30, 2025, the Company had working capital of $129,097</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The Company is in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current expenditure obligations include commitments for those projects described in the section entitled “</w:t>
      </w:r>
      <w:r>
        <w:rPr>
          <w:rFonts w:ascii="Times New Roman" w:cs="Times New Roman" w:eastAsia="Times New Roman" w:hAnsi="Times New Roman"/>
          <w:sz w:val="20"/>
          <w:szCs w:val="20"/>
          <w:i w:val="1"/>
          <w:iCs w:val="1"/>
          <w:color w:val="auto"/>
        </w:rPr>
        <w:t>Non-Revenue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Generating Projects</w:t>
      </w:r>
      <w:r>
        <w:rPr>
          <w:rFonts w:ascii="Times New Roman" w:cs="Times New Roman" w:eastAsia="Times New Roman" w:hAnsi="Times New Roman"/>
          <w:sz w:val="20"/>
          <w:szCs w:val="20"/>
          <w:color w:val="auto"/>
        </w:rPr>
        <w:t>” in this MD&amp;A. The Company expects to continue funding these projects with available cash and cash equivalents,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constantly monitors and manages its capital resources to assess the liquidity necessary to fund operations and capacity expansion. As at June 30, 2025, the Company had a cash balance of $118,692 and current liabilities of $14,553. The Company’s current resources are sufficient to settle its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Management continues to raise the capital necessary to become a fully operational enterprise.</w:t>
      </w:r>
    </w:p>
    <w:p>
      <w:pPr>
        <w:spacing w:after="0" w:line="2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at June 30, 2025, the Company had also entered into agreements for various studies which may require the Company to spend up to an additional $62,712.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$9,500. At the sole discretion of Cybin, the milestones may be paid in cash or in Common Shares, or a combination thereof, subject to the approval of the Cboe Canada. There is no assurance that the aforementioned milestones will be met.</w:t>
      </w:r>
    </w:p>
    <w:p>
      <w:pPr>
        <w:spacing w:after="0" w:line="19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Company is party to certain employee and management contracts that contain severance obligations. These contracts contain clauses requiring additional payments to be made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89" w:name="page90"/>
    <w:bookmarkEnd w:id="89"/>
    <w:p>
      <w:pPr>
        <w:ind w:right="20"/>
        <w:spacing w:after="0" w:line="325" w:lineRule="auto"/>
        <w:rPr>
          <w:sz w:val="20"/>
          <w:szCs w:val="20"/>
          <w:color w:val="auto"/>
        </w:rPr>
      </w:pPr>
      <w:r>
        <w:rPr>
          <w:rFonts w:ascii="Times New Roman" w:cs="Times New Roman" w:eastAsia="Times New Roman" w:hAnsi="Times New Roman"/>
          <w:sz w:val="20"/>
          <w:szCs w:val="20"/>
          <w:color w:val="auto"/>
        </w:rPr>
        <w:t>occurrence of involuntary termination. As the likelihood of these events taking place is not determinable, no contingent liabilities have been recorded in the consolidated financial statements.</w:t>
      </w:r>
    </w:p>
    <w:p>
      <w:pPr>
        <w:spacing w:after="0" w:line="174"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auto"/>
        </w:rPr>
        <w:t>In the normal course of business, the Company may be subject to legal proceedings and claims. As at June 30, 2025, there was no ongoing litigation and therefore no contingent liabilities have been recorded.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Outstanding Share Data</w:t>
      </w:r>
    </w:p>
    <w:p>
      <w:pPr>
        <w:spacing w:after="0" w:line="287"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sets out the outstanding share capital of the Company as at June 30, 2025, and as of the date of this MD&amp;A:</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34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40" w:type="dxa"/>
            <w:vAlign w:val="bottom"/>
            <w:tcBorders>
              <w:top w:val="single" w:sz="8" w:color="auto"/>
              <w:bottom w:val="single" w:sz="8" w:color="auto"/>
              <w:right w:val="single" w:sz="8" w:color="auto"/>
            </w:tcBorders>
            <w:shd w:val="clear" w:color="auto" w:fill="DBDBDB"/>
          </w:tcPr>
          <w:p>
            <w:pPr>
              <w:ind w:left="94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3680" w:type="dxa"/>
            <w:vAlign w:val="bottom"/>
            <w:tcBorders>
              <w:top w:val="single" w:sz="8" w:color="auto"/>
              <w:bottom w:val="single" w:sz="8" w:color="auto"/>
              <w:right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c>
          <w:tcPr>
            <w:tcW w:w="0" w:type="dxa"/>
            <w:vAlign w:val="bottom"/>
          </w:tcPr>
          <w:p>
            <w:pPr>
              <w:spacing w:after="0"/>
              <w:rPr>
                <w:sz w:val="1"/>
                <w:szCs w:val="1"/>
                <w:color w:val="auto"/>
              </w:rPr>
            </w:pPr>
          </w:p>
        </w:tc>
      </w:tr>
      <w:tr>
        <w:trPr>
          <w:trHeight w:val="208"/>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Shares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23,023,631</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23,590,025</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options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3,945,916</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3,945,916</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2,796,197</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2,796,197</w:t>
            </w:r>
          </w:p>
        </w:tc>
        <w:tc>
          <w:tcPr>
            <w:tcW w:w="0" w:type="dxa"/>
            <w:vAlign w:val="bottom"/>
          </w:tcPr>
          <w:p>
            <w:pPr>
              <w:spacing w:after="0"/>
              <w:rPr>
                <w:sz w:val="1"/>
                <w:szCs w:val="1"/>
                <w:color w:val="auto"/>
              </w:rPr>
            </w:pPr>
          </w:p>
        </w:tc>
      </w:tr>
      <w:tr>
        <w:trPr>
          <w:trHeight w:val="266"/>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Class B Shares (as defined below) </w:t>
            </w:r>
            <w:r>
              <w:rPr>
                <w:rFonts w:ascii="Times New Roman" w:cs="Times New Roman" w:eastAsia="Times New Roman" w:hAnsi="Times New Roman"/>
                <w:sz w:val="21"/>
                <w:szCs w:val="21"/>
                <w:color w:val="auto"/>
                <w:w w:val="99"/>
                <w:vertAlign w:val="superscript"/>
              </w:rPr>
              <w:t>(1)</w:t>
            </w: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36,084.7</w:t>
            </w:r>
          </w:p>
        </w:tc>
        <w:tc>
          <w:tcPr>
            <w:tcW w:w="3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36,084.7</w:t>
            </w:r>
          </w:p>
        </w:tc>
        <w:tc>
          <w:tcPr>
            <w:tcW w:w="0" w:type="dxa"/>
            <w:vAlign w:val="bottom"/>
          </w:tcPr>
          <w:p>
            <w:pPr>
              <w:spacing w:after="0"/>
              <w:rPr>
                <w:sz w:val="1"/>
                <w:szCs w:val="1"/>
                <w:color w:val="auto"/>
              </w:rPr>
            </w:pPr>
          </w:p>
        </w:tc>
      </w:tr>
      <w:tr>
        <w:trPr>
          <w:trHeight w:val="51"/>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vMerge w:val="continue"/>
          </w:tcPr>
          <w:p>
            <w:pPr>
              <w:spacing w:after="0"/>
              <w:rPr>
                <w:sz w:val="4"/>
                <w:szCs w:val="4"/>
                <w:color w:val="auto"/>
              </w:rPr>
            </w:pPr>
          </w:p>
        </w:tc>
        <w:tc>
          <w:tcPr>
            <w:tcW w:w="36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w:t>
      </w:r>
    </w:p>
    <w:p>
      <w:pPr>
        <w:spacing w:after="0" w:line="102" w:lineRule="exact"/>
        <w:rPr>
          <w:sz w:val="20"/>
          <w:szCs w:val="20"/>
          <w:color w:val="auto"/>
        </w:rPr>
      </w:pPr>
    </w:p>
    <w:p>
      <w:pPr>
        <w:ind w:left="660" w:right="40" w:hanging="4"/>
        <w:spacing w:after="0" w:line="351" w:lineRule="auto"/>
        <w:tabs>
          <w:tab w:leader="none" w:pos="90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B Shares are exchangeable for Common Shares, on the basis of 0.26316 Common Shares for each Class B Share, at the option of the holder thereof, subject to customary adjustments.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Shares</w:t>
      </w:r>
    </w:p>
    <w:p>
      <w:pPr>
        <w:spacing w:after="0" w:line="26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20"/>
          <w:szCs w:val="20"/>
          <w:color w:val="auto"/>
        </w:rPr>
        <w:t>The authorized capital of the Company consists of an unlimited number of Common Shares without par value and an unlimited number of preferred shares. As of June 30, 2025, 23,023,631 Common Shares were outstanding and no preferred shares were issued and outstanding. As of the date of this MD&amp;A 23,590,025 Common Shares were outstanding and no preferred shares were issued and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6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As of June 30, 2025, options to purchase up to 3,945,916 Common Shares were outstanding under Cybin’s equity incentive plan. As of the date of this MD&amp;A options to purchase up to 3,945,916 Common Shares were outstanding under Cybin’s equity incentive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 Purchase Warrants</w:t>
      </w:r>
    </w:p>
    <w:p>
      <w:pPr>
        <w:spacing w:after="0" w:line="2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As of June 30, 2025, and the date of this MD&amp;A, warrants to purchase up to 2,796,197 Common Shares were outstanding, exercisable at weighted average exercise price of $17.20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60"/>
          </w:cols>
          <w:pgMar w:left="320" w:top="1440"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Class B Shares</w:t>
      </w:r>
    </w:p>
    <w:p>
      <w:pPr>
        <w:spacing w:after="0" w:line="2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connection with the Adelia Transaction (as defined below) (see “</w:t>
      </w:r>
      <w:r>
        <w:rPr>
          <w:rFonts w:ascii="Times New Roman" w:cs="Times New Roman" w:eastAsia="Times New Roman" w:hAnsi="Times New Roman"/>
          <w:sz w:val="20"/>
          <w:szCs w:val="20"/>
          <w:b w:val="1"/>
          <w:bCs w:val="1"/>
          <w:color w:val="auto"/>
        </w:rPr>
        <w:t>Adelia Acquisition</w:t>
      </w:r>
      <w:r>
        <w:rPr>
          <w:rFonts w:ascii="Times New Roman" w:cs="Times New Roman" w:eastAsia="Times New Roman" w:hAnsi="Times New Roman"/>
          <w:sz w:val="20"/>
          <w:szCs w:val="20"/>
          <w:color w:val="auto"/>
        </w:rPr>
        <w:t>”), Cybin U.S. (a subsidiary of the Company) has issued 1,591,625.3 Class B Shares. The Class B Shares are exchangeable at the holder’s option for Common Shares on the basis of 0.26316 Common Shares for 1 Class B Share, subject to customary adjustments. As of June 30, 2025, and as of the date of this MD&amp;A, 36,084.7 Class B Shares were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Adelia Acquisition</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On December 4, 2020, Cybin entered into a contribution agreement, as amended on September 24, 2021, (the “</w:t>
      </w:r>
      <w:r>
        <w:rPr>
          <w:rFonts w:ascii="Times New Roman" w:cs="Times New Roman" w:eastAsia="Times New Roman" w:hAnsi="Times New Roman"/>
          <w:sz w:val="20"/>
          <w:szCs w:val="20"/>
          <w:b w:val="1"/>
          <w:bCs w:val="1"/>
          <w:color w:val="auto"/>
        </w:rPr>
        <w:t>Contribution Agreement</w:t>
      </w:r>
      <w:r>
        <w:rPr>
          <w:rFonts w:ascii="Times New Roman" w:cs="Times New Roman" w:eastAsia="Times New Roman" w:hAnsi="Times New Roman"/>
          <w:sz w:val="20"/>
          <w:szCs w:val="20"/>
          <w:color w:val="auto"/>
        </w:rPr>
        <w:t>”) with Cybin Corp., Cybin U.S.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20"/>
          <w:szCs w:val="20"/>
          <w:b w:val="1"/>
          <w:bCs w:val="1"/>
          <w:color w:val="auto"/>
        </w:rPr>
        <w:t>Adelia Shareholders</w:t>
      </w:r>
      <w:r>
        <w:rPr>
          <w:rFonts w:ascii="Times New Roman" w:cs="Times New Roman" w:eastAsia="Times New Roman" w:hAnsi="Times New Roman"/>
          <w:sz w:val="20"/>
          <w:szCs w:val="20"/>
          <w:color w:val="auto"/>
        </w:rPr>
        <w:t>”) whereby the Acquiror has agreed to purchase from the Adelia Shareholders all of the issued and outstanding common shares of Adelia (the “</w:t>
      </w:r>
      <w:r>
        <w:rPr>
          <w:rFonts w:ascii="Times New Roman" w:cs="Times New Roman" w:eastAsia="Times New Roman" w:hAnsi="Times New Roman"/>
          <w:sz w:val="20"/>
          <w:szCs w:val="20"/>
          <w:b w:val="1"/>
          <w:bCs w:val="1"/>
          <w:color w:val="auto"/>
        </w:rPr>
        <w:t>Adelia Shares</w:t>
      </w:r>
      <w:r>
        <w:rPr>
          <w:rFonts w:ascii="Times New Roman" w:cs="Times New Roman" w:eastAsia="Times New Roman" w:hAnsi="Times New Roman"/>
          <w:sz w:val="20"/>
          <w:szCs w:val="20"/>
          <w:color w:val="auto"/>
        </w:rPr>
        <w:t>”) in exchange for non-voting Class B common shares in the capital of the Acquiror (the “</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Adelia Transaction</w:t>
      </w:r>
      <w:r>
        <w:rPr>
          <w:rFonts w:ascii="Times New Roman" w:cs="Times New Roman" w:eastAsia="Times New Roman" w:hAnsi="Times New Roman"/>
          <w:sz w:val="20"/>
          <w:szCs w:val="20"/>
          <w:color w:val="auto"/>
        </w:rPr>
        <w:t>”). The Adelia Transaction closed on December 14, 2020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C$12.40 (approximately $9.69). The aggregate value of the Class B Shares to be issued to the Adelia Shareholders on the Closing was C$19,549 (approximately $15.28 million).</w:t>
      </w:r>
    </w:p>
    <w:p>
      <w:pPr>
        <w:spacing w:after="0" w:line="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 w:cs="Times New Roman" w:eastAsia="Times New Roman" w:hAnsi="Times New Roman"/>
          <w:sz w:val="21"/>
          <w:szCs w:val="21"/>
          <w:color w:val="auto"/>
        </w:rPr>
        <w:t>228,640</w:t>
      </w:r>
      <w:r>
        <w:rPr>
          <w:rFonts w:ascii="Times New Roman" w:cs="Times New Roman" w:eastAsia="Times New Roman" w:hAnsi="Times New Roman"/>
          <w:sz w:val="20"/>
          <w:szCs w:val="20"/>
          <w:color w:val="auto"/>
        </w:rPr>
        <w:t xml:space="preserve"> Common Shares, resulting in an effective issue price of C</w:t>
      </w:r>
      <w:r>
        <w:rPr>
          <w:rFonts w:ascii="Times New Roman" w:cs="Times New Roman" w:eastAsia="Times New Roman" w:hAnsi="Times New Roman"/>
          <w:sz w:val="21"/>
          <w:szCs w:val="21"/>
          <w:color w:val="auto"/>
        </w:rPr>
        <w:t>$47.12</w:t>
      </w:r>
      <w:r>
        <w:rPr>
          <w:rFonts w:ascii="Times New Roman" w:cs="Times New Roman" w:eastAsia="Times New Roman" w:hAnsi="Times New Roman"/>
          <w:sz w:val="20"/>
          <w:szCs w:val="20"/>
          <w:color w:val="auto"/>
        </w:rPr>
        <w:t xml:space="preserve"> per Cybin Share.</w:t>
      </w:r>
    </w:p>
    <w:p>
      <w:pPr>
        <w:spacing w:after="0" w:line="2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the occurrence of certain milestones as set out in the Contribution Agreement (each a “</w:t>
      </w:r>
      <w:r>
        <w:rPr>
          <w:rFonts w:ascii="Times New Roman" w:cs="Times New Roman" w:eastAsia="Times New Roman" w:hAnsi="Times New Roman"/>
          <w:sz w:val="20"/>
          <w:szCs w:val="20"/>
          <w:b w:val="1"/>
          <w:bCs w:val="1"/>
          <w:color w:val="auto"/>
        </w:rPr>
        <w:t>Milestone</w:t>
      </w:r>
      <w:r>
        <w:rPr>
          <w:rFonts w:ascii="Times New Roman" w:cs="Times New Roman" w:eastAsia="Times New Roman" w:hAnsi="Times New Roman"/>
          <w:sz w:val="20"/>
          <w:szCs w:val="20"/>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20"/>
          <w:szCs w:val="20"/>
          <w:b w:val="1"/>
          <w:bCs w:val="1"/>
          <w:color w:val="auto"/>
        </w:rPr>
        <w:t>Milestone Determination Date</w:t>
      </w:r>
      <w:r>
        <w:rPr>
          <w:rFonts w:ascii="Times New Roman" w:cs="Times New Roman" w:eastAsia="Times New Roman" w:hAnsi="Times New Roman"/>
          <w:sz w:val="20"/>
          <w:szCs w:val="20"/>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C$28.50; (ii) the 10 day volume weighted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36" w:right="339" w:bottom="1440" w:gutter="0" w:footer="0" w:header="0"/>
        </w:sectPr>
      </w:pPr>
    </w:p>
    <w:bookmarkStart w:id="91" w:name="page92"/>
    <w:bookmarkEnd w:id="91"/>
    <w:p>
      <w:pPr>
        <w:jc w:val="both"/>
        <w:spacing w:after="0" w:line="288" w:lineRule="auto"/>
        <w:rPr>
          <w:sz w:val="20"/>
          <w:szCs w:val="20"/>
          <w:color w:val="auto"/>
        </w:rPr>
      </w:pPr>
      <w:r>
        <w:rPr>
          <w:rFonts w:ascii="Times New Roman" w:cs="Times New Roman" w:eastAsia="Times New Roman" w:hAnsi="Times New Roman"/>
          <w:sz w:val="20"/>
          <w:szCs w:val="20"/>
          <w:color w:val="auto"/>
        </w:rPr>
        <w:t>average trading price of the Common Shares on the Cboe Canada (or, in the event that the Common Shares are no longer traded on the Cboe Canada, such other nationally recognized exchange as the Common Shares may at the applicable time be trading); and (iii) the closing market price of the Common Shares on the Cboe Canada (or, in the event that the Common Shares are no longer traded on the Cboe Canada,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C$9,388 (approximately $7.33 million). Pursuant to the Contribution Agreement, Cybin, the Acquiror and the Adelia Shareholders also entered into a support agreement dated December 14, 2020 (the “</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23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As of August 31, 2022, all of the Milestones contemplated by the terms of the Adelia Contribution Agreement were successfully achieved and as a result 1,591,625.3 Class B Shares have been issued and 1,555,540.6 Class B Shares have been exchanged into Common Shares.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Pursuant to the Contribution Agreement certain members of Adelia entered into advisory and/or executive employment arrangements with Cybin upon the Closing and, in such capacity, received, in the aggregate, a grant of options to purchase up to 59,055 Common Shares, pursuant to Cybin’s equity incentive plan, exercisable for a period of five (5) years and subject to vesting, at an exercise price of $66.12 per Cybin Share. An additional 14,629 options to acquire Common Shares were issued to eligible participants at the direction of the Adelia Shareholders following the Closing.</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transitioned into advisory roles at the Company. Alex Nivorozhkin Ph.D., one of Adelia’s founders, is continuing in his role as Chief Scientific Officer of Cybin.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Small Pharma Acquisition</w:t>
      </w:r>
    </w:p>
    <w:p>
      <w:pPr>
        <w:spacing w:after="0" w:line="27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20"/>
          <w:szCs w:val="20"/>
          <w:b w:val="1"/>
          <w:bCs w:val="1"/>
          <w:color w:val="auto"/>
        </w:rPr>
        <w:t>Small Pharma Share</w:t>
      </w:r>
      <w:r>
        <w:rPr>
          <w:rFonts w:ascii="Times New Roman" w:cs="Times New Roman" w:eastAsia="Times New Roman" w:hAnsi="Times New Roman"/>
          <w:sz w:val="20"/>
          <w:szCs w:val="20"/>
          <w:color w:val="auto"/>
        </w:rPr>
        <w:t>”) in an all-equity business combination transaction to be completed by way the Arrangement.</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September 13, 2023, Small Pharma was granted an interim order (the “</w:t>
      </w:r>
      <w:r>
        <w:rPr>
          <w:rFonts w:ascii="Times New Roman" w:cs="Times New Roman" w:eastAsia="Times New Roman" w:hAnsi="Times New Roman"/>
          <w:sz w:val="20"/>
          <w:szCs w:val="20"/>
          <w:b w:val="1"/>
          <w:bCs w:val="1"/>
          <w:color w:val="auto"/>
        </w:rPr>
        <w:t>Interim Order</w:t>
      </w:r>
      <w:r>
        <w:rPr>
          <w:rFonts w:ascii="Times New Roman" w:cs="Times New Roman" w:eastAsia="Times New Roman" w:hAnsi="Times New Roman"/>
          <w:sz w:val="20"/>
          <w:szCs w:val="20"/>
          <w:color w:val="auto"/>
        </w:rPr>
        <w:t>”) by the Supreme Court of British Columbia (the “</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October 12, 2023, the Company held an annual and special meeting of shareholders (the “</w:t>
      </w:r>
      <w:r>
        <w:rPr>
          <w:rFonts w:ascii="Times New Roman" w:cs="Times New Roman" w:eastAsia="Times New Roman" w:hAnsi="Times New Roman"/>
          <w:sz w:val="20"/>
          <w:szCs w:val="20"/>
          <w:b w:val="1"/>
          <w:bCs w:val="1"/>
          <w:color w:val="auto"/>
        </w:rPr>
        <w:t>Special Meeting</w:t>
      </w:r>
      <w:r>
        <w:rPr>
          <w:rFonts w:ascii="Times New Roman" w:cs="Times New Roman" w:eastAsia="Times New Roman" w:hAnsi="Times New Roman"/>
          <w:sz w:val="20"/>
          <w:szCs w:val="20"/>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On October 23, 2023, the Company completed the Arrangement and issued 0.00634 Common Shares for every one Small Pharma Share outstanding, resulting in a total of 2,130,138 Common Shares being issued to Small Pharma shareholders. As a result of the Arrangement, Small Pharma became a wholly-owned subsidiary of Cybin. On April 1, 2024, pursuant to the provisions of the OBCA, Small Pharma completed a horizontal amalgamation with Cybin Corp., with Cybin Corp. being the resulting entity. As a result of this amalgamation, Cybin UK Limited is now a wholly-owned subsidiary of Cybin Corp.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at June 30, 2025,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Between Related Parties</w:t>
      </w:r>
    </w:p>
    <w:p>
      <w:pPr>
        <w:spacing w:after="0" w:line="25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Key management personnel of the Company are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the President, Chief Executive Officer, Chief Financial Officer, Chief Operating Officer, Chief Growth Officer, Chief Legal Officer, and Chief Business Officer.</w:t>
      </w:r>
    </w:p>
    <w:p>
      <w:pPr>
        <w:spacing w:after="0" w:line="183"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Compensation for key management personnel of the Company for the three months ended June 30, 2025, consisted of consulting fees, short term benefits and other compensation of $1,229, (three months ended June 30, 2024 - $2,649)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3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the Financial Statements requires management to make certain estimates, judgments and assumptions that affect the reported amounts of assets and liabilities at the date of the financial statements and reported amounts of expenses during the reporting year. Actual outcomes could differ from these estimates. The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2 of the Financial Statements and in note 3 of the Company’s annual consolidated financial statements for the year ended March 31, 2025 found on SEDAR+ at www.sedarplus.ca.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Significant Accounting Policies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The Company’s significant accounting policies are set out in note 2 of the Company’s annual consolidated financial statements for the year ended March 31, 2025, found on SEDAR+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Management maintains appropriate information systems, procedures and controls to provide reasonable assurance that information that is publicly disclosed is complete, reliable and timely. The Chief Executive Officer (the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Chief Financial Officer (the “</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Control Over Financial Reporting</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95" w:lineRule="exact"/>
        <w:rPr>
          <w:sz w:val="20"/>
          <w:szCs w:val="20"/>
          <w:color w:val="auto"/>
        </w:rPr>
      </w:pPr>
    </w:p>
    <w:p>
      <w:pPr>
        <w:ind w:left="620" w:hanging="291"/>
        <w:spacing w:after="0"/>
        <w:tabs>
          <w:tab w:leader="none" w:pos="6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records in reasonable detail, that accurately and fairly reflect the transactions and dispositions of assets;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5"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36" w:right="339" w:bottom="1440" w:gutter="0" w:footer="0" w:header="0"/>
        </w:sectPr>
      </w:pPr>
    </w:p>
    <w:bookmarkStart w:id="94" w:name="page95"/>
    <w:bookmarkEnd w:id="94"/>
    <w:p>
      <w:pPr>
        <w:ind w:left="660" w:hanging="331"/>
        <w:spacing w:after="0" w:line="288" w:lineRule="auto"/>
        <w:tabs>
          <w:tab w:leader="none" w:pos="624"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that transactions are recorded as necessary to permit preparation of financial statements in accordance with applicable IFRS;</w:t>
      </w:r>
    </w:p>
    <w:p>
      <w:pPr>
        <w:ind w:left="620" w:hanging="291"/>
        <w:spacing w:after="0"/>
        <w:tabs>
          <w:tab w:leader="none" w:pos="6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receipts and expenditures are only being made in accordance with authorizations of management or the Board; and</w:t>
      </w:r>
    </w:p>
    <w:p>
      <w:pPr>
        <w:spacing w:after="0" w:line="39" w:lineRule="exact"/>
        <w:rPr>
          <w:rFonts w:ascii="Arial" w:cs="Arial" w:eastAsia="Arial" w:hAnsi="Arial"/>
          <w:sz w:val="20"/>
          <w:szCs w:val="20"/>
          <w:color w:val="auto"/>
        </w:rPr>
      </w:pPr>
    </w:p>
    <w:p>
      <w:pPr>
        <w:ind w:left="660" w:right="20" w:hanging="331"/>
        <w:spacing w:after="0" w:line="324" w:lineRule="auto"/>
        <w:tabs>
          <w:tab w:leader="none" w:pos="624"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regarding prevention or timely detection of unauthorized acquisition, use or disposition of the Company’s assets that could have a material effect on the financial instruments.</w:t>
      </w:r>
    </w:p>
    <w:p>
      <w:pPr>
        <w:spacing w:after="0" w:line="16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During the period ended June 30, 2025, the Company did not make any significant changes to its internal controls over financial reporting that would have materially affected, or reasonably likely to materially affect, its internal controls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Disclosure Controls and Procedures and Internal Control Over Financial Reporting</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Standards and Interpretations Not Yet Adopted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18, Presentation and Disclosure in Financial Statements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April 2024, the IASB issued IFRS 18 that will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9, Financial Instruments (“IFRS 9”) and IFRS 7, Financial Instruments: Disclosures (“IFRS 7”)</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96" w:lineRule="auto"/>
        <w:rPr>
          <w:sz w:val="20"/>
          <w:szCs w:val="20"/>
          <w:color w:val="auto"/>
        </w:rPr>
      </w:pPr>
      <w:r>
        <w:rPr>
          <w:rFonts w:ascii="Times New Roman" w:cs="Times New Roman" w:eastAsia="Times New Roman" w:hAnsi="Times New Roman"/>
          <w:sz w:val="20"/>
          <w:szCs w:val="20"/>
          <w:color w:val="auto"/>
        </w:rPr>
        <w:t>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will be effective for annual periods beginning on or after January 1, 2026. The Company is in the process of assessing the impact of the standard on the consolidated financial statements.</w:t>
      </w:r>
    </w:p>
    <w:p>
      <w:pPr>
        <w:spacing w:after="0" w:line="20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All other IFRSs and amendments issued but not yet effective have been assessed by the Company and are not expected to have a material impact on the Company’s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Risk Management</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13,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Company noted the following risks specific to the psychedelic industry that it is exposed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Risk</w:t>
      </w:r>
    </w:p>
    <w:p>
      <w:pPr>
        <w:spacing w:after="0" w:line="24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w:t>
      </w:r>
    </w:p>
    <w:p>
      <w:pPr>
        <w:spacing w:after="0" w:line="2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Currency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United States dollar.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Subsequent Events</w:t>
      </w:r>
    </w:p>
    <w:p>
      <w:pPr>
        <w:spacing w:after="0" w:line="28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17, 2025, High Trail converted $4,250 of the Convertible Debentures into 566,394 Common Shares at a conversion price of $7.5036, which represented the VWAP of the Common Shares for the five trading days immediately prior to conversion.</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17, 2025, the Company announced that it has received approval from the MHRA to commence EMBRACE, the second pivotal study in PARADIGM, the Company’s Phase 3 multinational program evaluating CYB003, a proprietary deuterated psilocin analog.</w:t>
      </w:r>
    </w:p>
    <w:p>
      <w:pPr>
        <w:spacing w:after="0" w:line="20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addition to the risks described herein, reference is made to the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Company’s Business and Industry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Operating History</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Common Shares commenced trading on Cboe Canada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36" w:right="339" w:bottom="1440" w:gutter="0" w:footer="0" w:header="0"/>
        </w:sectPr>
      </w:pPr>
    </w:p>
    <w:bookmarkStart w:id="97" w:name="page98"/>
    <w:bookmarkEnd w:id="97"/>
    <w:p>
      <w:pPr>
        <w:jc w:val="both"/>
        <w:spacing w:after="0" w:line="303" w:lineRule="auto"/>
        <w:rPr>
          <w:sz w:val="20"/>
          <w:szCs w:val="20"/>
          <w:color w:val="auto"/>
        </w:rPr>
      </w:pPr>
      <w:r>
        <w:rPr>
          <w:rFonts w:ascii="Times New Roman" w:cs="Times New Roman" w:eastAsia="Times New Roman" w:hAnsi="Times New Roman"/>
          <w:sz w:val="20"/>
          <w:szCs w:val="20"/>
          <w:color w:val="auto"/>
        </w:rPr>
        <w:t>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Achieving Publicly Announced Milestones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Speculative Nature of Investment Risk</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Early Stage of the Industry and Product Development</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Given the early stage of its prescription drug product development, the Company can make no assurance that its research and development programs will result in regulatory approval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98" w:name="page99"/>
    <w:bookmarkEnd w:id="98"/>
    <w:p>
      <w:pPr>
        <w:jc w:val="both"/>
        <w:spacing w:after="0" w:line="293" w:lineRule="auto"/>
        <w:rPr>
          <w:sz w:val="20"/>
          <w:szCs w:val="20"/>
          <w:color w:val="auto"/>
        </w:rPr>
      </w:pPr>
      <w:r>
        <w:rPr>
          <w:rFonts w:ascii="Times New Roman" w:cs="Times New Roman" w:eastAsia="Times New Roman" w:hAnsi="Times New Roman"/>
          <w:sz w:val="20"/>
          <w:szCs w:val="20"/>
          <w:color w:val="auto"/>
        </w:rPr>
        <w:t>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20"/>
          <w:szCs w:val="20"/>
          <w:b w:val="1"/>
          <w:bCs w:val="1"/>
          <w:color w:val="auto"/>
        </w:rPr>
        <w:t>PDD</w:t>
      </w:r>
      <w:r>
        <w:rPr>
          <w:rFonts w:ascii="Times New Roman" w:cs="Times New Roman" w:eastAsia="Times New Roman" w:hAnsi="Times New Roman"/>
          <w:sz w:val="20"/>
          <w:szCs w:val="20"/>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product candidates, and, correspondingly, its business and financial prospects, would be materially adversely affected.</w:t>
      </w:r>
    </w:p>
    <w:p>
      <w:pPr>
        <w:spacing w:after="0" w:line="2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22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 xml:space="preserve">The Company’s business relies on its ability to access, develop, and sell psilocybin, psilocin, DMT-based compounds and other psychedelic compounds. Psilocybin, psilocin, DMT-based compounds and other psychedelic compounds are controlled substances in many jurisdictions, including in Canada under Schedule III of the </w:t>
      </w:r>
      <w:r>
        <w:rPr>
          <w:rFonts w:ascii="Times New Roman" w:cs="Times New Roman" w:eastAsia="Times New Roman" w:hAnsi="Times New Roman"/>
          <w:sz w:val="19"/>
          <w:szCs w:val="19"/>
          <w:i w:val="1"/>
          <w:iCs w:val="1"/>
          <w:color w:val="auto"/>
        </w:rPr>
        <w:t>Controlled Drugs and Substances Act</w:t>
      </w:r>
      <w:r>
        <w:rPr>
          <w:rFonts w:ascii="Times New Roman" w:cs="Times New Roman" w:eastAsia="Times New Roman" w:hAnsi="Times New Roman"/>
          <w:sz w:val="19"/>
          <w:szCs w:val="19"/>
          <w:color w:val="auto"/>
        </w:rPr>
        <w:t xml:space="preserve"> and in the United States.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Risks and Uncertainties</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100" w:name="page101"/>
    <w:bookmarkEnd w:id="100"/>
    <w:p>
      <w:pPr>
        <w:jc w:val="both"/>
        <w:spacing w:after="0" w:line="290" w:lineRule="auto"/>
        <w:rPr>
          <w:sz w:val="20"/>
          <w:szCs w:val="20"/>
          <w:color w:val="auto"/>
        </w:rPr>
      </w:pPr>
      <w:r>
        <w:rPr>
          <w:rFonts w:ascii="Times New Roman" w:cs="Times New Roman" w:eastAsia="Times New Roman" w:hAnsi="Times New Roman"/>
          <w:sz w:val="20"/>
          <w:szCs w:val="20"/>
          <w:color w:val="auto"/>
        </w:rPr>
        <w:t>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1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loss of the necessary licences and permits for any of the above scheduled drugs could have an adverse effect on the Company’s operations.</w:t>
      </w:r>
    </w:p>
    <w:p>
      <w:pPr>
        <w:spacing w:after="0" w:line="1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auto"/>
        </w:rPr>
        <w:t>Risks of Operating in European Countries</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22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These and other risks associated with the Company’s international operations may materially adversely affect its ability to attain or maintain profitable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Private Issuer” Status Under the U.S. Securities Laws</w:t>
      </w:r>
    </w:p>
    <w:p>
      <w:pPr>
        <w:spacing w:after="0" w:line="2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0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Plans for Growth</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Products</w:t>
      </w:r>
    </w:p>
    <w:p>
      <w:pPr>
        <w:spacing w:after="0" w:line="301"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Marketing and Sales Capabilities</w:t>
      </w:r>
    </w:p>
    <w:p>
      <w:pPr>
        <w:spacing w:after="0" w:line="30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3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i w:val="1"/>
          <w:iCs w:val="1"/>
          <w:color w:val="auto"/>
        </w:rPr>
        <w:t>No Assurance of Commercial Success</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Profits or Significant Revenues</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Third Parties for Clinical Development Activities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Third Party Relationships</w:t>
      </w:r>
    </w:p>
    <w:p>
      <w:pPr>
        <w:spacing w:after="0" w:line="28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36" w:right="339" w:bottom="1440" w:gutter="0" w:footer="0" w:header="0"/>
        </w:sectPr>
      </w:pPr>
    </w:p>
    <w:bookmarkStart w:id="104" w:name="page105"/>
    <w:bookmarkEnd w:id="104"/>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Contract Manufacturers</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has limited manufacturing experience and relies on contract manufacturing organizations (“</w:t>
      </w:r>
      <w:r>
        <w:rPr>
          <w:rFonts w:ascii="Times New Roman" w:cs="Times New Roman" w:eastAsia="Times New Roman" w:hAnsi="Times New Roman"/>
          <w:sz w:val="20"/>
          <w:szCs w:val="20"/>
          <w:b w:val="1"/>
          <w:bCs w:val="1"/>
          <w:color w:val="auto"/>
        </w:rPr>
        <w:t>CMOs</w:t>
      </w:r>
      <w:r>
        <w:rPr>
          <w:rFonts w:ascii="Times New Roman" w:cs="Times New Roman" w:eastAsia="Times New Roman" w:hAnsi="Times New Roman"/>
          <w:sz w:val="20"/>
          <w:szCs w:val="20"/>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Efficacy of Products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92" w:lineRule="auto"/>
        <w:rPr>
          <w:sz w:val="20"/>
          <w:szCs w:val="20"/>
          <w:color w:val="auto"/>
        </w:rPr>
      </w:pPr>
      <w:r>
        <w:rPr>
          <w:rFonts w:ascii="Times New Roman" w:cs="Times New Roman" w:eastAsia="Times New Roman" w:hAnsi="Times New Roman"/>
          <w:sz w:val="20"/>
          <w:szCs w:val="20"/>
          <w:color w:val="auto"/>
        </w:rPr>
        <w:t>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Testing and Commercializing Products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303" w:lineRule="auto"/>
        <w:rPr>
          <w:sz w:val="20"/>
          <w:szCs w:val="20"/>
          <w:color w:val="auto"/>
        </w:rPr>
      </w:pPr>
      <w:r>
        <w:rPr>
          <w:rFonts w:ascii="Times New Roman" w:cs="Times New Roman" w:eastAsia="Times New Roman" w:hAnsi="Times New Roman"/>
          <w:sz w:val="20"/>
          <w:szCs w:val="20"/>
          <w:color w:val="auto"/>
        </w:rPr>
        <w:t>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9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commencement and completion of clinical trials for the Company’s prescription drug product candidates may be delayed for a number of reasons, including but not limited, to:</w:t>
      </w:r>
    </w:p>
    <w:p>
      <w:pPr>
        <w:spacing w:after="0" w:line="174" w:lineRule="exact"/>
        <w:rPr>
          <w:sz w:val="20"/>
          <w:szCs w:val="20"/>
          <w:color w:val="auto"/>
        </w:rPr>
      </w:pPr>
    </w:p>
    <w:p>
      <w:pPr>
        <w:ind w:left="620" w:hanging="291"/>
        <w:spacing w:after="0"/>
        <w:tabs>
          <w:tab w:leader="none" w:pos="6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regulatory authorities to grant permission to proceed or placing clinical trials on hold;</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termination of clinical trials by regulators for many reasons, including concerns about patient safety or failure of the Company’s CMOs to comply with cGMP requirements or latent defects in product quality;</w:t>
      </w:r>
    </w:p>
    <w:p>
      <w:pPr>
        <w:ind w:left="660" w:hanging="331"/>
        <w:spacing w:after="0" w:line="288" w:lineRule="auto"/>
        <w:tabs>
          <w:tab w:leader="none" w:pos="624"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any changes to the Company’s manufacturing process that may be necessary or desired, delays or failure to obtain clinical supply from CMOs of the Company’s products necessary to conduct clinical trials;</w:t>
      </w:r>
    </w:p>
    <w:p>
      <w:pPr>
        <w:ind w:left="660" w:hanging="331"/>
        <w:spacing w:after="0" w:line="288" w:lineRule="auto"/>
        <w:tabs>
          <w:tab w:leader="none" w:pos="624"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prescription drug product candidates demonstrating a lack of safety or efficacy during clinical trials, reports of clinical testing on similar technologies and products raising safety or efficacy concerns;</w:t>
      </w:r>
    </w:p>
    <w:p>
      <w:pPr>
        <w:jc w:val="both"/>
        <w:ind w:left="660" w:hanging="331"/>
        <w:spacing w:after="0" w:line="286" w:lineRule="auto"/>
        <w:tabs>
          <w:tab w:leader="none" w:pos="624"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620" w:hanging="291"/>
        <w:spacing w:after="0"/>
        <w:tabs>
          <w:tab w:leader="none" w:pos="6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the Company’s contract research organizations to satisfy their contractual duties or meet expected deadlines;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inspections of clinical trial sites by regulatory authorities;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660" w:hanging="331"/>
        <w:spacing w:after="0" w:line="288" w:lineRule="auto"/>
        <w:tabs>
          <w:tab w:leader="none" w:pos="624"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one or more regulatory authorities or ethics committees rejecting, suspending or terminating the study at an investigational site, precluding enrollment of additional subjects, or withdrawing its approval of the trial; or</w:t>
      </w:r>
    </w:p>
    <w:p>
      <w:pPr>
        <w:ind w:left="620" w:hanging="291"/>
        <w:spacing w:after="0"/>
        <w:tabs>
          <w:tab w:leader="none" w:pos="6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reach agreement on acceptable terms with prospective clinical trial sites.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107" w:name="page108"/>
    <w:bookmarkEnd w:id="107"/>
    <w:p>
      <w:pPr>
        <w:jc w:val="both"/>
        <w:spacing w:after="0" w:line="303" w:lineRule="auto"/>
        <w:rPr>
          <w:sz w:val="20"/>
          <w:szCs w:val="20"/>
          <w:color w:val="auto"/>
        </w:rPr>
      </w:pPr>
      <w:r>
        <w:rPr>
          <w:rFonts w:ascii="Times New Roman" w:cs="Times New Roman" w:eastAsia="Times New Roman" w:hAnsi="Times New Roman"/>
          <w:sz w:val="20"/>
          <w:szCs w:val="20"/>
          <w:color w:val="auto"/>
        </w:rPr>
        <w:t>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Completion of Clinical Trials</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Grade Product Manufacturing</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96" w:lineRule="auto"/>
        <w:rPr>
          <w:sz w:val="20"/>
          <w:szCs w:val="20"/>
          <w:color w:val="auto"/>
        </w:rPr>
      </w:pPr>
      <w:r>
        <w:rPr>
          <w:rFonts w:ascii="Times New Roman" w:cs="Times New Roman" w:eastAsia="Times New Roman" w:hAnsi="Times New Roman"/>
          <w:sz w:val="20"/>
          <w:szCs w:val="20"/>
          <w:color w:val="auto"/>
        </w:rPr>
        <w:t>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Regulatory Approvals</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22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20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303" w:lineRule="auto"/>
        <w:rPr>
          <w:sz w:val="20"/>
          <w:szCs w:val="20"/>
          <w:color w:val="auto"/>
        </w:rPr>
      </w:pPr>
      <w:r>
        <w:rPr>
          <w:rFonts w:ascii="Times New Roman" w:cs="Times New Roman" w:eastAsia="Times New Roman" w:hAnsi="Times New Roman"/>
          <w:sz w:val="20"/>
          <w:szCs w:val="20"/>
          <w:color w:val="auto"/>
        </w:rPr>
        <w:t>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Access and Acceptance</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231" w:lineRule="exact"/>
        <w:rPr>
          <w:sz w:val="20"/>
          <w:szCs w:val="20"/>
          <w:color w:val="auto"/>
        </w:rPr>
      </w:pP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by healthcare professionals, patients and healthcare payors of each product as safe, effective and cost-effective;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any product;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product’s relative convenience, ease of use, ease of administration and other perceived advantages over alternatives;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adverse events or publicity;</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precautions or warnings listed in the summary of product characteristics, patient information leaflet, package labeling or instructions for use;</w:t>
      </w:r>
    </w:p>
    <w:p>
      <w:pPr>
        <w:ind w:left="620" w:hanging="291"/>
        <w:spacing w:after="0"/>
        <w:tabs>
          <w:tab w:leader="none" w:pos="6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with the Company’s product in relation to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10" w:name="page111"/>
    <w:bookmarkEnd w:id="110"/>
    <w:p>
      <w:pPr>
        <w:ind w:left="620" w:hanging="291"/>
        <w:spacing w:after="0"/>
        <w:tabs>
          <w:tab w:leader="none" w:pos="6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steps that prescribers and dispensers must take, as well as the perceived risks based upon its controlled substance status;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manufacture the Company’s product in sufficient quantities and yields with adequate purity;</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and amount of coverage and reimbursement from healthcare payors, and the willingness of patients to pay out of pocket in the absence of healthcare payor coverage or adequate reimbursement;</w:t>
      </w:r>
    </w:p>
    <w:p>
      <w:pPr>
        <w:ind w:left="620" w:hanging="291"/>
        <w:spacing w:after="0"/>
        <w:tabs>
          <w:tab w:leader="none" w:pos="6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and of healthcare professionals to prescribe, the product;</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any potential unfavorable publicity, including negative publicity associated with recreational use or abuse of psilocybin, psilocin, DMT-based compounds and other psychedelic compounds; and</w:t>
      </w:r>
    </w:p>
    <w:p>
      <w:pPr>
        <w:ind w:left="620" w:hanging="291"/>
        <w:spacing w:after="0"/>
        <w:tabs>
          <w:tab w:leader="none" w:pos="6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any restrictions on the use, sale or distribution of the Company’s future products.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Unfavourable Publicity or Consumer Perception</w:t>
      </w:r>
    </w:p>
    <w:p>
      <w:pPr>
        <w:spacing w:after="0" w:line="30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303" w:lineRule="auto"/>
        <w:rPr>
          <w:sz w:val="20"/>
          <w:szCs w:val="20"/>
          <w:color w:val="auto"/>
        </w:rPr>
      </w:pPr>
      <w:r>
        <w:rPr>
          <w:rFonts w:ascii="Times New Roman" w:cs="Times New Roman" w:eastAsia="Times New Roman" w:hAnsi="Times New Roman"/>
          <w:sz w:val="20"/>
          <w:szCs w:val="20"/>
          <w:color w:val="auto"/>
        </w:rPr>
        <w:t>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psilocin, DMT or isolated constituents, regulatory proceedings, litigation, media attention or other research findings or publicity will be favourable to the industry or the Company or any particular product, or consistent with earlier publicity.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Social Media</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Biotechnology and Pharmaceutical Market Competition</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202" w:lineRule="exact"/>
        <w:rPr>
          <w:sz w:val="20"/>
          <w:szCs w:val="20"/>
          <w:color w:val="auto"/>
        </w:rPr>
      </w:pPr>
    </w:p>
    <w:p>
      <w:pPr>
        <w:ind w:left="660" w:hanging="331"/>
        <w:spacing w:after="0" w:line="310" w:lineRule="auto"/>
        <w:tabs>
          <w:tab w:leader="none" w:pos="624"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profile of its prescription drug product candidates relative to marketed products and other prescription drug product candidates in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112" w:name="page113"/>
    <w:bookmarkEnd w:id="112"/>
    <w:p>
      <w:pPr>
        <w:ind w:left="620" w:hanging="291"/>
        <w:spacing w:after="0"/>
        <w:tabs>
          <w:tab w:leader="none" w:pos="6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the Company’s ability to develop and maintain a competitive position in the product categories and technologies on which it focuses;</w:t>
      </w:r>
    </w:p>
    <w:p>
      <w:pPr>
        <w:spacing w:after="0" w:line="64" w:lineRule="exact"/>
        <w:rPr>
          <w:rFonts w:ascii="Arial" w:cs="Arial" w:eastAsia="Arial" w:hAnsi="Arial"/>
          <w:sz w:val="19"/>
          <w:szCs w:val="19"/>
          <w:color w:val="auto"/>
        </w:rPr>
      </w:pPr>
    </w:p>
    <w:p>
      <w:pPr>
        <w:ind w:left="660" w:hanging="331"/>
        <w:spacing w:after="0" w:line="281" w:lineRule="auto"/>
        <w:tabs>
          <w:tab w:leader="none" w:pos="624"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time it takes for the Company’s prescription drug product candidates to complete clinical development and receive marketing approval;</w:t>
      </w:r>
    </w:p>
    <w:p>
      <w:pPr>
        <w:ind w:left="620" w:hanging="291"/>
        <w:spacing w:after="0"/>
        <w:tabs>
          <w:tab w:leader="none" w:pos="62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obtain required regulatory approvals;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commercialize any of its prescription drug product candidates that receive regulatory approval;</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establish, maintain and protect intellectual property rights related to its prescription drug product candidates; and</w:t>
      </w:r>
    </w:p>
    <w:p>
      <w:pPr>
        <w:ind w:left="660" w:hanging="331"/>
        <w:spacing w:after="0" w:line="310" w:lineRule="auto"/>
        <w:tabs>
          <w:tab w:leader="none" w:pos="624"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any of the Company’s prescription drug product candidates that receive regulatory approval by physicians and other healthcare providers and payers.</w:t>
      </w: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22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If the Company is not able to compete effectively against its current and future competitors, the Company’s business will not grow, and its financial condition and operations will substantially suffer.</w:t>
      </w:r>
    </w:p>
    <w:p>
      <w:pPr>
        <w:spacing w:after="0" w:line="1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Executives and Scientists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309" w:lineRule="auto"/>
        <w:rPr>
          <w:sz w:val="20"/>
          <w:szCs w:val="20"/>
          <w:color w:val="auto"/>
        </w:rPr>
      </w:pPr>
      <w:r>
        <w:rPr>
          <w:rFonts w:ascii="Times New Roman" w:cs="Times New Roman" w:eastAsia="Times New Roman" w:hAnsi="Times New Roman"/>
          <w:sz w:val="19"/>
          <w:szCs w:val="19"/>
          <w:color w:val="auto"/>
        </w:rPr>
        <w:t>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Misconduct</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Expansion and Growth</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Results of External Clinical Trials or Studies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Liability</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i w:val="1"/>
          <w:iCs w:val="1"/>
          <w:color w:val="auto"/>
        </w:rPr>
        <w:t>Enforcing Contracts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Due to the nature of the business of the Company and the fact that certain of its contracts involve psilocybin/psilocin,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and Material Recalls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Supply Chain Interruption</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36" w:right="339" w:bottom="1440" w:gutter="0" w:footer="0" w:header="0"/>
        </w:sectPr>
      </w:pPr>
    </w:p>
    <w:bookmarkStart w:id="116" w:name="page117"/>
    <w:bookmarkEnd w:id="116"/>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for shortages or surpluses in future years if demand and supply are materially different from long-term forecasts. The Company monitors category trends and regularly reviews maturing inventory levels.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Difficulty to Forecast</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Promoting the Brand</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Viability</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of Quality Control Systems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Inputs</w:t>
      </w:r>
    </w:p>
    <w:p>
      <w:pPr>
        <w:spacing w:after="0" w:line="30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Liability Arising from Fraudulent or Illegal Activity</w:t>
      </w:r>
    </w:p>
    <w:p>
      <w:pPr>
        <w:spacing w:after="0" w:line="28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Risk and Insurance Coverage</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36" w:right="339" w:bottom="1440" w:gutter="0" w:footer="0" w:header="0"/>
        </w:sectPr>
      </w:pPr>
    </w:p>
    <w:bookmarkStart w:id="118" w:name="page119"/>
    <w:bookmarkEnd w:id="118"/>
    <w:p>
      <w:pPr>
        <w:jc w:val="both"/>
        <w:spacing w:after="0" w:line="303" w:lineRule="auto"/>
        <w:rPr>
          <w:sz w:val="20"/>
          <w:szCs w:val="20"/>
          <w:color w:val="auto"/>
        </w:rPr>
      </w:pPr>
      <w:r>
        <w:rPr>
          <w:rFonts w:ascii="Times New Roman" w:cs="Times New Roman" w:eastAsia="Times New Roman" w:hAnsi="Times New Roman"/>
          <w:sz w:val="20"/>
          <w:szCs w:val="20"/>
          <w:color w:val="auto"/>
        </w:rPr>
        <w:t>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Operating as Public Company</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of Growth</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19" w:name="page120"/>
    <w:bookmarkEnd w:id="119"/>
    <w:p>
      <w:pPr>
        <w:jc w:val="both"/>
        <w:spacing w:after="0" w:line="325" w:lineRule="auto"/>
        <w:rPr>
          <w:sz w:val="20"/>
          <w:szCs w:val="20"/>
          <w:color w:val="auto"/>
        </w:rPr>
      </w:pPr>
      <w:r>
        <w:rPr>
          <w:rFonts w:ascii="Times New Roman" w:cs="Times New Roman" w:eastAsia="Times New Roman" w:hAnsi="Times New Roman"/>
          <w:sz w:val="20"/>
          <w:szCs w:val="20"/>
          <w:color w:val="auto"/>
        </w:rPr>
        <w:t>such participation or such terms. In accordance with applicable laws, the Board is required to act honestly, in good faith and in the best interests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Operations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95" w:lineRule="exact"/>
        <w:rPr>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in the regulatory requirements for drug approvals;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requirements for securing, maintaining or obtaining freedom to operate;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reduced protection for intellectual property rights;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with compliance to different regulations and court systems of multiple jurisdictions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 wide variety of foreign laws, treaties and regulations;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reimbursement regimes and price controls in certain international markets;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labor relations that create challenges with staffing and managing international operations;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impacts on manufacturing capabilities leading to production shortages.</w:t>
      </w:r>
    </w:p>
    <w:p>
      <w:pPr>
        <w:spacing w:after="0" w:line="28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Due to the international scope of the Company’s current and future operations, the Company’s assets, future earnings and cash flows may be influenced by movements in exchange rates of several currencies, particularly the British Pound, the United States dollar, Canadian Dollar and the Euro. The Company’s reporting currency is denominated in United States dollars and the Company’s functional currency is the United States dollar and the majority of the Company’s operating expenses are paid in United States dollars. The Company may also regularly acquire services, consumables and materials in British Pounds, United States dollars, Canadian dollars and other currencies. Further, future revenue may be derived from abroad. As a result, the Company’s business and the price of the Company’s products may be affected by fluctuations in foreign exchange rates between the British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355" w:lineRule="auto"/>
        <w:rPr>
          <w:sz w:val="20"/>
          <w:szCs w:val="20"/>
          <w:color w:val="auto"/>
        </w:rPr>
      </w:pPr>
      <w:r>
        <w:rPr>
          <w:rFonts w:ascii="Times New Roman" w:cs="Times New Roman" w:eastAsia="Times New Roman" w:hAnsi="Times New Roman"/>
          <w:sz w:val="19"/>
          <w:szCs w:val="19"/>
          <w:color w:val="auto"/>
        </w:rPr>
        <w:t>Pound, the United States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Privacy Risk</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1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2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20"/>
          <w:szCs w:val="20"/>
          <w:i w:val="1"/>
          <w:iCs w:val="1"/>
          <w:color w:val="auto"/>
        </w:rPr>
        <w:t>Personal Information Protection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Electronics Documents Act </w:t>
      </w:r>
      <w:r>
        <w:rPr>
          <w:rFonts w:ascii="Times New Roman" w:cs="Times New Roman" w:eastAsia="Times New Roman" w:hAnsi="Times New Roman"/>
          <w:sz w:val="20"/>
          <w:szCs w:val="20"/>
          <w:color w:val="auto"/>
        </w:rPr>
        <w:t>(Canada) (“</w:t>
      </w:r>
      <w:r>
        <w:rPr>
          <w:rFonts w:ascii="Times New Roman" w:cs="Times New Roman" w:eastAsia="Times New Roman" w:hAnsi="Times New Roman"/>
          <w:sz w:val="20"/>
          <w:szCs w:val="20"/>
          <w:b w:val="1"/>
          <w:bCs w:val="1"/>
          <w:color w:val="auto"/>
        </w:rPr>
        <w:t>PIPEDA</w:t>
      </w:r>
      <w:r>
        <w:rPr>
          <w:rFonts w:ascii="Times New Roman" w:cs="Times New Roman" w:eastAsia="Times New Roman" w:hAnsi="Times New Roman"/>
          <w:sz w:val="20"/>
          <w:szCs w:val="20"/>
          <w:color w:val="auto"/>
        </w:rPr>
        <w:t>”) and where applicable, provincial legislation governing personal health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and Risks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22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Decriminalization of Psychedelics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psilocin, DMT,and potentially other psychotropic compounds in the future may also impact commercial sales for the Company due to a reduced barrier to entry leading to a risk of increasing competition.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 May Prove to be Inaccurate</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36" w:right="339" w:bottom="1440" w:gutter="0" w:footer="0" w:header="0"/>
        </w:sectPr>
      </w:pPr>
    </w:p>
    <w:bookmarkStart w:id="122" w:name="page123"/>
    <w:bookmarkEnd w:id="122"/>
    <w:p>
      <w:pPr>
        <w:jc w:val="both"/>
        <w:spacing w:after="0" w:line="325" w:lineRule="auto"/>
        <w:rPr>
          <w:sz w:val="20"/>
          <w:szCs w:val="20"/>
          <w:color w:val="auto"/>
        </w:rPr>
      </w:pPr>
      <w:r>
        <w:rPr>
          <w:rFonts w:ascii="Times New Roman" w:cs="Times New Roman" w:eastAsia="Times New Roman" w:hAnsi="Times New Roman"/>
          <w:sz w:val="20"/>
          <w:szCs w:val="20"/>
          <w:color w:val="auto"/>
        </w:rPr>
        <w:t>suggested by the forward-looking statements or contribute to the possibility that predictions, forecasts or projections will prove to be materially inaccurate.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and Economic Conditions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202" w:lineRule="exact"/>
        <w:rPr>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inflation;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exchange controls and restrictions on remittances abroad;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rates and monetary policies;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import and export controls;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liquidity of domestic capital, credit and financial markets;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or contraction of foreign economies, as measured by rates of growth in gross domestic product;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fiscal policies;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other political, social and economic developments in or affecting foreign markets.</w:t>
      </w:r>
    </w:p>
    <w:p>
      <w:pPr>
        <w:spacing w:after="0" w:line="29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23" w:name="page124"/>
    <w:bookmarkEnd w:id="123"/>
    <w:p>
      <w:pPr>
        <w:jc w:val="both"/>
        <w:spacing w:after="0" w:line="303" w:lineRule="auto"/>
        <w:rPr>
          <w:sz w:val="20"/>
          <w:szCs w:val="20"/>
          <w:color w:val="auto"/>
        </w:rPr>
      </w:pPr>
      <w:r>
        <w:rPr>
          <w:rFonts w:ascii="Times New Roman" w:cs="Times New Roman" w:eastAsia="Times New Roman" w:hAnsi="Times New Roman"/>
          <w:sz w:val="20"/>
          <w:szCs w:val="20"/>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 and Interpretation of Tax Laws</w:t>
      </w:r>
    </w:p>
    <w:p>
      <w:pPr>
        <w:spacing w:after="0" w:line="3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Enforcement of Civil Liabilities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fact, which can be a time-consuming and costly process. Certain matters of procedure will also be governed by foreign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Pandemics, Epidemics and Other Health Risks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9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Intellectual Property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 Protection</w:t>
      </w:r>
    </w:p>
    <w:p>
      <w:pPr>
        <w:spacing w:after="0" w:line="2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Failure to register trademarks for the Company or its products could require the Company to rebrand its products resulting in a material adverse impact on its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2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Law Reform</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25" w:name="page126"/>
    <w:bookmarkEnd w:id="125"/>
    <w:p>
      <w:pPr>
        <w:jc w:val="both"/>
        <w:spacing w:after="0" w:line="296" w:lineRule="auto"/>
        <w:rPr>
          <w:sz w:val="20"/>
          <w:szCs w:val="20"/>
          <w:color w:val="auto"/>
        </w:rPr>
      </w:pPr>
      <w:r>
        <w:rPr>
          <w:rFonts w:ascii="Times New Roman" w:cs="Times New Roman" w:eastAsia="Times New Roman" w:hAnsi="Times New Roman"/>
          <w:sz w:val="20"/>
          <w:szCs w:val="20"/>
          <w:color w:val="auto"/>
        </w:rPr>
        <w:t>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20"/>
          <w:szCs w:val="20"/>
          <w:b w:val="1"/>
          <w:bCs w:val="1"/>
          <w:color w:val="auto"/>
        </w:rPr>
        <w:t>CIPO</w:t>
      </w:r>
      <w:r>
        <w:rPr>
          <w:rFonts w:ascii="Times New Roman" w:cs="Times New Roman" w:eastAsia="Times New Roman" w:hAnsi="Times New Roman"/>
          <w:sz w:val="20"/>
          <w:szCs w:val="20"/>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2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2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22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27" w:name="page128"/>
    <w:bookmarkEnd w:id="127"/>
    <w:p>
      <w:pPr>
        <w:jc w:val="both"/>
        <w:spacing w:after="0" w:line="291" w:lineRule="auto"/>
        <w:rPr>
          <w:sz w:val="20"/>
          <w:szCs w:val="20"/>
          <w:color w:val="auto"/>
        </w:rPr>
      </w:pPr>
      <w:r>
        <w:rPr>
          <w:rFonts w:ascii="Times New Roman" w:cs="Times New Roman" w:eastAsia="Times New Roman" w:hAnsi="Times New Roman"/>
          <w:sz w:val="20"/>
          <w:szCs w:val="20"/>
          <w:color w:val="auto"/>
        </w:rPr>
        <w:t>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2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Litigation and Intellectual Property</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28" w:name="page129"/>
    <w:bookmarkEnd w:id="128"/>
    <w:p>
      <w:pPr>
        <w:jc w:val="both"/>
        <w:spacing w:after="0" w:line="303" w:lineRule="auto"/>
        <w:rPr>
          <w:sz w:val="20"/>
          <w:szCs w:val="20"/>
          <w:color w:val="auto"/>
        </w:rPr>
      </w:pPr>
      <w:r>
        <w:rPr>
          <w:rFonts w:ascii="Times New Roman" w:cs="Times New Roman" w:eastAsia="Times New Roman" w:hAnsi="Times New Roman"/>
          <w:sz w:val="20"/>
          <w:szCs w:val="20"/>
          <w:color w:val="auto"/>
        </w:rPr>
        <w:t>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Protection of Intellectual Property</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8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96" w:lineRule="auto"/>
        <w:rPr>
          <w:sz w:val="20"/>
          <w:szCs w:val="20"/>
          <w:color w:val="auto"/>
        </w:rPr>
      </w:pPr>
      <w:r>
        <w:rPr>
          <w:rFonts w:ascii="Times New Roman" w:cs="Times New Roman" w:eastAsia="Times New Roman" w:hAnsi="Times New Roman"/>
          <w:sz w:val="20"/>
          <w:szCs w:val="20"/>
          <w:color w:val="auto"/>
        </w:rPr>
        <w:t>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21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Third-Party Licences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303" w:lineRule="auto"/>
        <w:rPr>
          <w:sz w:val="20"/>
          <w:szCs w:val="20"/>
          <w:color w:val="auto"/>
        </w:rPr>
      </w:pPr>
      <w:r>
        <w:rPr>
          <w:rFonts w:ascii="Times New Roman" w:cs="Times New Roman" w:eastAsia="Times New Roman" w:hAnsi="Times New Roman"/>
          <w:sz w:val="20"/>
          <w:szCs w:val="20"/>
          <w:color w:val="auto"/>
        </w:rPr>
        <w:t>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Accounting Risks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Number of Authorized but Unissued Common Shares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Dilution</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131" w:name="page132"/>
    <w:bookmarkEnd w:id="131"/>
    <w:p>
      <w:pPr>
        <w:jc w:val="both"/>
        <w:spacing w:after="0" w:line="296" w:lineRule="auto"/>
        <w:rPr>
          <w:sz w:val="20"/>
          <w:szCs w:val="20"/>
          <w:color w:val="auto"/>
        </w:rPr>
      </w:pPr>
      <w:r>
        <w:rPr>
          <w:rFonts w:ascii="Times New Roman" w:cs="Times New Roman" w:eastAsia="Times New Roman" w:hAnsi="Times New Roman"/>
          <w:sz w:val="20"/>
          <w:szCs w:val="20"/>
          <w:color w:val="auto"/>
        </w:rPr>
        <w:t>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Cash Flow from Operating Activities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Capital Requirements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20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addition, the Company may encounter unforeseen expenses, difficulties, complications, delays and other known or unknown factors in achieving its business objectives. The Company will eventually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32" w:name="page133"/>
    <w:bookmarkEnd w:id="132"/>
    <w:p>
      <w:pPr>
        <w:jc w:val="both"/>
        <w:spacing w:after="0" w:line="325" w:lineRule="auto"/>
        <w:rPr>
          <w:sz w:val="20"/>
          <w:szCs w:val="20"/>
          <w:color w:val="auto"/>
        </w:rPr>
      </w:pPr>
      <w:r>
        <w:rPr>
          <w:rFonts w:ascii="Times New Roman" w:cs="Times New Roman" w:eastAsia="Times New Roman" w:hAnsi="Times New Roman"/>
          <w:sz w:val="20"/>
          <w:szCs w:val="20"/>
          <w:color w:val="auto"/>
        </w:rPr>
        <w:t>need to transition from a company with a development focus to a company capable of supporting commercial activities. The Company may not be successful in such a transition.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Lack of Significant Product Revenue</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Estimates or Judgments Relating to Critical Accounting Policies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Inadequate Internal Controls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Common Shares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for the Common Shares</w:t>
      </w:r>
    </w:p>
    <w:p>
      <w:pPr>
        <w:spacing w:after="0" w:line="2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Sales of the Common Shares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Volatile Market Price for the Common Shares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9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36" w:right="339" w:bottom="1440" w:gutter="0" w:footer="0" w:header="0"/>
        </w:sectPr>
      </w:pPr>
    </w:p>
    <w:bookmarkStart w:id="134" w:name="page135"/>
    <w:bookmarkEnd w:id="134"/>
    <w:p>
      <w:pPr>
        <w:jc w:val="both"/>
        <w:spacing w:after="0" w:line="291" w:lineRule="auto"/>
        <w:rPr>
          <w:sz w:val="20"/>
          <w:szCs w:val="20"/>
          <w:color w:val="auto"/>
        </w:rPr>
      </w:pPr>
      <w:r>
        <w:rPr>
          <w:rFonts w:ascii="Times New Roman" w:cs="Times New Roman" w:eastAsia="Times New Roman" w:hAnsi="Times New Roman"/>
          <w:sz w:val="20"/>
          <w:szCs w:val="20"/>
          <w:color w:val="auto"/>
        </w:rPr>
        <w:t>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Issues</w:t>
      </w:r>
    </w:p>
    <w:p>
      <w:pPr>
        <w:spacing w:after="0" w:line="2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There may be income tax consequences in relation to the Common Shares, which will vary according to circumstances. Independent advice from tax and legal advisers should be obtained.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Dividends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Additional information on the Company has been filed electronically through SEDAR+ and is available online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Approval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CERTIFICATE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Drysdale, as Chief Executive Officer of Cybin Inc., certify the following:</w:t>
      </w:r>
    </w:p>
    <w:p>
      <w:pPr>
        <w:spacing w:after="0" w:line="248" w:lineRule="exact"/>
        <w:rPr>
          <w:sz w:val="20"/>
          <w:szCs w:val="20"/>
          <w:color w:val="auto"/>
        </w:rPr>
      </w:pPr>
    </w:p>
    <w:p>
      <w:pPr>
        <w:ind w:left="660" w:hanging="328"/>
        <w:spacing w:after="0" w:line="28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statements and interim MD&amp;A (together, the “interim filings”) of Cybin Inc.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June 30, 2025.</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misrepresentations</w:t>
      </w:r>
      <w:r>
        <w:rPr>
          <w:rFonts w:ascii="Times New Roman" w:cs="Times New Roman" w:eastAsia="Times New Roman" w:hAnsi="Times New Roman"/>
          <w:sz w:val="18"/>
          <w:szCs w:val="18"/>
          <w:color w:val="auto"/>
        </w:rPr>
        <w:t>: 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statements together with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included in the interim filings fairly present in all material respects the financial condition, results of operations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(DC&amp;P) and internal control over financial reporting (ICFR), as those terms are defined in National Instrument 52-109 Certification of Disclosure in Issuers’ Annual and Interim Filings, for the issuer.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8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i w:val="1"/>
          <w:iCs w:val="1"/>
          <w:color w:val="auto"/>
        </w:rPr>
        <w:t xml:space="preserve">Control framework: </w:t>
      </w:r>
      <w:r>
        <w:rPr>
          <w:rFonts w:ascii="Times New Roman" w:cs="Times New Roman" w:eastAsia="Times New Roman" w:hAnsi="Times New Roman"/>
          <w:sz w:val="18"/>
          <w:szCs w:val="18"/>
          <w:color w:val="auto"/>
        </w:rPr>
        <w:t>The control framework the issuer’s other certifying officer(s) and I used to design the issuer’s ICFR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Control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Integrated Framework (2013) issued by The Committee of Sponsoring Organization of the Treadway Commission (COSO).</w:t>
      </w:r>
    </w:p>
    <w:p>
      <w:pPr>
        <w:spacing w:after="0" w:line="23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N/A.</w:t>
      </w:r>
    </w:p>
    <w:p>
      <w:pPr>
        <w:sectPr>
          <w:pgSz w:w="11900" w:h="16838" w:orient="portrait"/>
          <w:cols w:equalWidth="0" w:num="1">
            <w:col w:w="11240"/>
          </w:cols>
          <w:pgMar w:left="320" w:top="1413" w:right="339" w:bottom="1440" w:gutter="0" w:footer="0" w:header="0"/>
        </w:sectPr>
      </w:pPr>
    </w:p>
    <w:bookmarkStart w:id="136" w:name="page137"/>
    <w:bookmarkEnd w:id="136"/>
    <w:p>
      <w:pPr>
        <w:ind w:left="660" w:hanging="328"/>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April 1, 2025 and ended on June 30, 2025 that has materially affected, or is reasonably likely to materially affect, the issuer’s ICFR.</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980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Douglas Drysdale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20" w:top="1413" w:right="35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Cavers, as Chief Financial Officer of Cybin Inc.,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statements and interim MD&amp;A (together, the “interim filings”) of Cybin Inc.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June 30, 2025.</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misrepresentations</w:t>
      </w:r>
      <w:r>
        <w:rPr>
          <w:rFonts w:ascii="Times New Roman" w:cs="Times New Roman" w:eastAsia="Times New Roman" w:hAnsi="Times New Roman"/>
          <w:sz w:val="18"/>
          <w:szCs w:val="18"/>
          <w:color w:val="auto"/>
        </w:rPr>
        <w:t>: 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statements together with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included in the interim filings fairly present in all material respects the financial condition, results of operations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(DC&amp;P) and internal control over financial reporting (ICFR), as those terms are defined in National Instrument 52-109 Certification of Disclosure in Issuers’ Annual and Interim Filings, for the issuer.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8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i w:val="1"/>
          <w:iCs w:val="1"/>
          <w:color w:val="auto"/>
        </w:rPr>
        <w:t xml:space="preserve">Control framework: </w:t>
      </w:r>
      <w:r>
        <w:rPr>
          <w:rFonts w:ascii="Times New Roman" w:cs="Times New Roman" w:eastAsia="Times New Roman" w:hAnsi="Times New Roman"/>
          <w:sz w:val="18"/>
          <w:szCs w:val="18"/>
          <w:color w:val="auto"/>
        </w:rPr>
        <w:t>The control framework the issuer’s other certifying officer(s) and I used to design the issuer’s ICFR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Control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Integrated Framework (2013) issued by The Committee of Sponsoring Organization of the Treadway Commission (COSO).</w:t>
      </w:r>
    </w:p>
    <w:p>
      <w:pPr>
        <w:spacing w:after="0" w:line="23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N/A.</w:t>
      </w:r>
    </w:p>
    <w:p>
      <w:pPr>
        <w:sectPr>
          <w:pgSz w:w="11900" w:h="16838" w:orient="portrait"/>
          <w:cols w:equalWidth="0" w:num="1">
            <w:col w:w="11240"/>
          </w:cols>
          <w:pgMar w:left="320" w:top="1413" w:right="339" w:bottom="1440" w:gutter="0" w:footer="0" w:header="0"/>
        </w:sectPr>
      </w:pPr>
    </w:p>
    <w:bookmarkStart w:id="138" w:name="page139"/>
    <w:bookmarkEnd w:id="138"/>
    <w:p>
      <w:pPr>
        <w:ind w:left="660" w:hanging="328"/>
        <w:spacing w:after="0" w:line="28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April 1, 2025 and ended on June 30, 2025 that has materially affected, or is reasonably likely to materially affect, the issuer’s ICFR.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wp:posOffset>
            </wp:positionV>
            <wp:extent cx="833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Greg Cavers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413" w:right="35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Reports Important Progress on Key Milestones and First Quarter Fiscal Year 2026 Financial Results</w:t>
      </w:r>
    </w:p>
    <w:p>
      <w:pPr>
        <w:spacing w:after="0" w:line="138" w:lineRule="exact"/>
        <w:rPr>
          <w:sz w:val="20"/>
          <w:szCs w:val="20"/>
          <w:color w:val="auto"/>
        </w:rPr>
      </w:pPr>
    </w:p>
    <w:p>
      <w:pPr>
        <w:jc w:val="center"/>
        <w:ind w:left="340" w:right="340"/>
        <w:spacing w:after="0" w:line="314" w:lineRule="auto"/>
        <w:rPr>
          <w:sz w:val="20"/>
          <w:szCs w:val="20"/>
          <w:color w:val="auto"/>
        </w:rPr>
      </w:pPr>
      <w:r>
        <w:rPr>
          <w:rFonts w:ascii="Arial" w:cs="Arial" w:eastAsia="Arial" w:hAnsi="Arial"/>
          <w:sz w:val="20"/>
          <w:szCs w:val="20"/>
          <w:i w:val="1"/>
          <w:iCs w:val="1"/>
          <w:color w:val="auto"/>
        </w:rPr>
        <w:t>Cybin continues to make significant progress on its journey to bring breakthrough therapy to patients by delivering on the following key milestones</w:t>
      </w:r>
    </w:p>
    <w:p>
      <w:pPr>
        <w:spacing w:after="0" w:line="168" w:lineRule="exact"/>
        <w:rPr>
          <w:sz w:val="20"/>
          <w:szCs w:val="20"/>
          <w:color w:val="auto"/>
        </w:rPr>
      </w:pPr>
    </w:p>
    <w:p>
      <w:pPr>
        <w:ind w:left="80" w:right="80" w:firstLine="342"/>
        <w:spacing w:after="0" w:line="291" w:lineRule="auto"/>
        <w:tabs>
          <w:tab w:leader="none" w:pos="534" w:val="left"/>
        </w:tabs>
        <w:numPr>
          <w:ilvl w:val="0"/>
          <w:numId w:val="64"/>
        </w:numPr>
        <w:rPr>
          <w:rFonts w:ascii="Arial" w:cs="Arial" w:eastAsia="Arial" w:hAnsi="Arial"/>
          <w:sz w:val="19"/>
          <w:szCs w:val="19"/>
          <w:i w:val="1"/>
          <w:iCs w:val="1"/>
          <w:color w:val="auto"/>
        </w:rPr>
      </w:pPr>
      <w:r>
        <w:rPr>
          <w:rFonts w:ascii="Arial" w:cs="Arial" w:eastAsia="Arial" w:hAnsi="Arial"/>
          <w:sz w:val="19"/>
          <w:szCs w:val="19"/>
          <w:i w:val="1"/>
          <w:iCs w:val="1"/>
          <w:color w:val="auto"/>
        </w:rPr>
        <w:t>Received European and United Kingdom Medical and Healthcare Products Regulatory Agency (“MHRA”) approval for EMBRACE, the Company’s second pivotal study evaluating CYB003 for the adjunctive treatment of Major Depressive Disorder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(“MDD”) on schedule -</w:t>
      </w:r>
    </w:p>
    <w:p>
      <w:pPr>
        <w:spacing w:after="0" w:line="278" w:lineRule="exact"/>
        <w:rPr>
          <w:sz w:val="20"/>
          <w:szCs w:val="20"/>
          <w:color w:val="auto"/>
        </w:rPr>
      </w:pPr>
    </w:p>
    <w:p>
      <w:pPr>
        <w:ind w:left="500" w:hanging="130"/>
        <w:spacing w:after="0"/>
        <w:tabs>
          <w:tab w:leader="none" w:pos="500" w:val="left"/>
        </w:tabs>
        <w:numPr>
          <w:ilvl w:val="0"/>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EMBRACE study to enroll 330 participants at approximately 60 clinical sites across the United States, United Kingdom,</w:t>
      </w:r>
    </w:p>
    <w:p>
      <w:pPr>
        <w:spacing w:after="0" w:line="31" w:lineRule="exact"/>
        <w:rPr>
          <w:rFonts w:ascii="Arial" w:cs="Arial" w:eastAsia="Arial" w:hAnsi="Arial"/>
          <w:sz w:val="20"/>
          <w:szCs w:val="20"/>
          <w:i w:val="1"/>
          <w:iCs w:val="1"/>
          <w:color w:val="auto"/>
        </w:rPr>
      </w:pPr>
    </w:p>
    <w:p>
      <w:pPr>
        <w:ind w:left="45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Europe, and Australia </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p>
    <w:p>
      <w:pPr>
        <w:spacing w:after="0" w:line="220" w:lineRule="exact"/>
        <w:rPr>
          <w:rFonts w:ascii="Arial" w:cs="Arial" w:eastAsia="Arial" w:hAnsi="Arial"/>
          <w:sz w:val="20"/>
          <w:szCs w:val="20"/>
          <w:i w:val="1"/>
          <w:iCs w:val="1"/>
          <w:color w:val="auto"/>
        </w:rPr>
      </w:pPr>
    </w:p>
    <w:p>
      <w:pPr>
        <w:ind w:left="620" w:hanging="113"/>
        <w:spacing w:after="0"/>
        <w:tabs>
          <w:tab w:leader="none" w:pos="620" w:val="left"/>
        </w:tabs>
        <w:numPr>
          <w:ilvl w:val="2"/>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Completion of patient enrollment in CYB004 Phase 2 study in General Anxiety Disorder expected in August 2025 </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p>
    <w:p>
      <w:pPr>
        <w:spacing w:after="0" w:line="212" w:lineRule="exact"/>
        <w:rPr>
          <w:rFonts w:ascii="Arial" w:cs="Arial" w:eastAsia="Arial" w:hAnsi="Arial"/>
          <w:sz w:val="20"/>
          <w:szCs w:val="20"/>
          <w:i w:val="1"/>
          <w:iCs w:val="1"/>
          <w:color w:val="auto"/>
        </w:rPr>
      </w:pPr>
    </w:p>
    <w:p>
      <w:pPr>
        <w:ind w:left="540" w:hanging="113"/>
        <w:spacing w:after="0"/>
        <w:tabs>
          <w:tab w:leader="none" w:pos="540" w:val="left"/>
        </w:tabs>
        <w:numPr>
          <w:ilvl w:val="1"/>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Recent financing agreement of US$50 million principal amount of convertible debentures will advance clinical pipeline</w:t>
      </w:r>
    </w:p>
    <w:p>
      <w:pPr>
        <w:spacing w:after="0" w:line="40" w:lineRule="exact"/>
        <w:rPr>
          <w:rFonts w:ascii="Arial" w:cs="Arial" w:eastAsia="Arial" w:hAnsi="Arial"/>
          <w:sz w:val="20"/>
          <w:szCs w:val="20"/>
          <w:i w:val="1"/>
          <w:iCs w:val="1"/>
          <w:color w:val="auto"/>
        </w:rPr>
      </w:pPr>
    </w:p>
    <w:p>
      <w:pPr>
        <w:ind w:left="51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programs -</w:t>
      </w:r>
    </w:p>
    <w:p>
      <w:pPr>
        <w:spacing w:after="0" w:line="269" w:lineRule="exact"/>
        <w:rPr>
          <w:rFonts w:ascii="Arial" w:cs="Arial" w:eastAsia="Arial" w:hAnsi="Arial"/>
          <w:sz w:val="20"/>
          <w:szCs w:val="20"/>
          <w:i w:val="1"/>
          <w:iCs w:val="1"/>
          <w:color w:val="auto"/>
        </w:rPr>
      </w:pPr>
    </w:p>
    <w:p>
      <w:pPr>
        <w:ind w:left="3400" w:hanging="117"/>
        <w:spacing w:after="0"/>
        <w:tabs>
          <w:tab w:leader="none" w:pos="3400" w:val="left"/>
        </w:tabs>
        <w:numPr>
          <w:ilvl w:val="3"/>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Cash totaled US$118.7 million as of June 30, 2025 -</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i w:val="1"/>
          <w:iCs w:val="1"/>
          <w:color w:val="auto"/>
        </w:rPr>
        <w:t>This news release constitutes a “designated news release” for the purposes of Cybin’s prospectus supplement dated February 10, 2025, to its short form base shelf prospectus dated August 17, 2023, as amended December 22, 2023, April 8, 2024, and January 6, 2025.</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13,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Canada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reported unaudited financial results for its first quarter ended June 30, 2025, and is pleased to provide an update on key business milestones.</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“With our recently announced funding agreement in place, we are well positioned to continue advancing our lead clinical programs, CYB003 and CYB004, through multiple inflection points,”</w:t>
      </w:r>
    </w:p>
    <w:p>
      <w:pPr>
        <w:sectPr>
          <w:pgSz w:w="11900" w:h="16838" w:orient="portrait"/>
          <w:cols w:equalWidth="0" w:num="1">
            <w:col w:w="11240"/>
          </w:cols>
          <w:pgMar w:left="320" w:top="1440" w:right="339" w:bottom="1440" w:gutter="0" w:footer="0" w:header="0"/>
        </w:sectPr>
      </w:pPr>
    </w:p>
    <w:bookmarkStart w:id="140" w:name="page141"/>
    <w:bookmarkEnd w:id="140"/>
    <w:p>
      <w:pPr>
        <w:jc w:val="both"/>
        <w:spacing w:after="0" w:line="280" w:lineRule="auto"/>
        <w:rPr>
          <w:sz w:val="20"/>
          <w:szCs w:val="20"/>
          <w:color w:val="auto"/>
        </w:rPr>
      </w:pPr>
      <w:r>
        <w:rPr>
          <w:rFonts w:ascii="Arial" w:cs="Arial" w:eastAsia="Arial" w:hAnsi="Arial"/>
          <w:sz w:val="20"/>
          <w:szCs w:val="20"/>
          <w:color w:val="auto"/>
        </w:rPr>
        <w:t>said Doug Drysdale, Chief Executive Officer of Cybin. “Gaining European CTA approval and MHRA approval to commence EMBRACE in the UK has enabled us to expand our multinational Phase 3 PARADIGM program evaluating CYB003 for the potential adjunctive treatment of major depressive disorder. PARADIGM is a significantly larger program than the completed Phase 2 study, with anticipated combined enrollment of approximately 550 participants. Our Phase 3 studies will evaluate the potential clinical benefits of CYB003 in patients living with moderate to severe MDD, and whose symptoms are uncontrolled with existing antidepressant treatment. Our Phase 2 study evaluating CYB004 in generalized anxiety disorder is expected to complete patient enrollment this month.”</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in a strong position to advance our programs and continue our work to deliver innovative therapies to address some of the most challenging mental health disorders we face today and is helping to build momentum across the sector - both from a clinical and regulatory perspective,” concluded Drysdale.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8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Received European approval and MHRA approval for EMBRACE, the second Phase 3 study within the PARADIGM program evaluating CYB003 for the adjunctive treatment of MDD, on schedule. The Company has received CTA approval from the Irish Medicines Board for the EMBRACE study in Ireland, Poland, and Greece, as well as approval from the MHRA. EMBRACE is a 12-week, randomized, double-blind, placebo-controlled study in 330 participants with moderate to severe MDD (MADRS≥24) who are on a stable dose of antidepressant medication but with inadequate response. EMBRACE will evaluate two doses of CYB003 (8 mg, 16 mg) three weeks apart, compared to an inactive placebo. The primary endpoint is change in depressive symptoms as measured by the change in MADRS from baseline six weeks after the first dose.</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Making strong progress on CYB003 development through the APPROACH and EXTEND studies. Dosing is currently ongoing in the first pivotal study, APPROACH, which is expected to enroll 220 patients across 45 U.S. clinical sites. We are pleased to report that patient rollovers continue into EXTEND, the long-term extension study.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Program Summary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Deuterated psilocin program</w:t>
      </w:r>
    </w:p>
    <w:p>
      <w:pPr>
        <w:spacing w:after="0" w:line="248"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Arial" w:cs="Arial" w:eastAsia="Arial" w:hAnsi="Arial"/>
          <w:sz w:val="20"/>
          <w:szCs w:val="20"/>
          <w:color w:val="auto"/>
        </w:rPr>
        <w:t>Phase 3 PARADIGM program is underway, with topline data from first pivotal study, APPROACH, expected in 2026</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program accomplishments:</w:t>
      </w:r>
    </w:p>
    <w:p>
      <w:pPr>
        <w:spacing w:after="0" w:line="258" w:lineRule="exact"/>
        <w:rPr>
          <w:sz w:val="20"/>
          <w:szCs w:val="20"/>
          <w:color w:val="auto"/>
        </w:rPr>
      </w:pPr>
    </w:p>
    <w:p>
      <w:pPr>
        <w:ind w:left="660" w:hanging="328"/>
        <w:spacing w:after="0" w:line="299" w:lineRule="auto"/>
        <w:tabs>
          <w:tab w:leader="none" w:pos="648"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Received Breakthrough Therapy Designation from the U.S. Food and Drug Administration for the adjunctive treatment of MDD.</w:t>
      </w:r>
    </w:p>
    <w:p>
      <w:pPr>
        <w:sectPr>
          <w:pgSz w:w="11900" w:h="16838" w:orient="portrait"/>
          <w:cols w:equalWidth="0" w:num="1">
            <w:col w:w="11240"/>
          </w:cols>
          <w:pgMar w:left="320" w:top="1427" w:right="339" w:bottom="1440" w:gutter="0" w:footer="0" w:header="0"/>
        </w:sectPr>
      </w:pPr>
    </w:p>
    <w:bookmarkStart w:id="141" w:name="page142"/>
    <w:bookmarkEnd w:id="141"/>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completed Phase 2 study of CYB003 in MDD demonstrated durability of effect at 12 months:</w:t>
      </w:r>
    </w:p>
    <w:p>
      <w:pPr>
        <w:spacing w:after="0" w:line="3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100% of participants receiving two doses of 16 mg were responders.</w:t>
      </w:r>
    </w:p>
    <w:p>
      <w:pPr>
        <w:spacing w:after="0" w:line="30"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71% of participants receiving two doses of 16 mg were in remission.</w:t>
      </w:r>
    </w:p>
    <w:p>
      <w:pPr>
        <w:spacing w:after="0" w:line="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Mean change from baseline in MADRS was approximately -23 points after two 16 mg doses.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Deuterated dimethyltryptamine program</w:t>
      </w:r>
    </w:p>
    <w:p>
      <w:pPr>
        <w:spacing w:after="0" w:line="285" w:lineRule="exact"/>
        <w:rPr>
          <w:sz w:val="20"/>
          <w:szCs w:val="20"/>
          <w:color w:val="auto"/>
        </w:rPr>
      </w:pPr>
    </w:p>
    <w:p>
      <w:pPr>
        <w:jc w:val="both"/>
        <w:ind w:left="660" w:hanging="328"/>
        <w:spacing w:after="0" w:line="290" w:lineRule="auto"/>
        <w:tabs>
          <w:tab w:leader="none" w:pos="648"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The Phase 2 CYB004 study is a randomized, double-blind study evaluating the safety and efficacy of CYB004 in participants with generalized anxiety disorder, with concomitant antidepressant/anxiolytic treatment and co-morbid depression allowed. Patient enrollment is expected to be completed this month</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Presentation Currency</w:t>
      </w:r>
    </w:p>
    <w:p>
      <w:pPr>
        <w:spacing w:after="0" w:line="285" w:lineRule="exact"/>
        <w:rPr>
          <w:sz w:val="20"/>
          <w:szCs w:val="20"/>
          <w:color w:val="auto"/>
        </w:rPr>
      </w:pPr>
    </w:p>
    <w:p>
      <w:pPr>
        <w:jc w:val="both"/>
        <w:ind w:left="660"/>
        <w:spacing w:after="0" w:line="282" w:lineRule="auto"/>
        <w:rPr>
          <w:sz w:val="20"/>
          <w:szCs w:val="20"/>
          <w:color w:val="auto"/>
        </w:rPr>
      </w:pPr>
      <w:r>
        <w:rPr>
          <w:rFonts w:ascii="Arial" w:cs="Arial" w:eastAsia="Arial" w:hAnsi="Arial"/>
          <w:sz w:val="20"/>
          <w:szCs w:val="20"/>
          <w:color w:val="auto"/>
        </w:rPr>
        <w:t>Effective April 1, 2025, the Company changed its presentation currency from the Canadian dollar to the United States dollar (“</w:t>
      </w:r>
      <w:r>
        <w:rPr>
          <w:rFonts w:ascii="Arial" w:cs="Arial" w:eastAsia="Arial" w:hAnsi="Arial"/>
          <w:sz w:val="20"/>
          <w:szCs w:val="20"/>
          <w:b w:val="1"/>
          <w:bCs w:val="1"/>
          <w:color w:val="auto"/>
        </w:rPr>
        <w:t>USD</w:t>
      </w:r>
      <w:r>
        <w:rPr>
          <w:rFonts w:ascii="Arial" w:cs="Arial" w:eastAsia="Arial" w:hAnsi="Arial"/>
          <w:sz w:val="20"/>
          <w:szCs w:val="20"/>
          <w:color w:val="auto"/>
        </w:rPr>
        <w:t>”). The change in presentation currency was made to better reflect the Company’s operations, align with the currency in which the majority of cash-based expenses are denominated, and improve comparability of its financial results with other publicly traded businesses in the industry. As a result, all amounts presented in this press release are in USD unless otherwise stated.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Financial Highlights</w:t>
      </w:r>
    </w:p>
    <w:p>
      <w:pPr>
        <w:spacing w:after="0" w:line="285" w:lineRule="exact"/>
        <w:rPr>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$118.7 million as of June 30, 2025.</w:t>
      </w:r>
    </w:p>
    <w:p>
      <w:pPr>
        <w:spacing w:after="0" w:line="30"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$24.6 million for the quarter ended June 30, 2025, compared to a net loss of $10.8 million in the same period last year.</w:t>
      </w:r>
    </w:p>
    <w:p>
      <w:pPr>
        <w:ind w:left="660" w:right="20" w:hanging="328"/>
        <w:spacing w:after="0" w:line="274" w:lineRule="auto"/>
        <w:tabs>
          <w:tab w:leader="none" w:pos="64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$23.9 million for the quarter ended June 30, 2025, compared to $11.9 million, in the same period last year.</w:t>
      </w:r>
    </w:p>
    <w:p>
      <w:pPr>
        <w:ind w:left="660" w:right="20" w:hanging="328"/>
        <w:spacing w:after="0" w:line="308" w:lineRule="auto"/>
        <w:tabs>
          <w:tab w:leader="none" w:pos="64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$29.5 million for the quarter ended June 30, 2025, compared to $19.9 million in the same period last year.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w:t>
      </w:r>
    </w:p>
    <w:p>
      <w:pPr>
        <w:sectPr>
          <w:pgSz w:w="11900" w:h="16838" w:orient="portrait"/>
          <w:cols w:equalWidth="0" w:num="1">
            <w:col w:w="11240"/>
          </w:cols>
          <w:pgMar w:left="320" w:top="1427" w:right="339" w:bottom="1440" w:gutter="0" w:footer="0" w:header="0"/>
        </w:sectPr>
      </w:pPr>
    </w:p>
    <w:bookmarkStart w:id="142" w:name="page143"/>
    <w:bookmarkEnd w:id="142"/>
    <w:p>
      <w:pPr>
        <w:jc w:val="both"/>
        <w:spacing w:after="0" w:line="314" w:lineRule="auto"/>
        <w:rPr>
          <w:sz w:val="20"/>
          <w:szCs w:val="20"/>
          <w:color w:val="auto"/>
        </w:rPr>
      </w:pPr>
      <w:r>
        <w:rPr>
          <w:rFonts w:ascii="Arial" w:cs="Arial" w:eastAsia="Arial" w:hAnsi="Arial"/>
          <w:sz w:val="20"/>
          <w:szCs w:val="20"/>
          <w:color w:val="auto"/>
        </w:rPr>
        <w:t>proprietary deuterated N, N-dimethyltryptamine molecule in a Phase 2 study for generalized anxiety disorder. The Company also has a research pipeline of investigational, 5-HT-receptor focused compounds.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w:t>
      </w:r>
    </w:p>
    <w:p>
      <w:pPr>
        <w:spacing w:after="0" w:line="43" w:lineRule="exact"/>
        <w:rPr>
          <w:sz w:val="20"/>
          <w:szCs w:val="20"/>
          <w:color w:val="auto"/>
        </w:rPr>
      </w:pPr>
    </w:p>
    <w:p>
      <w:pPr>
        <w:jc w:val="both"/>
        <w:ind w:left="660" w:hanging="328"/>
        <w:spacing w:after="0" w:line="283" w:lineRule="auto"/>
        <w:tabs>
          <w:tab w:leader="none" w:pos="649"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w:t>
      </w:r>
    </w:p>
    <w:p>
      <w:pPr>
        <w:spacing w:after="0" w:line="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statements regarding the EMBRACE study to enroll 330 participants at approximately 60 clinical sites across the United States, United Kingdom, Europe, and Australia; the Company’s expectation to enroll 220 participants at approximately 45 clinical sites across the United States for the APPROACH study; the Company’s expectation to complete enrollment in CYB004 Phase 2 study in August 2025; the Company’s expectation to receive topline data from APPROACH in 2026; and the Company’s plans to engineer proprietary drug discovery platforms, innovative drug delivery systems, novel formulation approaches and treatment regimens for mental health conditions.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277" w:lineRule="auto"/>
        <w:rPr>
          <w:sz w:val="20"/>
          <w:szCs w:val="20"/>
          <w:color w:val="auto"/>
        </w:rPr>
      </w:pPr>
      <w:r>
        <w:rPr>
          <w:rFonts w:ascii="Arial" w:cs="Arial" w:eastAsia="Arial" w:hAnsi="Arial"/>
          <w:sz w:val="20"/>
          <w:szCs w:val="20"/>
          <w:color w:val="auto"/>
        </w:rPr>
        <w:t>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2025, and the Company’s annual information form for the year ended March 31, 2025, which are available under the Company's profile on SEDAR+ at www.sedarplus.ca and with the U.S. Securities and Exchange Commission on EDGAR at www.sec.gov</w:t>
      </w:r>
      <w:r>
        <w:rPr>
          <w:rFonts w:ascii="Arial" w:cs="Arial" w:eastAsia="Arial" w:hAnsi="Arial"/>
          <w:sz w:val="20"/>
          <w:szCs w:val="20"/>
          <w:u w:val="single" w:color="auto"/>
          <w:color w:val="0000FF"/>
        </w:rPr>
        <w:t>/edgar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2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2"/>
    </w:lvl>
  </w:abstractNum>
  <w:abstractNum w:abstractNumId="2">
    <w:nsid w:val="77465F01"/>
    <w:multiLevelType w:val="hybridMultilevel"/>
    <w:lvl w:ilvl="0">
      <w:lvlJc w:val="left"/>
      <w:lvlText w:val="1"/>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6"/>
    </w:lvl>
  </w:abstractNum>
  <w:abstractNum w:abstractNumId="6">
    <w:nsid w:val="5E884ADC"/>
    <w:multiLevelType w:val="hybridMultilevel"/>
    <w:lvl w:ilvl="0">
      <w:lvlJc w:val="left"/>
      <w:lvlText w:val="%1."/>
      <w:numFmt w:val="decimal"/>
      <w:start w:val="7"/>
    </w:lvl>
    <w:lvl w:ilvl="1">
      <w:lvlJc w:val="left"/>
      <w:lvlText w:val="%2)"/>
      <w:numFmt w:val="lowerLetter"/>
      <w:start w:val="1"/>
    </w:lvl>
  </w:abstractNum>
  <w:abstractNum w:abstractNumId="7">
    <w:nsid w:val="51EAD36B"/>
    <w:multiLevelType w:val="hybridMultilevel"/>
    <w:lvl w:ilvl="0">
      <w:lvlJc w:val="left"/>
      <w:lvlText w:val="%1)"/>
      <w:numFmt w:val="lowerLetter"/>
      <w:start w:val="2"/>
    </w:lvl>
  </w:abstractNum>
  <w:abstractNum w:abstractNumId="8">
    <w:nsid w:val="2D517796"/>
    <w:multiLevelType w:val="hybridMultilevel"/>
    <w:lvl w:ilvl="0">
      <w:lvlJc w:val="left"/>
      <w:lvlText w:val="%1)"/>
      <w:numFmt w:val="lowerLetter"/>
      <w:start w:val="3"/>
    </w:lvl>
  </w:abstractNum>
  <w:abstractNum w:abstractNumId="9">
    <w:nsid w:val="580BD78F"/>
    <w:multiLevelType w:val="hybridMultilevel"/>
    <w:lvl w:ilvl="0">
      <w:lvlJc w:val="left"/>
      <w:lvlText w:val="%1."/>
      <w:numFmt w:val="decimal"/>
      <w:start w:val="8"/>
    </w:lvl>
    <w:lvl w:ilvl="1">
      <w:lvlJc w:val="left"/>
      <w:lvlText w:val="1"/>
      <w:numFmt w:val="bullet"/>
      <w:start w:val="1"/>
    </w:lvl>
  </w:abstractNum>
  <w:abstractNum w:abstractNumId="10">
    <w:nsid w:val="153EA438"/>
    <w:multiLevelType w:val="hybridMultilevel"/>
    <w:lvl w:ilvl="0">
      <w:lvlJc w:val="left"/>
      <w:lvlText w:val="%1."/>
      <w:numFmt w:val="decimal"/>
      <w:start w:val="12"/>
    </w:lvl>
  </w:abstractNum>
  <w:abstractNum w:abstractNumId="11">
    <w:nsid w:val="3855585C"/>
    <w:multiLevelType w:val="hybridMultilevel"/>
    <w:lvl w:ilvl="0">
      <w:lvlJc w:val="left"/>
      <w:lvlText w:val="%1."/>
      <w:numFmt w:val="decimal"/>
      <w:start w:val="13"/>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bullet"/>
      <w:start w:val="1"/>
    </w:lvl>
  </w:abstractNum>
  <w:abstractNum w:abstractNumId="19">
    <w:nsid w:val="7A6D8D3C"/>
    <w:multiLevelType w:val="hybridMultilevel"/>
    <w:lvl w:ilvl="0">
      <w:lvlJc w:val="left"/>
      <w:lvlText w:val="2"/>
      <w:numFmt w:val="bullet"/>
      <w:start w:val="1"/>
    </w:lvl>
  </w:abstractNum>
  <w:abstractNum w:abstractNumId="20">
    <w:nsid w:val="4B588F54"/>
    <w:multiLevelType w:val="hybridMultilevel"/>
    <w:lvl w:ilvl="0">
      <w:lvlJc w:val="left"/>
      <w:lvlText w:val="5"/>
      <w:numFmt w:val="bullet"/>
      <w:start w:val="1"/>
    </w:lvl>
  </w:abstractNum>
  <w:abstractNum w:abstractNumId="21">
    <w:nsid w:val="542289EC"/>
    <w:multiLevelType w:val="hybridMultilevel"/>
    <w:lvl w:ilvl="0">
      <w:lvlJc w:val="left"/>
      <w:lvlText w:val="6"/>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8"/>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9"/>
      <w:numFmt w:val="bullet"/>
      <w:start w:val="1"/>
    </w:lvl>
  </w:abstractNum>
  <w:abstractNum w:abstractNumId="31">
    <w:nsid w:val="79A1DEAA"/>
    <w:multiLevelType w:val="hybridMultilevel"/>
    <w:lvl w:ilvl="0">
      <w:lvlJc w:val="left"/>
      <w:lvlText w:val="%1"/>
      <w:numFmt w:val="decimal"/>
      <w:start w:val="10"/>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6"/>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8"/>
    </w:lvl>
  </w:abstractNum>
  <w:abstractNum w:abstractNumId="38">
    <w:nsid w:val="23F9C13C"/>
    <w:multiLevelType w:val="hybridMultilevel"/>
    <w:lvl w:ilvl="0">
      <w:lvlJc w:val="left"/>
      <w:lvlText w:val="%1"/>
      <w:numFmt w:val="decimal"/>
      <w:start w:val="23"/>
    </w:lvl>
  </w:abstractNum>
  <w:abstractNum w:abstractNumId="39">
    <w:nsid w:val="649BB77C"/>
    <w:multiLevelType w:val="hybridMultilevel"/>
    <w:lvl w:ilvl="0">
      <w:lvlJc w:val="left"/>
      <w:lvlText w:val="%1"/>
      <w:numFmt w:val="decimal"/>
      <w:start w:val="24"/>
    </w:lvl>
  </w:abstractNum>
  <w:abstractNum w:abstractNumId="40">
    <w:nsid w:val="275AC794"/>
    <w:multiLevelType w:val="hybridMultilevel"/>
    <w:lvl w:ilvl="0">
      <w:lvlJc w:val="left"/>
      <w:lvlText w:val="%1"/>
      <w:numFmt w:val="decimal"/>
      <w:start w:val="27"/>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28"/>
    </w:lvl>
  </w:abstractNum>
  <w:abstractNum w:abstractNumId="43">
    <w:nsid w:val="180115BE"/>
    <w:multiLevelType w:val="hybridMultilevel"/>
    <w:lvl w:ilvl="0">
      <w:lvlJc w:val="left"/>
      <w:lvlText w:val="%1"/>
      <w:numFmt w:val="decimal"/>
      <w:start w:val="29"/>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1"/>
      <w:numFmt w:val="decimal"/>
      <w:start w:val="32"/>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0">
    <w:nsid w:val="1DBABF00"/>
    <w:multiLevelType w:val="hybridMultilevel"/>
    <w:lvl w:ilvl="0">
      <w:lvlJc w:val="left"/>
      <w:lvlText w:val="%1."/>
      <w:numFmt w:val="decimal"/>
      <w:start w:val="6"/>
    </w:lvl>
  </w:abstractNum>
  <w:abstractNum w:abstractNumId="61">
    <w:nsid w:val="4AD084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2">
    <w:nsid w:val="1F48EAA1"/>
    <w:multiLevelType w:val="hybridMultilevel"/>
    <w:lvl w:ilvl="0">
      <w:lvlJc w:val="left"/>
      <w:lvlText w:val="%1."/>
      <w:numFmt w:val="decimal"/>
      <w:start w:val="6"/>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lvl w:ilvl="1">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8" Type="http://schemas.openxmlformats.org/officeDocument/2006/relationships/hyperlink" Target="https://www.sec.gov/Archives/edgar/data/1833141/000106299325013362/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2025-08-14T05:19:36Z</dcterms:created>
  <dcterms:modified xsi:type="dcterms:W3CDTF">2025-08-14T05:19:36Z</dcterms:modified>
</cp:coreProperties>
</file>