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Filed Pursuant to General Instruction II.L of Form F-10</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File No. 333-259994</w:t>
      </w:r>
    </w:p>
    <w:p>
      <w:pPr>
        <w:spacing w:after="0" w:line="188" w:lineRule="exact"/>
        <w:rPr>
          <w:sz w:val="24"/>
          <w:szCs w:val="24"/>
          <w:color w:val="auto"/>
        </w:rPr>
      </w:pPr>
    </w:p>
    <w:p>
      <w:pPr>
        <w:jc w:val="both"/>
        <w:spacing w:after="0" w:line="279" w:lineRule="auto"/>
        <w:rPr>
          <w:sz w:val="20"/>
          <w:szCs w:val="20"/>
          <w:color w:val="auto"/>
        </w:rPr>
      </w:pPr>
      <w:r>
        <w:rPr>
          <w:rFonts w:ascii="Arial" w:cs="Arial" w:eastAsia="Arial" w:hAnsi="Arial"/>
          <w:sz w:val="19"/>
          <w:szCs w:val="19"/>
          <w:i w:val="1"/>
          <w:iCs w:val="1"/>
          <w:color w:val="auto"/>
        </w:rPr>
        <w:t>This prospectus supplement (the "</w:t>
      </w:r>
      <w:r>
        <w:rPr>
          <w:rFonts w:ascii="Arial" w:cs="Arial" w:eastAsia="Arial" w:hAnsi="Arial"/>
          <w:sz w:val="19"/>
          <w:szCs w:val="19"/>
          <w:b w:val="1"/>
          <w:bCs w:val="1"/>
          <w:i w:val="1"/>
          <w:iCs w:val="1"/>
          <w:color w:val="auto"/>
        </w:rPr>
        <w:t>Prospectus Supplement</w:t>
      </w:r>
      <w:r>
        <w:rPr>
          <w:rFonts w:ascii="Arial" w:cs="Arial" w:eastAsia="Arial" w:hAnsi="Arial"/>
          <w:sz w:val="19"/>
          <w:szCs w:val="19"/>
          <w:i w:val="1"/>
          <w:iCs w:val="1"/>
          <w:color w:val="auto"/>
        </w:rPr>
        <w:t>"), together with the short form base shelf prospectus dated July 5, 2021 to which it relates, as amended or supplemented (the "</w:t>
      </w:r>
      <w:r>
        <w:rPr>
          <w:rFonts w:ascii="Arial" w:cs="Arial" w:eastAsia="Arial" w:hAnsi="Arial"/>
          <w:sz w:val="19"/>
          <w:szCs w:val="19"/>
          <w:b w:val="1"/>
          <w:bCs w:val="1"/>
          <w:i w:val="1"/>
          <w:iCs w:val="1"/>
          <w:color w:val="auto"/>
        </w:rPr>
        <w:t>Base Shelf Prospectus</w:t>
      </w:r>
      <w:r>
        <w:rPr>
          <w:rFonts w:ascii="Arial" w:cs="Arial" w:eastAsia="Arial" w:hAnsi="Arial"/>
          <w:sz w:val="19"/>
          <w:szCs w:val="19"/>
          <w:i w:val="1"/>
          <w:iCs w:val="1"/>
          <w:color w:val="auto"/>
        </w:rPr>
        <w:t>"), and each document deemed to be incorporated by reference into this Prospectus Supplement and the Base Shelf Prospectus, as amended or supplemented (collectively, the "</w:t>
      </w:r>
      <w:r>
        <w:rPr>
          <w:rFonts w:ascii="Arial" w:cs="Arial" w:eastAsia="Arial" w:hAnsi="Arial"/>
          <w:sz w:val="19"/>
          <w:szCs w:val="19"/>
          <w:b w:val="1"/>
          <w:bCs w:val="1"/>
          <w:i w:val="1"/>
          <w:iCs w:val="1"/>
          <w:color w:val="auto"/>
        </w:rPr>
        <w:t>Prospectus</w:t>
      </w:r>
      <w:r>
        <w:rPr>
          <w:rFonts w:ascii="Arial" w:cs="Arial" w:eastAsia="Arial" w:hAnsi="Arial"/>
          <w:sz w:val="19"/>
          <w:szCs w:val="19"/>
          <w:i w:val="1"/>
          <w:iCs w:val="1"/>
          <w:color w:val="auto"/>
        </w:rPr>
        <w:t xml:space="preserve">"), constitutes a public offering of these securities only in those jurisdictions where they may be lawfully offered for sale and only by persons permitted to sell such securities. </w:t>
      </w:r>
      <w:r>
        <w:rPr>
          <w:rFonts w:ascii="Arial" w:cs="Arial" w:eastAsia="Arial" w:hAnsi="Arial"/>
          <w:sz w:val="19"/>
          <w:szCs w:val="19"/>
          <w:b w:val="1"/>
          <w:bCs w:val="1"/>
          <w:i w:val="1"/>
          <w:iCs w:val="1"/>
          <w:color w:val="auto"/>
        </w:rPr>
        <w:t>No securities regulatory authority has expressed</w:t>
      </w:r>
      <w:r>
        <w:rPr>
          <w:rFonts w:ascii="Arial" w:cs="Arial" w:eastAsia="Arial" w:hAnsi="Arial"/>
          <w:sz w:val="19"/>
          <w:szCs w:val="19"/>
          <w:i w:val="1"/>
          <w:iCs w:val="1"/>
          <w:color w:val="auto"/>
        </w:rPr>
        <w:t xml:space="preserve"> </w:t>
      </w:r>
      <w:r>
        <w:rPr>
          <w:rFonts w:ascii="Arial" w:cs="Arial" w:eastAsia="Arial" w:hAnsi="Arial"/>
          <w:sz w:val="19"/>
          <w:szCs w:val="19"/>
          <w:b w:val="1"/>
          <w:bCs w:val="1"/>
          <w:i w:val="1"/>
          <w:iCs w:val="1"/>
          <w:color w:val="auto"/>
        </w:rPr>
        <w:t>an opinion about these securities and it is an offence to claim otherwise.</w:t>
      </w:r>
    </w:p>
    <w:p>
      <w:pPr>
        <w:spacing w:after="0" w:line="150" w:lineRule="exact"/>
        <w:rPr>
          <w:sz w:val="24"/>
          <w:szCs w:val="24"/>
          <w:color w:val="auto"/>
        </w:rPr>
      </w:pPr>
    </w:p>
    <w:p>
      <w:pPr>
        <w:jc w:val="both"/>
        <w:spacing w:after="0" w:line="287" w:lineRule="auto"/>
        <w:rPr>
          <w:sz w:val="20"/>
          <w:szCs w:val="20"/>
          <w:color w:val="auto"/>
        </w:rPr>
      </w:pPr>
      <w:r>
        <w:rPr>
          <w:rFonts w:ascii="Arial" w:cs="Arial" w:eastAsia="Arial" w:hAnsi="Arial"/>
          <w:sz w:val="19"/>
          <w:szCs w:val="19"/>
          <w:b w:val="1"/>
          <w:bCs w:val="1"/>
          <w:i w:val="1"/>
          <w:iCs w:val="1"/>
          <w:color w:val="auto"/>
        </w:rPr>
        <w:t xml:space="preserve">Information has been incorporated by reference in the Prospectus from documents filed with securities commissions or similar authorities in Canada. </w:t>
      </w:r>
      <w:r>
        <w:rPr>
          <w:rFonts w:ascii="Arial" w:cs="Arial" w:eastAsia="Arial" w:hAnsi="Arial"/>
          <w:sz w:val="19"/>
          <w:szCs w:val="19"/>
          <w:i w:val="1"/>
          <w:iCs w:val="1"/>
          <w:color w:val="auto"/>
        </w:rPr>
        <w:t>Copies of the documents incorporated herein by reference may be obtained on request without</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 xml:space="preserve">charge from the Secretary of Cybin Inc. at 100 King Street West, Suite 5600, Toronto, Ontario M5X 1C9, telephone 1-866-292-4601, and are also available electronically at </w:t>
      </w:r>
      <w:r>
        <w:rPr>
          <w:rFonts w:ascii="Arial" w:cs="Arial" w:eastAsia="Arial" w:hAnsi="Arial"/>
          <w:sz w:val="19"/>
          <w:szCs w:val="19"/>
          <w:i w:val="1"/>
          <w:iCs w:val="1"/>
          <w:u w:val="single" w:color="auto"/>
          <w:color w:val="0563C1"/>
        </w:rPr>
        <w:t>www.sedar.com</w:t>
      </w:r>
      <w:r>
        <w:rPr>
          <w:rFonts w:ascii="Arial" w:cs="Arial" w:eastAsia="Arial" w:hAnsi="Arial"/>
          <w:sz w:val="19"/>
          <w:szCs w:val="19"/>
          <w:i w:val="1"/>
          <w:iCs w:val="1"/>
          <w:color w:val="auto"/>
        </w:rPr>
        <w:t xml:space="preserve"> and </w:t>
      </w:r>
      <w:r>
        <w:rPr>
          <w:rFonts w:ascii="Arial" w:cs="Arial" w:eastAsia="Arial" w:hAnsi="Arial"/>
          <w:sz w:val="19"/>
          <w:szCs w:val="19"/>
          <w:i w:val="1"/>
          <w:iCs w:val="1"/>
          <w:u w:val="single" w:color="auto"/>
          <w:color w:val="0563C1"/>
        </w:rPr>
        <w:t>www.sec.gov/edgar</w:t>
      </w:r>
      <w:r>
        <w:rPr>
          <w:rFonts w:ascii="Arial" w:cs="Arial" w:eastAsia="Arial" w:hAnsi="Arial"/>
          <w:sz w:val="19"/>
          <w:szCs w:val="19"/>
          <w:i w:val="1"/>
          <w:iCs w:val="1"/>
          <w:color w:val="auto"/>
        </w:rPr>
        <w:t>.</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PROSPECTUS SUPPLEMENT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 THE SHORT FORM BASE SHELF PROSPECTUS DATED JULY 5, 2021</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85"/>
              </w:rPr>
              <w:t>New Issue</w:t>
            </w:r>
          </w:p>
        </w:tc>
        <w:tc>
          <w:tcPr>
            <w:tcW w:w="10500" w:type="dxa"/>
            <w:vAlign w:val="bottom"/>
          </w:tcPr>
          <w:p>
            <w:pPr>
              <w:ind w:left="9500"/>
              <w:spacing w:after="0"/>
              <w:rPr>
                <w:sz w:val="20"/>
                <w:szCs w:val="20"/>
                <w:color w:val="auto"/>
              </w:rPr>
            </w:pPr>
            <w:r>
              <w:rPr>
                <w:rFonts w:ascii="Arial" w:cs="Arial" w:eastAsia="Arial" w:hAnsi="Arial"/>
                <w:sz w:val="18"/>
                <w:szCs w:val="18"/>
                <w:color w:val="auto"/>
                <w:w w:val="89"/>
              </w:rPr>
              <w:t>May 30, 2023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154305</wp:posOffset>
            </wp:positionV>
            <wp:extent cx="1405890" cy="840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8401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CYBIN INC.</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US$30,000,000</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2,538,844 Common Shares</w:t>
      </w:r>
    </w:p>
    <w:p>
      <w:pPr>
        <w:spacing w:after="0" w:line="206" w:lineRule="exact"/>
        <w:rPr>
          <w:sz w:val="24"/>
          <w:szCs w:val="24"/>
          <w:color w:val="auto"/>
        </w:rPr>
      </w:pPr>
    </w:p>
    <w:p>
      <w:pPr>
        <w:jc w:val="both"/>
        <w:spacing w:after="0" w:line="245" w:lineRule="auto"/>
        <w:rPr>
          <w:sz w:val="20"/>
          <w:szCs w:val="20"/>
          <w:color w:val="auto"/>
        </w:rPr>
      </w:pPr>
      <w:r>
        <w:rPr>
          <w:rFonts w:ascii="Arial" w:cs="Arial" w:eastAsia="Arial" w:hAnsi="Arial"/>
          <w:sz w:val="21"/>
          <w:szCs w:val="21"/>
          <w:color w:val="auto"/>
        </w:rPr>
        <w:t>Cybin Inc. ("</w:t>
      </w:r>
      <w:r>
        <w:rPr>
          <w:rFonts w:ascii="Arial" w:cs="Arial" w:eastAsia="Arial" w:hAnsi="Arial"/>
          <w:sz w:val="21"/>
          <w:szCs w:val="21"/>
          <w:b w:val="1"/>
          <w:bCs w:val="1"/>
          <w:color w:val="auto"/>
        </w:rPr>
        <w:t>Cybin</w:t>
      </w:r>
      <w:r>
        <w:rPr>
          <w:rFonts w:ascii="Arial" w:cs="Arial" w:eastAsia="Arial" w:hAnsi="Arial"/>
          <w:sz w:val="21"/>
          <w:szCs w:val="21"/>
          <w:color w:val="auto"/>
        </w:rPr>
        <w:t xml:space="preserve"> " or the "</w:t>
      </w:r>
      <w:r>
        <w:rPr>
          <w:rFonts w:ascii="Arial" w:cs="Arial" w:eastAsia="Arial" w:hAnsi="Arial"/>
          <w:sz w:val="21"/>
          <w:szCs w:val="21"/>
          <w:b w:val="1"/>
          <w:bCs w:val="1"/>
          <w:color w:val="auto"/>
        </w:rPr>
        <w:t>Corporation</w:t>
      </w:r>
      <w:r>
        <w:rPr>
          <w:rFonts w:ascii="Arial" w:cs="Arial" w:eastAsia="Arial" w:hAnsi="Arial"/>
          <w:sz w:val="21"/>
          <w:szCs w:val="21"/>
          <w:color w:val="auto"/>
        </w:rPr>
        <w:t>") has entered into a purchase agreement (the "</w:t>
      </w:r>
      <w:r>
        <w:rPr>
          <w:rFonts w:ascii="Arial" w:cs="Arial" w:eastAsia="Arial" w:hAnsi="Arial"/>
          <w:sz w:val="21"/>
          <w:szCs w:val="21"/>
          <w:b w:val="1"/>
          <w:bCs w:val="1"/>
          <w:color w:val="auto"/>
        </w:rPr>
        <w:t>Purchase Agreement</w:t>
      </w:r>
      <w:r>
        <w:rPr>
          <w:rFonts w:ascii="Arial" w:cs="Arial" w:eastAsia="Arial" w:hAnsi="Arial"/>
          <w:sz w:val="21"/>
          <w:szCs w:val="21"/>
          <w:color w:val="auto"/>
        </w:rPr>
        <w:t>") dated May 30, 2023 with Lincoln Park Capital Fund, LLC (the "</w:t>
      </w:r>
      <w:r>
        <w:rPr>
          <w:rFonts w:ascii="Arial" w:cs="Arial" w:eastAsia="Arial" w:hAnsi="Arial"/>
          <w:sz w:val="21"/>
          <w:szCs w:val="21"/>
          <w:b w:val="1"/>
          <w:bCs w:val="1"/>
          <w:color w:val="auto"/>
        </w:rPr>
        <w:t>Investor</w:t>
      </w:r>
      <w:r>
        <w:rPr>
          <w:rFonts w:ascii="Arial" w:cs="Arial" w:eastAsia="Arial" w:hAnsi="Arial"/>
          <w:sz w:val="21"/>
          <w:szCs w:val="21"/>
          <w:color w:val="auto"/>
        </w:rPr>
        <w:t>"), relating to the sale of common shares in the capital of the Corporation (the "</w:t>
      </w:r>
      <w:r>
        <w:rPr>
          <w:rFonts w:ascii="Arial" w:cs="Arial" w:eastAsia="Arial" w:hAnsi="Arial"/>
          <w:sz w:val="21"/>
          <w:szCs w:val="21"/>
          <w:b w:val="1"/>
          <w:bCs w:val="1"/>
          <w:color w:val="auto"/>
        </w:rPr>
        <w:t>Common Shares</w:t>
      </w:r>
      <w:r>
        <w:rPr>
          <w:rFonts w:ascii="Arial" w:cs="Arial" w:eastAsia="Arial" w:hAnsi="Arial"/>
          <w:sz w:val="21"/>
          <w:szCs w:val="21"/>
          <w:color w:val="auto"/>
        </w:rPr>
        <w:t>"). In accordance with the terms of the Purchase Agreement, the Corporation is qualifying the distribution and sale of Common Shares to the Investor for a total maximum aggregate purchase price of US$30,000,000 during the 36-month term of the Purchase Agreement (the "</w:t>
      </w:r>
      <w:r>
        <w:rPr>
          <w:rFonts w:ascii="Arial" w:cs="Arial" w:eastAsia="Arial" w:hAnsi="Arial"/>
          <w:sz w:val="21"/>
          <w:szCs w:val="21"/>
          <w:b w:val="1"/>
          <w:bCs w:val="1"/>
          <w:color w:val="auto"/>
        </w:rPr>
        <w:t>Offering</w:t>
      </w:r>
      <w:r>
        <w:rPr>
          <w:rFonts w:ascii="Arial" w:cs="Arial" w:eastAsia="Arial" w:hAnsi="Arial"/>
          <w:sz w:val="21"/>
          <w:szCs w:val="21"/>
          <w:color w:val="auto"/>
        </w:rPr>
        <w:t>"). The Offering is being made only in the United States under a registration statement filed under the United States Securities Act of 1933, as amended (the "</w:t>
      </w:r>
      <w:r>
        <w:rPr>
          <w:rFonts w:ascii="Arial" w:cs="Arial" w:eastAsia="Arial" w:hAnsi="Arial"/>
          <w:sz w:val="21"/>
          <w:szCs w:val="21"/>
          <w:b w:val="1"/>
          <w:bCs w:val="1"/>
          <w:color w:val="auto"/>
        </w:rPr>
        <w:t>Securities Act</w:t>
      </w:r>
      <w:r>
        <w:rPr>
          <w:rFonts w:ascii="Arial" w:cs="Arial" w:eastAsia="Arial" w:hAnsi="Arial"/>
          <w:sz w:val="21"/>
          <w:szCs w:val="21"/>
          <w:color w:val="auto"/>
        </w:rPr>
        <w:t>") on Form F-10 (File No. 333-25994) (the "</w:t>
      </w:r>
      <w:r>
        <w:rPr>
          <w:rFonts w:ascii="Arial" w:cs="Arial" w:eastAsia="Arial" w:hAnsi="Arial"/>
          <w:sz w:val="21"/>
          <w:szCs w:val="21"/>
          <w:b w:val="1"/>
          <w:bCs w:val="1"/>
          <w:color w:val="auto"/>
        </w:rPr>
        <w:t>Registration Statement</w:t>
      </w:r>
      <w:r>
        <w:rPr>
          <w:rFonts w:ascii="Arial" w:cs="Arial" w:eastAsia="Arial" w:hAnsi="Arial"/>
          <w:sz w:val="21"/>
          <w:szCs w:val="21"/>
          <w:color w:val="auto"/>
        </w:rPr>
        <w:t>"), filed and effective with the United States Securities and Exchange Commission (the "</w:t>
      </w:r>
      <w:r>
        <w:rPr>
          <w:rFonts w:ascii="Arial" w:cs="Arial" w:eastAsia="Arial" w:hAnsi="Arial"/>
          <w:sz w:val="21"/>
          <w:szCs w:val="21"/>
          <w:b w:val="1"/>
          <w:bCs w:val="1"/>
          <w:color w:val="auto"/>
        </w:rPr>
        <w:t>SEC</w:t>
      </w:r>
      <w:r>
        <w:rPr>
          <w:rFonts w:ascii="Arial" w:cs="Arial" w:eastAsia="Arial" w:hAnsi="Arial"/>
          <w:sz w:val="21"/>
          <w:szCs w:val="21"/>
          <w:color w:val="auto"/>
        </w:rPr>
        <w:t xml:space="preserve">"). </w:t>
      </w:r>
      <w:r>
        <w:rPr>
          <w:rFonts w:ascii="Arial" w:cs="Arial" w:eastAsia="Arial" w:hAnsi="Arial"/>
          <w:sz w:val="21"/>
          <w:szCs w:val="21"/>
          <w:b w:val="1"/>
          <w:bCs w:val="1"/>
          <w:color w:val="auto"/>
        </w:rPr>
        <w:t>None of the Common Shares issued pursuant to the Purchase Agreement will be offered for sale or sold by</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the Corporation or the Investor on the Neo Exchange Inc. (the "NEO") or to purchasers in Canada. </w:t>
      </w:r>
      <w:r>
        <w:rPr>
          <w:rFonts w:ascii="Arial" w:cs="Arial" w:eastAsia="Arial" w:hAnsi="Arial"/>
          <w:sz w:val="21"/>
          <w:szCs w:val="21"/>
          <w:color w:val="auto"/>
        </w:rPr>
        <w:t>See "Plan of</w:t>
      </w:r>
      <w:r>
        <w:rPr>
          <w:rFonts w:ascii="Arial" w:cs="Arial" w:eastAsia="Arial" w:hAnsi="Arial"/>
          <w:sz w:val="21"/>
          <w:szCs w:val="21"/>
          <w:b w:val="1"/>
          <w:bCs w:val="1"/>
          <w:color w:val="auto"/>
        </w:rPr>
        <w:t xml:space="preserve"> </w:t>
      </w:r>
      <w:r>
        <w:rPr>
          <w:rFonts w:ascii="Arial" w:cs="Arial" w:eastAsia="Arial" w:hAnsi="Arial"/>
          <w:sz w:val="21"/>
          <w:szCs w:val="21"/>
          <w:color w:val="auto"/>
        </w:rPr>
        <w:t>Distribution".</w:t>
      </w:r>
    </w:p>
    <w:p>
      <w:pPr>
        <w:spacing w:after="0" w:line="187" w:lineRule="exact"/>
        <w:rPr>
          <w:sz w:val="24"/>
          <w:szCs w:val="24"/>
          <w:color w:val="auto"/>
        </w:rPr>
      </w:pPr>
    </w:p>
    <w:p>
      <w:pPr>
        <w:spacing w:after="0"/>
        <w:rPr>
          <w:sz w:val="20"/>
          <w:szCs w:val="20"/>
          <w:color w:val="auto"/>
        </w:rPr>
      </w:pPr>
      <w:r>
        <w:rPr>
          <w:rFonts w:ascii="Arial" w:cs="Arial" w:eastAsia="Arial" w:hAnsi="Arial"/>
          <w:sz w:val="22"/>
          <w:szCs w:val="22"/>
          <w:color w:val="auto"/>
        </w:rPr>
        <w:t>The Common Shares offered to the Investor hereunder include:</w:t>
      </w:r>
    </w:p>
    <w:p>
      <w:pPr>
        <w:spacing w:after="0" w:line="206" w:lineRule="exact"/>
        <w:rPr>
          <w:sz w:val="24"/>
          <w:szCs w:val="24"/>
          <w:color w:val="auto"/>
        </w:rPr>
      </w:pPr>
    </w:p>
    <w:p>
      <w:pPr>
        <w:jc w:val="both"/>
        <w:ind w:left="660"/>
        <w:spacing w:after="0" w:line="238" w:lineRule="auto"/>
        <w:rPr>
          <w:sz w:val="20"/>
          <w:szCs w:val="20"/>
          <w:color w:val="auto"/>
        </w:rPr>
      </w:pPr>
      <w:r>
        <w:rPr>
          <w:rFonts w:ascii="Arial" w:cs="Arial" w:eastAsia="Arial" w:hAnsi="Arial"/>
          <w:sz w:val="22"/>
          <w:szCs w:val="22"/>
          <w:color w:val="auto"/>
        </w:rPr>
        <w:t>up to US$30,000,000 worth of Common Shares, which the Corporation may issue and sell to the Investor, in the Corporation's sole discretion, from time to time during the 36-month term of the Purchase Agreement commencing on the Commencement Date (as defined herein), upon the terms and subject to the conditions and limitations contained in the Purchase Agreement;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-575310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1" w:name="page2"/>
    <w:bookmarkEnd w:id="1"/>
    <w:p>
      <w:pPr>
        <w:jc w:val="both"/>
        <w:ind w:left="660"/>
        <w:spacing w:after="0" w:line="254" w:lineRule="auto"/>
        <w:rPr>
          <w:sz w:val="20"/>
          <w:szCs w:val="20"/>
          <w:color w:val="auto"/>
        </w:rPr>
      </w:pPr>
      <w:r>
        <w:rPr>
          <w:rFonts w:ascii="Arial" w:cs="Arial" w:eastAsia="Arial" w:hAnsi="Arial"/>
          <w:sz w:val="21"/>
          <w:szCs w:val="21"/>
          <w:color w:val="auto"/>
        </w:rPr>
        <w:t>2,538,844 Common Shares to be issued by the Corporation to the Investor on May 30, 2023 (the "</w:t>
      </w:r>
      <w:r>
        <w:rPr>
          <w:rFonts w:ascii="Arial" w:cs="Arial" w:eastAsia="Arial" w:hAnsi="Arial"/>
          <w:sz w:val="21"/>
          <w:szCs w:val="21"/>
          <w:b w:val="1"/>
          <w:bCs w:val="1"/>
          <w:color w:val="auto"/>
        </w:rPr>
        <w:t>Commitment Shares</w:t>
      </w:r>
      <w:r>
        <w:rPr>
          <w:rFonts w:ascii="Arial" w:cs="Arial" w:eastAsia="Arial" w:hAnsi="Arial"/>
          <w:sz w:val="21"/>
          <w:szCs w:val="21"/>
          <w:color w:val="auto"/>
        </w:rPr>
        <w:t>") as consideration for the Investor's commitment to purchase Common Shares at the Corporation's direction pursuant to the Purchase Agreement; however, the Corporation will not receive any cash proceeds for the Commitment Shares to be issued to the Investor pursuant to the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-583565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color w:val="auto"/>
        </w:rPr>
        <w:t>This Prospectus Supplement also qualifies for distribution the resale of these Common Shares by the Investor to the public.</w:t>
      </w:r>
    </w:p>
    <w:p>
      <w:pPr>
        <w:spacing w:after="0" w:line="24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Common Shares are listed on the NEO under the trading symbol "CYBN", and in the United States on the NYSE American LLC stock exchange (the "</w:t>
      </w:r>
      <w:r>
        <w:rPr>
          <w:rFonts w:ascii="Arial" w:cs="Arial" w:eastAsia="Arial" w:hAnsi="Arial"/>
          <w:sz w:val="22"/>
          <w:szCs w:val="22"/>
          <w:b w:val="1"/>
          <w:bCs w:val="1"/>
          <w:color w:val="auto"/>
        </w:rPr>
        <w:t>NYSE American</w:t>
      </w:r>
      <w:r>
        <w:rPr>
          <w:rFonts w:ascii="Arial" w:cs="Arial" w:eastAsia="Arial" w:hAnsi="Arial"/>
          <w:sz w:val="22"/>
          <w:szCs w:val="22"/>
          <w:color w:val="auto"/>
        </w:rPr>
        <w:t>") under the symbol "CYBN". On May 29, 2023, the last trading day prior to the announcement of the Offering, the closing price of the Common Shares listed on the NEO was $0.395, and on May 26, 2023, the last trading day on the NYSE American prior to the announcement of the Offering, the closing price of the Common Shares listed on the NYSE American was US$0.2925.</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9"/>
          <w:szCs w:val="19"/>
          <w:b w:val="1"/>
          <w:bCs w:val="1"/>
          <w:color w:val="auto"/>
        </w:rPr>
        <w:t>The Investor will not engage in any transactions that stabilize the price of the Common Shares. No underwriter or dealer involved in the distribution, no affiliate of such an underwriter or dealer and no person or company acting jointly or in concert with such an underwriter or dealer has over-allotted, or will over-allot, securities in connection with the distribution or effect any other transactions that are intended to stabilize or maintain the market price of the securities.</w:t>
      </w:r>
    </w:p>
    <w:p>
      <w:pPr>
        <w:spacing w:after="0" w:line="136" w:lineRule="exact"/>
        <w:rPr>
          <w:sz w:val="20"/>
          <w:szCs w:val="20"/>
          <w:color w:val="auto"/>
        </w:rPr>
      </w:pPr>
    </w:p>
    <w:p>
      <w:pPr>
        <w:jc w:val="both"/>
        <w:spacing w:after="0" w:line="278" w:lineRule="auto"/>
        <w:rPr>
          <w:sz w:val="20"/>
          <w:szCs w:val="20"/>
          <w:color w:val="auto"/>
        </w:rPr>
      </w:pPr>
      <w:r>
        <w:rPr>
          <w:rFonts w:ascii="Arial" w:cs="Arial" w:eastAsia="Arial" w:hAnsi="Arial"/>
          <w:sz w:val="19"/>
          <w:szCs w:val="19"/>
          <w:b w:val="1"/>
          <w:bCs w:val="1"/>
          <w:color w:val="auto"/>
        </w:rPr>
        <w:t>Prospective investors should be aware that the acquisition of the securities described herein may have tax consequences both in Canada and the United States. Such consequences, for investors who are resident in, or citizens of, the United States, may not be described fully in this Prospectus Supplement or the accompanying Prospectus, including the Canadian federal income tax consequences applicable to a foreign controlled Canadian corporation that acquires Common Shares pursuant to this Offering. Investors should read the tax discussion in this Prospectus Supplement and consult their own tax advisors with respect to their own particular circumstances. See "</w:t>
      </w:r>
      <w:r>
        <w:rPr>
          <w:rFonts w:ascii="Arial" w:cs="Arial" w:eastAsia="Arial" w:hAnsi="Arial"/>
          <w:sz w:val="19"/>
          <w:szCs w:val="19"/>
          <w:b w:val="1"/>
          <w:bCs w:val="1"/>
          <w:i w:val="1"/>
          <w:iCs w:val="1"/>
          <w:color w:val="auto"/>
        </w:rPr>
        <w:t>Certain Canadian Federal Income</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Tax Considerations</w:t>
      </w:r>
      <w:r>
        <w:rPr>
          <w:rFonts w:ascii="Arial" w:cs="Arial" w:eastAsia="Arial" w:hAnsi="Arial"/>
          <w:sz w:val="19"/>
          <w:szCs w:val="19"/>
          <w:b w:val="1"/>
          <w:bCs w:val="1"/>
          <w:color w:val="auto"/>
        </w:rPr>
        <w:t>", "</w:t>
      </w:r>
      <w:r>
        <w:rPr>
          <w:rFonts w:ascii="Arial" w:cs="Arial" w:eastAsia="Arial" w:hAnsi="Arial"/>
          <w:sz w:val="19"/>
          <w:szCs w:val="19"/>
          <w:b w:val="1"/>
          <w:bCs w:val="1"/>
          <w:i w:val="1"/>
          <w:iCs w:val="1"/>
          <w:color w:val="auto"/>
        </w:rPr>
        <w:t>Certain United States Federal Income Tax Considerations</w:t>
      </w:r>
      <w:r>
        <w:rPr>
          <w:rFonts w:ascii="Arial" w:cs="Arial" w:eastAsia="Arial" w:hAnsi="Arial"/>
          <w:sz w:val="19"/>
          <w:szCs w:val="19"/>
          <w:b w:val="1"/>
          <w:bCs w:val="1"/>
          <w:color w:val="auto"/>
        </w:rPr>
        <w:t>" and "</w:t>
      </w:r>
      <w:r>
        <w:rPr>
          <w:rFonts w:ascii="Arial" w:cs="Arial" w:eastAsia="Arial" w:hAnsi="Arial"/>
          <w:sz w:val="19"/>
          <w:szCs w:val="19"/>
          <w:b w:val="1"/>
          <w:bCs w:val="1"/>
          <w:i w:val="1"/>
          <w:iCs w:val="1"/>
          <w:color w:val="auto"/>
        </w:rPr>
        <w:t>Risk Factors</w:t>
      </w:r>
      <w:r>
        <w:rPr>
          <w:rFonts w:ascii="Arial" w:cs="Arial" w:eastAsia="Arial" w:hAnsi="Arial"/>
          <w:sz w:val="19"/>
          <w:szCs w:val="19"/>
          <w:b w:val="1"/>
          <w:bCs w:val="1"/>
          <w:color w:val="auto"/>
        </w:rPr>
        <w:t>".</w:t>
      </w:r>
    </w:p>
    <w:p>
      <w:pPr>
        <w:spacing w:after="0" w:line="145" w:lineRule="exact"/>
        <w:rPr>
          <w:sz w:val="20"/>
          <w:szCs w:val="20"/>
          <w:color w:val="auto"/>
        </w:rPr>
      </w:pPr>
    </w:p>
    <w:p>
      <w:pPr>
        <w:jc w:val="both"/>
        <w:spacing w:after="0" w:line="254" w:lineRule="auto"/>
        <w:rPr>
          <w:sz w:val="20"/>
          <w:szCs w:val="20"/>
          <w:color w:val="auto"/>
        </w:rPr>
      </w:pPr>
      <w:r>
        <w:rPr>
          <w:rFonts w:ascii="Arial" w:cs="Arial" w:eastAsia="Arial" w:hAnsi="Arial"/>
          <w:sz w:val="21"/>
          <w:szCs w:val="21"/>
          <w:b w:val="1"/>
          <w:bCs w:val="1"/>
          <w:color w:val="auto"/>
        </w:rPr>
        <w:t xml:space="preserve">An investment in the Common Shares is highly speculative and involves significant risks that you should consider before purchasing Common Shares. See the </w:t>
      </w:r>
      <w:r>
        <w:rPr>
          <w:rFonts w:ascii="Arial" w:cs="Arial" w:eastAsia="Arial" w:hAnsi="Arial"/>
          <w:sz w:val="21"/>
          <w:szCs w:val="21"/>
          <w:b w:val="1"/>
          <w:bCs w:val="1"/>
          <w:i w:val="1"/>
          <w:iCs w:val="1"/>
          <w:color w:val="auto"/>
        </w:rPr>
        <w:t>"Risk Factors"</w:t>
      </w:r>
      <w:r>
        <w:rPr>
          <w:rFonts w:ascii="Arial" w:cs="Arial" w:eastAsia="Arial" w:hAnsi="Arial"/>
          <w:sz w:val="21"/>
          <w:szCs w:val="21"/>
          <w:b w:val="1"/>
          <w:bCs w:val="1"/>
          <w:color w:val="auto"/>
        </w:rPr>
        <w:t xml:space="preserve"> section in this Prospectus Supplement, and the accompanying Base Shelf Prospectus and the risk factors in the Corporation's documents which are incorporated by reference herein for a description of risks involved in an investment in Common Shares.</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The Offering is being made by a Canadian issuer that is permitted, under a multijurisdictional disclosure system adopted by the United States and Canada ("MJDS"), to prepare this Prospectus Supplement in accordance with Canadian disclosure requirements. Prospective investors in the United States should be aware that such requirements are different from those of the United States. Financial statements included or incorporated by reference herein have been prepared in accordance with International Financial Reporting Standards, as issued by the International Accounting Standards Board, and may not be comparable to financial statements of United States companies, which are prepared under United States generally accepted accounting principles, or "US GAAP". Such financial statements are subject to the standards of the Public Company Accounting Oversight Board (United States) and the SEC independence standards.</w:t>
      </w:r>
    </w:p>
    <w:p>
      <w:pPr>
        <w:spacing w:after="0" w:line="150"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The enforcement by investors of civil liabilities under the United States federal securities laws may be affected adversely by the fact that the Corporation is incorporated under the laws of Ontario, Canada, that the majority of its officers and directors are residents of Canada, that many of the experts named in this Prospectus Supplement and the Prospectus are not residents of the United States, and that a substantial portion of the assets of the Corporation and said persons are located outside the United States.</w:t>
      </w:r>
    </w:p>
    <w:p>
      <w:pPr>
        <w:spacing w:after="0" w:line="18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Douglas Drysdale, an officer of the Corporation, resides outside of Canada. He has appointed Maxims CS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 w:name="page3"/>
    <w:bookmarkEnd w:id="2"/>
    <w:p>
      <w:pPr>
        <w:jc w:val="both"/>
        <w:spacing w:after="0"/>
        <w:rPr>
          <w:sz w:val="20"/>
          <w:szCs w:val="20"/>
          <w:color w:val="auto"/>
        </w:rPr>
      </w:pPr>
      <w:r>
        <w:rPr>
          <w:rFonts w:ascii="Arial" w:cs="Arial" w:eastAsia="Arial" w:hAnsi="Arial"/>
          <w:sz w:val="22"/>
          <w:szCs w:val="22"/>
          <w:color w:val="auto"/>
        </w:rPr>
        <w:t>The financial information of the Corporation incorporated by reference in the Prospectus is presented in Canadian dollars. Unless otherwise noted herein, all references to "US$" are to United States dollars and all references to "C$" or "$", are to Canadian dollars. See "</w:t>
      </w:r>
      <w:r>
        <w:rPr>
          <w:rFonts w:ascii="Arial" w:cs="Arial" w:eastAsia="Arial" w:hAnsi="Arial"/>
          <w:sz w:val="22"/>
          <w:szCs w:val="22"/>
          <w:i w:val="1"/>
          <w:iCs w:val="1"/>
          <w:color w:val="auto"/>
        </w:rPr>
        <w:t>Exchange Rate</w:t>
      </w:r>
      <w:r>
        <w:rPr>
          <w:rFonts w:ascii="Arial" w:cs="Arial" w:eastAsia="Arial" w:hAnsi="Arial"/>
          <w:sz w:val="22"/>
          <w:szCs w:val="22"/>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color w:val="auto"/>
        </w:rPr>
        <w:t>The Corporation's head and registered office is located at 100 King Street West, Suite 5600, Toronto, ON M5X 1C9.</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THESE SECURITIES HAVE NOT BEEN APPROVED OR DISAPPROVED BY THE SEC OR BY ANY STATE OR CANADIAN SECURITIES COMMISSION OR REGULATORY AUTHORITY, NOR HAS THE SEC OR ANY STATE OR CANADIAN SECURITIES COMMISSION PASSED UPON THE ACCURACY OR ADEQUACY OF THIS PROSPECTUS SUPPLEMENT OR THE ACCOMPANYING PROSPECTUS. ANY REPRESENTATION TO THE CONTRARY IS A CRIMINAL OFFENCE.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900" w:type="dxa"/>
            <w:vAlign w:val="bottom"/>
            <w:gridSpan w:val="29"/>
          </w:tcPr>
          <w:p>
            <w:pPr>
              <w:spacing w:after="0"/>
              <w:rPr>
                <w:sz w:val="20"/>
                <w:szCs w:val="20"/>
                <w:color w:val="auto"/>
              </w:rPr>
            </w:pPr>
            <w:r>
              <w:rPr>
                <w:rFonts w:ascii="Arial" w:cs="Arial" w:eastAsia="Arial" w:hAnsi="Arial"/>
                <w:sz w:val="18"/>
                <w:szCs w:val="18"/>
                <w:b w:val="1"/>
                <w:bCs w:val="1"/>
                <w:color w:val="auto"/>
              </w:rPr>
              <w:t>Prospectus Supplement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2240" w:type="dxa"/>
            <w:vAlign w:val="bottom"/>
            <w:gridSpan w:val="12"/>
            <w:shd w:val="clear" w:color="auto" w:fill="EEEEEE"/>
          </w:tcPr>
          <w:p>
            <w:pPr>
              <w:spacing w:after="0" w:line="176" w:lineRule="exact"/>
              <w:rPr>
                <w:sz w:val="20"/>
                <w:szCs w:val="20"/>
                <w:color w:val="auto"/>
              </w:rPr>
            </w:pPr>
            <w:r>
              <w:rPr>
                <w:rFonts w:ascii="Arial" w:cs="Arial" w:eastAsia="Arial" w:hAnsi="Arial"/>
                <w:sz w:val="18"/>
                <w:szCs w:val="18"/>
                <w:color w:val="0000EE"/>
                <w:w w:val="93"/>
              </w:rPr>
              <w:t>ABOUT THIS PROSPECTUS</w:t>
            </w:r>
          </w:p>
        </w:tc>
        <w:tc>
          <w:tcPr>
            <w:tcW w:w="8660" w:type="dxa"/>
            <w:vAlign w:val="bottom"/>
            <w:gridSpan w:val="17"/>
            <w:shd w:val="clear" w:color="auto" w:fill="EEEEEE"/>
          </w:tcPr>
          <w:p>
            <w:pPr>
              <w:spacing w:after="0"/>
              <w:rPr>
                <w:sz w:val="15"/>
                <w:szCs w:val="15"/>
                <w:color w:val="auto"/>
              </w:rPr>
            </w:pP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S-1</w:t>
            </w:r>
          </w:p>
        </w:tc>
      </w:tr>
      <w:tr>
        <w:trPr>
          <w:trHeight w:val="21"/>
        </w:trPr>
        <w:tc>
          <w:tcPr>
            <w:tcW w:w="78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40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44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60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43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r>
      <w:tr>
        <w:trPr>
          <w:trHeight w:val="176"/>
        </w:trPr>
        <w:tc>
          <w:tcPr>
            <w:tcW w:w="10900" w:type="dxa"/>
            <w:vAlign w:val="bottom"/>
            <w:gridSpan w:val="29"/>
          </w:tcPr>
          <w:p>
            <w:pPr>
              <w:spacing w:after="0" w:line="176" w:lineRule="exact"/>
              <w:rPr>
                <w:sz w:val="20"/>
                <w:szCs w:val="20"/>
                <w:color w:val="auto"/>
              </w:rPr>
            </w:pPr>
            <w:r>
              <w:rPr>
                <w:rFonts w:ascii="Arial" w:cs="Arial" w:eastAsia="Arial" w:hAnsi="Arial"/>
                <w:sz w:val="18"/>
                <w:szCs w:val="18"/>
                <w:color w:val="0000EE"/>
              </w:rPr>
              <w:t>CAUTIONARY STATEMENT REGARDING FORWARD-LOOKING INFORMATION</w:t>
            </w:r>
          </w:p>
        </w:tc>
        <w:tc>
          <w:tcPr>
            <w:tcW w:w="340" w:type="dxa"/>
            <w:vAlign w:val="bottom"/>
            <w:gridSpan w:val="4"/>
          </w:tcPr>
          <w:p>
            <w:pPr>
              <w:jc w:val="right"/>
              <w:spacing w:after="0" w:line="176" w:lineRule="exact"/>
              <w:rPr>
                <w:sz w:val="20"/>
                <w:szCs w:val="20"/>
                <w:color w:val="auto"/>
              </w:rPr>
            </w:pPr>
            <w:r>
              <w:rPr>
                <w:rFonts w:ascii="Arial" w:cs="Arial" w:eastAsia="Arial" w:hAnsi="Arial"/>
                <w:sz w:val="18"/>
                <w:szCs w:val="18"/>
                <w:color w:val="0000EE"/>
              </w:rPr>
              <w:t>S-1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r>
      <w:tr>
        <w:trPr>
          <w:trHeight w:val="176"/>
        </w:trPr>
        <w:tc>
          <w:tcPr>
            <w:tcW w:w="10900" w:type="dxa"/>
            <w:vAlign w:val="bottom"/>
            <w:gridSpan w:val="29"/>
            <w:shd w:val="clear" w:color="auto" w:fill="EEEEEE"/>
          </w:tcPr>
          <w:p>
            <w:pPr>
              <w:spacing w:after="0" w:line="176" w:lineRule="exact"/>
              <w:rPr>
                <w:sz w:val="20"/>
                <w:szCs w:val="20"/>
                <w:color w:val="auto"/>
              </w:rPr>
            </w:pPr>
            <w:r>
              <w:rPr>
                <w:rFonts w:ascii="Arial" w:cs="Arial" w:eastAsia="Arial" w:hAnsi="Arial"/>
                <w:sz w:val="18"/>
                <w:szCs w:val="18"/>
                <w:color w:val="0000EE"/>
              </w:rPr>
              <w:t>DOCUMENTS INCORPORATED BY REFERENCE</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S-3</w:t>
            </w:r>
          </w:p>
        </w:tc>
      </w:tr>
      <w:tr>
        <w:trPr>
          <w:trHeight w:val="20"/>
        </w:trPr>
        <w:tc>
          <w:tcPr>
            <w:tcW w:w="78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40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6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320" w:type="dxa"/>
            <w:vAlign w:val="bottom"/>
            <w:tcBorders>
              <w:top w:val="single" w:sz="8" w:color="0000EE"/>
            </w:tcBorders>
            <w:shd w:val="clear" w:color="auto" w:fill="EEEEEE"/>
          </w:tcPr>
          <w:p>
            <w:pPr>
              <w:spacing w:after="0" w:line="20" w:lineRule="exact"/>
              <w:rPr>
                <w:sz w:val="1"/>
                <w:szCs w:val="1"/>
                <w:color w:val="auto"/>
              </w:rPr>
            </w:pPr>
          </w:p>
        </w:tc>
        <w:tc>
          <w:tcPr>
            <w:tcW w:w="44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60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43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r>
      <w:tr>
        <w:trPr>
          <w:trHeight w:val="176"/>
        </w:trPr>
        <w:tc>
          <w:tcPr>
            <w:tcW w:w="10900" w:type="dxa"/>
            <w:vAlign w:val="bottom"/>
            <w:gridSpan w:val="29"/>
          </w:tcPr>
          <w:p>
            <w:pPr>
              <w:spacing w:after="0" w:line="176" w:lineRule="exact"/>
              <w:rPr>
                <w:sz w:val="20"/>
                <w:szCs w:val="20"/>
                <w:color w:val="auto"/>
              </w:rPr>
            </w:pPr>
            <w:r>
              <w:rPr>
                <w:rFonts w:ascii="Arial" w:cs="Arial" w:eastAsia="Arial" w:hAnsi="Arial"/>
                <w:sz w:val="18"/>
                <w:szCs w:val="18"/>
                <w:color w:val="0000EE"/>
              </w:rPr>
              <w:t>DOCUMENTS FILED AS PART OF THE REGISTRATION STATEMENT</w:t>
            </w:r>
          </w:p>
        </w:tc>
        <w:tc>
          <w:tcPr>
            <w:tcW w:w="340" w:type="dxa"/>
            <w:vAlign w:val="bottom"/>
            <w:gridSpan w:val="4"/>
          </w:tcPr>
          <w:p>
            <w:pPr>
              <w:jc w:val="right"/>
              <w:spacing w:after="0" w:line="176" w:lineRule="exact"/>
              <w:rPr>
                <w:sz w:val="20"/>
                <w:szCs w:val="20"/>
                <w:color w:val="auto"/>
              </w:rPr>
            </w:pPr>
            <w:r>
              <w:rPr>
                <w:rFonts w:ascii="Arial" w:cs="Arial" w:eastAsia="Arial" w:hAnsi="Arial"/>
                <w:sz w:val="18"/>
                <w:szCs w:val="18"/>
                <w:color w:val="0000EE"/>
              </w:rPr>
              <w:t>S-4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r>
      <w:tr>
        <w:trPr>
          <w:trHeight w:val="176"/>
        </w:trPr>
        <w:tc>
          <w:tcPr>
            <w:tcW w:w="4220" w:type="dxa"/>
            <w:vAlign w:val="bottom"/>
            <w:gridSpan w:val="21"/>
            <w:shd w:val="clear" w:color="auto" w:fill="EEEEEE"/>
          </w:tcPr>
          <w:p>
            <w:pPr>
              <w:spacing w:after="0" w:line="176" w:lineRule="exact"/>
              <w:rPr>
                <w:sz w:val="20"/>
                <w:szCs w:val="20"/>
                <w:color w:val="auto"/>
              </w:rPr>
            </w:pPr>
            <w:r>
              <w:rPr>
                <w:rFonts w:ascii="Arial" w:cs="Arial" w:eastAsia="Arial" w:hAnsi="Arial"/>
                <w:sz w:val="18"/>
                <w:szCs w:val="18"/>
                <w:color w:val="0000EE"/>
                <w:w w:val="96"/>
              </w:rPr>
              <w:t>CURRENCY AND EXCHANGE RATE INFORMATION</w:t>
            </w:r>
          </w:p>
        </w:tc>
        <w:tc>
          <w:tcPr>
            <w:tcW w:w="6680" w:type="dxa"/>
            <w:vAlign w:val="bottom"/>
            <w:gridSpan w:val="8"/>
            <w:shd w:val="clear" w:color="auto" w:fill="EEEEEE"/>
          </w:tcPr>
          <w:p>
            <w:pPr>
              <w:spacing w:after="0"/>
              <w:rPr>
                <w:sz w:val="15"/>
                <w:szCs w:val="15"/>
                <w:color w:val="auto"/>
              </w:rPr>
            </w:pP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S-5</w:t>
            </w:r>
          </w:p>
        </w:tc>
      </w:tr>
      <w:tr>
        <w:trPr>
          <w:trHeight w:val="21"/>
        </w:trPr>
        <w:tc>
          <w:tcPr>
            <w:tcW w:w="78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40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6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320" w:type="dxa"/>
            <w:vAlign w:val="bottom"/>
            <w:tcBorders>
              <w:top w:val="single" w:sz="8" w:color="0000EE"/>
            </w:tcBorders>
            <w:shd w:val="clear" w:color="auto" w:fill="EEEEEE"/>
          </w:tcPr>
          <w:p>
            <w:pPr>
              <w:spacing w:after="0" w:line="20" w:lineRule="exact"/>
              <w:rPr>
                <w:sz w:val="1"/>
                <w:szCs w:val="1"/>
                <w:color w:val="auto"/>
              </w:rPr>
            </w:pPr>
          </w:p>
        </w:tc>
        <w:tc>
          <w:tcPr>
            <w:tcW w:w="44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60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43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r>
      <w:tr>
        <w:trPr>
          <w:trHeight w:val="175"/>
        </w:trPr>
        <w:tc>
          <w:tcPr>
            <w:tcW w:w="4220" w:type="dxa"/>
            <w:vAlign w:val="bottom"/>
            <w:gridSpan w:val="21"/>
          </w:tcPr>
          <w:p>
            <w:pPr>
              <w:spacing w:after="0" w:line="176" w:lineRule="exact"/>
              <w:rPr>
                <w:sz w:val="20"/>
                <w:szCs w:val="20"/>
                <w:color w:val="auto"/>
              </w:rPr>
            </w:pPr>
            <w:r>
              <w:rPr>
                <w:rFonts w:ascii="Arial" w:cs="Arial" w:eastAsia="Arial" w:hAnsi="Arial"/>
                <w:sz w:val="18"/>
                <w:szCs w:val="18"/>
                <w:color w:val="0000EE"/>
              </w:rPr>
              <w:t>THE CORPORATION</w:t>
            </w:r>
          </w:p>
        </w:tc>
        <w:tc>
          <w:tcPr>
            <w:tcW w:w="6680" w:type="dxa"/>
            <w:vAlign w:val="bottom"/>
            <w:gridSpan w:val="8"/>
          </w:tcPr>
          <w:p>
            <w:pPr>
              <w:spacing w:after="0"/>
              <w:rPr>
                <w:sz w:val="15"/>
                <w:szCs w:val="15"/>
                <w:color w:val="auto"/>
              </w:rPr>
            </w:pPr>
          </w:p>
        </w:tc>
        <w:tc>
          <w:tcPr>
            <w:tcW w:w="340" w:type="dxa"/>
            <w:vAlign w:val="bottom"/>
            <w:gridSpan w:val="4"/>
          </w:tcPr>
          <w:p>
            <w:pPr>
              <w:jc w:val="right"/>
              <w:spacing w:after="0" w:line="176" w:lineRule="exact"/>
              <w:rPr>
                <w:sz w:val="20"/>
                <w:szCs w:val="20"/>
                <w:color w:val="auto"/>
              </w:rPr>
            </w:pPr>
            <w:r>
              <w:rPr>
                <w:rFonts w:ascii="Arial" w:cs="Arial" w:eastAsia="Arial" w:hAnsi="Arial"/>
                <w:sz w:val="18"/>
                <w:szCs w:val="18"/>
                <w:color w:val="0000EE"/>
              </w:rPr>
              <w:t>S-5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r>
      <w:tr>
        <w:trPr>
          <w:trHeight w:val="196"/>
        </w:trPr>
        <w:tc>
          <w:tcPr>
            <w:tcW w:w="3460" w:type="dxa"/>
            <w:vAlign w:val="bottom"/>
            <w:tcBorders>
              <w:bottom w:val="single" w:sz="8" w:color="0000EE"/>
            </w:tcBorders>
            <w:gridSpan w:val="18"/>
            <w:shd w:val="clear" w:color="auto" w:fill="EEEEEE"/>
          </w:tcPr>
          <w:p>
            <w:pPr>
              <w:spacing w:after="0" w:line="176" w:lineRule="exact"/>
              <w:rPr>
                <w:sz w:val="20"/>
                <w:szCs w:val="20"/>
                <w:color w:val="auto"/>
              </w:rPr>
            </w:pPr>
            <w:r>
              <w:rPr>
                <w:rFonts w:ascii="Arial" w:cs="Arial" w:eastAsia="Arial" w:hAnsi="Arial"/>
                <w:sz w:val="18"/>
                <w:szCs w:val="18"/>
                <w:color w:val="0000EE"/>
                <w:w w:val="95"/>
              </w:rPr>
              <w:t>DESCRIPTION OF THE COMMON SHARES</w:t>
            </w:r>
          </w:p>
        </w:tc>
        <w:tc>
          <w:tcPr>
            <w:tcW w:w="7440" w:type="dxa"/>
            <w:vAlign w:val="bottom"/>
            <w:tcBorders>
              <w:bottom w:val="single" w:sz="8" w:color="EEEEEE"/>
            </w:tcBorders>
            <w:gridSpan w:val="11"/>
            <w:shd w:val="clear" w:color="auto" w:fill="EEEEEE"/>
          </w:tcPr>
          <w:p>
            <w:pPr>
              <w:spacing w:after="0"/>
              <w:rPr>
                <w:sz w:val="17"/>
                <w:szCs w:val="17"/>
                <w:color w:val="auto"/>
              </w:rPr>
            </w:pPr>
          </w:p>
        </w:tc>
        <w:tc>
          <w:tcPr>
            <w:tcW w:w="340" w:type="dxa"/>
            <w:vAlign w:val="bottom"/>
            <w:tcBorders>
              <w:bottom w:val="single" w:sz="8" w:color="0000EE"/>
            </w:tcBorders>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w w:val="84"/>
              </w:rPr>
              <w:t>S-11</w:t>
            </w:r>
          </w:p>
        </w:tc>
      </w:tr>
      <w:tr>
        <w:trPr>
          <w:trHeight w:val="176"/>
        </w:trPr>
        <w:tc>
          <w:tcPr>
            <w:tcW w:w="10900" w:type="dxa"/>
            <w:vAlign w:val="bottom"/>
            <w:gridSpan w:val="29"/>
          </w:tcPr>
          <w:p>
            <w:pPr>
              <w:spacing w:after="0" w:line="176" w:lineRule="exact"/>
              <w:rPr>
                <w:sz w:val="20"/>
                <w:szCs w:val="20"/>
                <w:color w:val="auto"/>
              </w:rPr>
            </w:pPr>
            <w:r>
              <w:rPr>
                <w:rFonts w:ascii="Arial" w:cs="Arial" w:eastAsia="Arial" w:hAnsi="Arial"/>
                <w:sz w:val="18"/>
                <w:szCs w:val="18"/>
                <w:color w:val="0000EE"/>
              </w:rPr>
              <w:t>USE OF PROCEEDS</w:t>
            </w:r>
          </w:p>
        </w:tc>
        <w:tc>
          <w:tcPr>
            <w:tcW w:w="340" w:type="dxa"/>
            <w:vAlign w:val="bottom"/>
            <w:gridSpan w:val="4"/>
          </w:tcPr>
          <w:p>
            <w:pPr>
              <w:jc w:val="right"/>
              <w:spacing w:after="0" w:line="176" w:lineRule="exact"/>
              <w:rPr>
                <w:sz w:val="20"/>
                <w:szCs w:val="20"/>
                <w:color w:val="auto"/>
              </w:rPr>
            </w:pPr>
            <w:r>
              <w:rPr>
                <w:rFonts w:ascii="Arial" w:cs="Arial" w:eastAsia="Arial" w:hAnsi="Arial"/>
                <w:sz w:val="18"/>
                <w:szCs w:val="18"/>
                <w:color w:val="0000EE"/>
                <w:w w:val="84"/>
              </w:rPr>
              <w:t>S-12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r>
      <w:tr>
        <w:trPr>
          <w:trHeight w:val="196"/>
        </w:trPr>
        <w:tc>
          <w:tcPr>
            <w:tcW w:w="2880" w:type="dxa"/>
            <w:vAlign w:val="bottom"/>
            <w:tcBorders>
              <w:bottom w:val="single" w:sz="8" w:color="0000EE"/>
            </w:tcBorders>
            <w:gridSpan w:val="16"/>
            <w:shd w:val="clear" w:color="auto" w:fill="EEEEEE"/>
          </w:tcPr>
          <w:p>
            <w:pPr>
              <w:spacing w:after="0" w:line="176" w:lineRule="exact"/>
              <w:rPr>
                <w:sz w:val="20"/>
                <w:szCs w:val="20"/>
                <w:color w:val="auto"/>
              </w:rPr>
            </w:pPr>
            <w:r>
              <w:rPr>
                <w:rFonts w:ascii="Arial" w:cs="Arial" w:eastAsia="Arial" w:hAnsi="Arial"/>
                <w:sz w:val="18"/>
                <w:szCs w:val="18"/>
                <w:color w:val="0000EE"/>
                <w:w w:val="97"/>
              </w:rPr>
              <w:t>CONSOLIDATED CAPITALIZATION</w:t>
            </w:r>
          </w:p>
        </w:tc>
        <w:tc>
          <w:tcPr>
            <w:tcW w:w="8020" w:type="dxa"/>
            <w:vAlign w:val="bottom"/>
            <w:tcBorders>
              <w:bottom w:val="single" w:sz="8" w:color="EEEEEE"/>
            </w:tcBorders>
            <w:gridSpan w:val="13"/>
            <w:shd w:val="clear" w:color="auto" w:fill="EEEEEE"/>
          </w:tcPr>
          <w:p>
            <w:pPr>
              <w:spacing w:after="0"/>
              <w:rPr>
                <w:sz w:val="17"/>
                <w:szCs w:val="17"/>
                <w:color w:val="auto"/>
              </w:rPr>
            </w:pPr>
          </w:p>
        </w:tc>
        <w:tc>
          <w:tcPr>
            <w:tcW w:w="340" w:type="dxa"/>
            <w:vAlign w:val="bottom"/>
            <w:tcBorders>
              <w:bottom w:val="single" w:sz="8" w:color="0000EE"/>
            </w:tcBorders>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w w:val="84"/>
              </w:rPr>
              <w:t>S-13</w:t>
            </w:r>
          </w:p>
        </w:tc>
      </w:tr>
      <w:tr>
        <w:trPr>
          <w:trHeight w:val="176"/>
        </w:trPr>
        <w:tc>
          <w:tcPr>
            <w:tcW w:w="10900" w:type="dxa"/>
            <w:vAlign w:val="bottom"/>
            <w:gridSpan w:val="29"/>
          </w:tcPr>
          <w:p>
            <w:pPr>
              <w:spacing w:after="0" w:line="176" w:lineRule="exact"/>
              <w:rPr>
                <w:sz w:val="20"/>
                <w:szCs w:val="20"/>
                <w:color w:val="auto"/>
              </w:rPr>
            </w:pPr>
            <w:r>
              <w:rPr>
                <w:rFonts w:ascii="Arial" w:cs="Arial" w:eastAsia="Arial" w:hAnsi="Arial"/>
                <w:sz w:val="18"/>
                <w:szCs w:val="18"/>
                <w:color w:val="0000EE"/>
              </w:rPr>
              <w:t>PLAN OF DISTRIBUTION</w:t>
            </w:r>
          </w:p>
        </w:tc>
        <w:tc>
          <w:tcPr>
            <w:tcW w:w="340" w:type="dxa"/>
            <w:vAlign w:val="bottom"/>
            <w:gridSpan w:val="4"/>
          </w:tcPr>
          <w:p>
            <w:pPr>
              <w:jc w:val="right"/>
              <w:spacing w:after="0" w:line="176" w:lineRule="exact"/>
              <w:rPr>
                <w:sz w:val="20"/>
                <w:szCs w:val="20"/>
                <w:color w:val="auto"/>
              </w:rPr>
            </w:pPr>
            <w:r>
              <w:rPr>
                <w:rFonts w:ascii="Arial" w:cs="Arial" w:eastAsia="Arial" w:hAnsi="Arial"/>
                <w:sz w:val="18"/>
                <w:szCs w:val="18"/>
                <w:color w:val="0000EE"/>
                <w:w w:val="84"/>
              </w:rPr>
              <w:t>S-13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r>
      <w:tr>
        <w:trPr>
          <w:trHeight w:val="196"/>
        </w:trPr>
        <w:tc>
          <w:tcPr>
            <w:tcW w:w="10900" w:type="dxa"/>
            <w:vAlign w:val="bottom"/>
            <w:gridSpan w:val="29"/>
            <w:shd w:val="clear" w:color="auto" w:fill="EEEEEE"/>
          </w:tcPr>
          <w:p>
            <w:pPr>
              <w:spacing w:after="0" w:line="176" w:lineRule="exact"/>
              <w:rPr>
                <w:sz w:val="20"/>
                <w:szCs w:val="20"/>
                <w:color w:val="auto"/>
              </w:rPr>
            </w:pPr>
            <w:r>
              <w:rPr>
                <w:rFonts w:ascii="Arial" w:cs="Arial" w:eastAsia="Arial" w:hAnsi="Arial"/>
                <w:sz w:val="18"/>
                <w:szCs w:val="18"/>
                <w:color w:val="0000EE"/>
              </w:rPr>
              <w:t>TRADING PRICE AND VOLUME</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w w:val="84"/>
              </w:rPr>
              <w:t>S-15</w:t>
            </w:r>
          </w:p>
        </w:tc>
      </w:tr>
      <w:tr>
        <w:trPr>
          <w:trHeight w:val="175"/>
        </w:trPr>
        <w:tc>
          <w:tcPr>
            <w:tcW w:w="2600" w:type="dxa"/>
            <w:vAlign w:val="bottom"/>
            <w:tcBorders>
              <w:top w:val="single" w:sz="8" w:color="0000EE"/>
            </w:tcBorders>
            <w:gridSpan w:val="14"/>
          </w:tcPr>
          <w:p>
            <w:pPr>
              <w:spacing w:after="0" w:line="176" w:lineRule="exact"/>
              <w:rPr>
                <w:sz w:val="20"/>
                <w:szCs w:val="20"/>
                <w:color w:val="auto"/>
              </w:rPr>
            </w:pPr>
            <w:r>
              <w:rPr>
                <w:rFonts w:ascii="Arial" w:cs="Arial" w:eastAsia="Arial" w:hAnsi="Arial"/>
                <w:sz w:val="18"/>
                <w:szCs w:val="18"/>
                <w:color w:val="0000EE"/>
              </w:rPr>
              <w:t>PRIOR SALES</w:t>
            </w:r>
          </w:p>
        </w:tc>
        <w:tc>
          <w:tcPr>
            <w:tcW w:w="8300" w:type="dxa"/>
            <w:vAlign w:val="bottom"/>
            <w:tcBorders>
              <w:top w:val="single" w:sz="8" w:color="EEEEEE"/>
            </w:tcBorders>
            <w:gridSpan w:val="15"/>
          </w:tcPr>
          <w:p>
            <w:pPr>
              <w:spacing w:after="0"/>
              <w:rPr>
                <w:sz w:val="15"/>
                <w:szCs w:val="15"/>
                <w:color w:val="auto"/>
              </w:rPr>
            </w:pPr>
          </w:p>
        </w:tc>
        <w:tc>
          <w:tcPr>
            <w:tcW w:w="340" w:type="dxa"/>
            <w:vAlign w:val="bottom"/>
            <w:tcBorders>
              <w:top w:val="single" w:sz="8" w:color="0000EE"/>
            </w:tcBorders>
            <w:gridSpan w:val="4"/>
          </w:tcPr>
          <w:p>
            <w:pPr>
              <w:jc w:val="right"/>
              <w:spacing w:after="0" w:line="176" w:lineRule="exact"/>
              <w:rPr>
                <w:sz w:val="20"/>
                <w:szCs w:val="20"/>
                <w:color w:val="auto"/>
              </w:rPr>
            </w:pPr>
            <w:r>
              <w:rPr>
                <w:rFonts w:ascii="Arial" w:cs="Arial" w:eastAsia="Arial" w:hAnsi="Arial"/>
                <w:sz w:val="18"/>
                <w:szCs w:val="18"/>
                <w:color w:val="0000EE"/>
                <w:w w:val="84"/>
              </w:rPr>
              <w:t>S-17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r>
      <w:tr>
        <w:trPr>
          <w:trHeight w:val="196"/>
        </w:trPr>
        <w:tc>
          <w:tcPr>
            <w:tcW w:w="1260" w:type="dxa"/>
            <w:vAlign w:val="bottom"/>
            <w:tcBorders>
              <w:bottom w:val="single" w:sz="8" w:color="0000EE"/>
            </w:tcBorders>
            <w:gridSpan w:val="4"/>
            <w:shd w:val="clear" w:color="auto" w:fill="EEEEEE"/>
          </w:tcPr>
          <w:p>
            <w:pPr>
              <w:spacing w:after="0" w:line="176" w:lineRule="exact"/>
              <w:rPr>
                <w:sz w:val="20"/>
                <w:szCs w:val="20"/>
                <w:color w:val="auto"/>
              </w:rPr>
            </w:pPr>
            <w:r>
              <w:rPr>
                <w:rFonts w:ascii="Arial" w:cs="Arial" w:eastAsia="Arial" w:hAnsi="Arial"/>
                <w:sz w:val="18"/>
                <w:szCs w:val="18"/>
                <w:color w:val="0000EE"/>
                <w:w w:val="93"/>
              </w:rPr>
              <w:t>RISK FACTORS</w:t>
            </w:r>
          </w:p>
        </w:tc>
        <w:tc>
          <w:tcPr>
            <w:tcW w:w="9640" w:type="dxa"/>
            <w:vAlign w:val="bottom"/>
            <w:tcBorders>
              <w:bottom w:val="single" w:sz="8" w:color="EEEEEE"/>
            </w:tcBorders>
            <w:gridSpan w:val="25"/>
            <w:shd w:val="clear" w:color="auto" w:fill="EEEEEE"/>
          </w:tcPr>
          <w:p>
            <w:pPr>
              <w:spacing w:after="0"/>
              <w:rPr>
                <w:sz w:val="17"/>
                <w:szCs w:val="17"/>
                <w:color w:val="auto"/>
              </w:rPr>
            </w:pPr>
          </w:p>
        </w:tc>
        <w:tc>
          <w:tcPr>
            <w:tcW w:w="340" w:type="dxa"/>
            <w:vAlign w:val="bottom"/>
            <w:tcBorders>
              <w:bottom w:val="single" w:sz="8" w:color="0000EE"/>
            </w:tcBorders>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w w:val="84"/>
              </w:rPr>
              <w:t>S-20</w:t>
            </w:r>
          </w:p>
        </w:tc>
      </w:tr>
      <w:tr>
        <w:trPr>
          <w:trHeight w:val="176"/>
        </w:trPr>
        <w:tc>
          <w:tcPr>
            <w:tcW w:w="10900" w:type="dxa"/>
            <w:vAlign w:val="bottom"/>
            <w:gridSpan w:val="29"/>
          </w:tcPr>
          <w:p>
            <w:pPr>
              <w:spacing w:after="0" w:line="176" w:lineRule="exact"/>
              <w:rPr>
                <w:sz w:val="20"/>
                <w:szCs w:val="20"/>
                <w:color w:val="auto"/>
              </w:rPr>
            </w:pPr>
            <w:r>
              <w:rPr>
                <w:rFonts w:ascii="Arial" w:cs="Arial" w:eastAsia="Arial" w:hAnsi="Arial"/>
                <w:sz w:val="18"/>
                <w:szCs w:val="18"/>
                <w:color w:val="0000EE"/>
              </w:rPr>
              <w:t>CERTAIN CANADIAN INCOME TAX CONSIDERATIONS</w:t>
            </w:r>
          </w:p>
        </w:tc>
        <w:tc>
          <w:tcPr>
            <w:tcW w:w="340" w:type="dxa"/>
            <w:vAlign w:val="bottom"/>
            <w:gridSpan w:val="4"/>
          </w:tcPr>
          <w:p>
            <w:pPr>
              <w:jc w:val="right"/>
              <w:spacing w:after="0" w:line="176" w:lineRule="exact"/>
              <w:rPr>
                <w:sz w:val="20"/>
                <w:szCs w:val="20"/>
                <w:color w:val="auto"/>
              </w:rPr>
            </w:pPr>
            <w:r>
              <w:rPr>
                <w:rFonts w:ascii="Arial" w:cs="Arial" w:eastAsia="Arial" w:hAnsi="Arial"/>
                <w:sz w:val="18"/>
                <w:szCs w:val="18"/>
                <w:color w:val="0000EE"/>
                <w:w w:val="84"/>
              </w:rPr>
              <w:t>S-22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r>
      <w:tr>
        <w:trPr>
          <w:trHeight w:val="196"/>
        </w:trPr>
        <w:tc>
          <w:tcPr>
            <w:tcW w:w="5740" w:type="dxa"/>
            <w:vAlign w:val="bottom"/>
            <w:tcBorders>
              <w:bottom w:val="single" w:sz="8" w:color="0000EE"/>
            </w:tcBorders>
            <w:gridSpan w:val="26"/>
            <w:shd w:val="clear" w:color="auto" w:fill="EEEEEE"/>
          </w:tcPr>
          <w:p>
            <w:pPr>
              <w:spacing w:after="0" w:line="176" w:lineRule="exact"/>
              <w:rPr>
                <w:sz w:val="20"/>
                <w:szCs w:val="20"/>
                <w:color w:val="auto"/>
              </w:rPr>
            </w:pPr>
            <w:r>
              <w:rPr>
                <w:rFonts w:ascii="Arial" w:cs="Arial" w:eastAsia="Arial" w:hAnsi="Arial"/>
                <w:sz w:val="18"/>
                <w:szCs w:val="18"/>
                <w:color w:val="0000EE"/>
                <w:w w:val="95"/>
              </w:rPr>
              <w:t>CERTAIN UNITED STATES FEDERAL INCOME TAX CONSIDERATIONS</w:t>
            </w:r>
          </w:p>
        </w:tc>
        <w:tc>
          <w:tcPr>
            <w:tcW w:w="5160" w:type="dxa"/>
            <w:vAlign w:val="bottom"/>
            <w:tcBorders>
              <w:bottom w:val="single" w:sz="8" w:color="EEEEEE"/>
            </w:tcBorders>
            <w:gridSpan w:val="3"/>
            <w:shd w:val="clear" w:color="auto" w:fill="EEEEEE"/>
          </w:tcPr>
          <w:p>
            <w:pPr>
              <w:spacing w:after="0"/>
              <w:rPr>
                <w:sz w:val="17"/>
                <w:szCs w:val="17"/>
                <w:color w:val="auto"/>
              </w:rPr>
            </w:pPr>
          </w:p>
        </w:tc>
        <w:tc>
          <w:tcPr>
            <w:tcW w:w="340" w:type="dxa"/>
            <w:vAlign w:val="bottom"/>
            <w:tcBorders>
              <w:bottom w:val="single" w:sz="8" w:color="0000EE"/>
            </w:tcBorders>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w w:val="84"/>
              </w:rPr>
              <w:t>S-24</w:t>
            </w:r>
          </w:p>
        </w:tc>
      </w:tr>
      <w:tr>
        <w:trPr>
          <w:trHeight w:val="175"/>
        </w:trPr>
        <w:tc>
          <w:tcPr>
            <w:tcW w:w="10900" w:type="dxa"/>
            <w:vAlign w:val="bottom"/>
            <w:gridSpan w:val="29"/>
          </w:tcPr>
          <w:p>
            <w:pPr>
              <w:spacing w:after="0" w:line="176" w:lineRule="exact"/>
              <w:rPr>
                <w:sz w:val="20"/>
                <w:szCs w:val="20"/>
                <w:color w:val="auto"/>
              </w:rPr>
            </w:pPr>
            <w:r>
              <w:rPr>
                <w:rFonts w:ascii="Arial" w:cs="Arial" w:eastAsia="Arial" w:hAnsi="Arial"/>
                <w:sz w:val="18"/>
                <w:szCs w:val="18"/>
                <w:color w:val="0000EE"/>
              </w:rPr>
              <w:t>EXPERTS</w:t>
            </w:r>
          </w:p>
        </w:tc>
        <w:tc>
          <w:tcPr>
            <w:tcW w:w="340" w:type="dxa"/>
            <w:vAlign w:val="bottom"/>
            <w:gridSpan w:val="4"/>
          </w:tcPr>
          <w:p>
            <w:pPr>
              <w:jc w:val="right"/>
              <w:spacing w:after="0" w:line="176" w:lineRule="exact"/>
              <w:rPr>
                <w:sz w:val="20"/>
                <w:szCs w:val="20"/>
                <w:color w:val="auto"/>
              </w:rPr>
            </w:pPr>
            <w:r>
              <w:rPr>
                <w:rFonts w:ascii="Arial" w:cs="Arial" w:eastAsia="Arial" w:hAnsi="Arial"/>
                <w:sz w:val="18"/>
                <w:szCs w:val="18"/>
                <w:color w:val="0000EE"/>
                <w:w w:val="84"/>
              </w:rPr>
              <w:t>S-31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r>
      <w:tr>
        <w:trPr>
          <w:trHeight w:val="196"/>
        </w:trPr>
        <w:tc>
          <w:tcPr>
            <w:tcW w:w="4040" w:type="dxa"/>
            <w:vAlign w:val="bottom"/>
            <w:tcBorders>
              <w:bottom w:val="single" w:sz="8" w:color="0000EE"/>
            </w:tcBorders>
            <w:gridSpan w:val="20"/>
            <w:shd w:val="clear" w:color="auto" w:fill="EEEEEE"/>
          </w:tcPr>
          <w:p>
            <w:pPr>
              <w:spacing w:after="0" w:line="176" w:lineRule="exact"/>
              <w:rPr>
                <w:sz w:val="20"/>
                <w:szCs w:val="20"/>
                <w:color w:val="auto"/>
              </w:rPr>
            </w:pPr>
            <w:r>
              <w:rPr>
                <w:rFonts w:ascii="Arial" w:cs="Arial" w:eastAsia="Arial" w:hAnsi="Arial"/>
                <w:sz w:val="18"/>
                <w:szCs w:val="18"/>
                <w:color w:val="0000EE"/>
                <w:w w:val="95"/>
              </w:rPr>
              <w:t>AUDITORS, TRANSFER AGENT AND REGISTRAR</w:t>
            </w:r>
          </w:p>
        </w:tc>
        <w:tc>
          <w:tcPr>
            <w:tcW w:w="6860" w:type="dxa"/>
            <w:vAlign w:val="bottom"/>
            <w:tcBorders>
              <w:bottom w:val="single" w:sz="8" w:color="EEEEEE"/>
            </w:tcBorders>
            <w:gridSpan w:val="9"/>
            <w:shd w:val="clear" w:color="auto" w:fill="EEEEEE"/>
          </w:tcPr>
          <w:p>
            <w:pPr>
              <w:spacing w:after="0"/>
              <w:rPr>
                <w:sz w:val="17"/>
                <w:szCs w:val="17"/>
                <w:color w:val="auto"/>
              </w:rPr>
            </w:pPr>
          </w:p>
        </w:tc>
        <w:tc>
          <w:tcPr>
            <w:tcW w:w="340" w:type="dxa"/>
            <w:vAlign w:val="bottom"/>
            <w:tcBorders>
              <w:bottom w:val="single" w:sz="8" w:color="0000EE"/>
            </w:tcBorders>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w w:val="84"/>
              </w:rPr>
              <w:t>S-31</w:t>
            </w:r>
          </w:p>
        </w:tc>
      </w:tr>
      <w:tr>
        <w:trPr>
          <w:trHeight w:val="176"/>
        </w:trPr>
        <w:tc>
          <w:tcPr>
            <w:tcW w:w="10900" w:type="dxa"/>
            <w:vAlign w:val="bottom"/>
            <w:gridSpan w:val="29"/>
          </w:tcPr>
          <w:p>
            <w:pPr>
              <w:spacing w:after="0" w:line="176" w:lineRule="exact"/>
              <w:rPr>
                <w:sz w:val="20"/>
                <w:szCs w:val="20"/>
                <w:color w:val="auto"/>
              </w:rPr>
            </w:pPr>
            <w:r>
              <w:rPr>
                <w:rFonts w:ascii="Arial" w:cs="Arial" w:eastAsia="Arial" w:hAnsi="Arial"/>
                <w:sz w:val="18"/>
                <w:szCs w:val="18"/>
                <w:color w:val="0000EE"/>
              </w:rPr>
              <w:t>EXEMPTIONS</w:t>
            </w:r>
          </w:p>
        </w:tc>
        <w:tc>
          <w:tcPr>
            <w:tcW w:w="340" w:type="dxa"/>
            <w:vAlign w:val="bottom"/>
            <w:gridSpan w:val="4"/>
          </w:tcPr>
          <w:p>
            <w:pPr>
              <w:jc w:val="right"/>
              <w:spacing w:after="0" w:line="176" w:lineRule="exact"/>
              <w:rPr>
                <w:sz w:val="20"/>
                <w:szCs w:val="20"/>
                <w:color w:val="auto"/>
              </w:rPr>
            </w:pPr>
            <w:r>
              <w:rPr>
                <w:rFonts w:ascii="Arial" w:cs="Arial" w:eastAsia="Arial" w:hAnsi="Arial"/>
                <w:sz w:val="18"/>
                <w:szCs w:val="18"/>
                <w:color w:val="0000EE"/>
                <w:w w:val="84"/>
              </w:rPr>
              <w:t>S-31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r>
      <w:tr>
        <w:trPr>
          <w:trHeight w:val="176"/>
        </w:trPr>
        <w:tc>
          <w:tcPr>
            <w:tcW w:w="10900" w:type="dxa"/>
            <w:vAlign w:val="bottom"/>
            <w:gridSpan w:val="29"/>
            <w:shd w:val="clear" w:color="auto" w:fill="EEEEEE"/>
          </w:tcPr>
          <w:p>
            <w:pPr>
              <w:spacing w:after="0" w:line="176" w:lineRule="exact"/>
              <w:rPr>
                <w:sz w:val="20"/>
                <w:szCs w:val="20"/>
                <w:color w:val="auto"/>
              </w:rPr>
            </w:pPr>
            <w:r>
              <w:rPr>
                <w:rFonts w:ascii="Arial" w:cs="Arial" w:eastAsia="Arial" w:hAnsi="Arial"/>
                <w:sz w:val="18"/>
                <w:szCs w:val="18"/>
                <w:color w:val="0000EE"/>
              </w:rPr>
              <w:t>ADDITIONAL INFORMATION</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w w:val="84"/>
              </w:rPr>
              <w:t>S-31</w:t>
            </w:r>
          </w:p>
        </w:tc>
      </w:tr>
      <w:tr>
        <w:trPr>
          <w:trHeight w:val="20"/>
        </w:trPr>
        <w:tc>
          <w:tcPr>
            <w:tcW w:w="78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40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6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44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60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43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r>
      <w:tr>
        <w:trPr>
          <w:trHeight w:val="176"/>
        </w:trPr>
        <w:tc>
          <w:tcPr>
            <w:tcW w:w="10900" w:type="dxa"/>
            <w:vAlign w:val="bottom"/>
            <w:gridSpan w:val="29"/>
          </w:tcPr>
          <w:p>
            <w:pPr>
              <w:spacing w:after="0" w:line="176" w:lineRule="exact"/>
              <w:rPr>
                <w:sz w:val="20"/>
                <w:szCs w:val="20"/>
                <w:color w:val="auto"/>
              </w:rPr>
            </w:pPr>
            <w:r>
              <w:rPr>
                <w:rFonts w:ascii="Arial" w:cs="Arial" w:eastAsia="Arial" w:hAnsi="Arial"/>
                <w:sz w:val="18"/>
                <w:szCs w:val="18"/>
                <w:color w:val="0000EE"/>
              </w:rPr>
              <w:t>ENFORCEABILITY OF CIVIL LIABILITIES BY U.S. INVESTORS</w:t>
            </w:r>
          </w:p>
        </w:tc>
        <w:tc>
          <w:tcPr>
            <w:tcW w:w="340" w:type="dxa"/>
            <w:vAlign w:val="bottom"/>
            <w:gridSpan w:val="4"/>
          </w:tcPr>
          <w:p>
            <w:pPr>
              <w:jc w:val="right"/>
              <w:spacing w:after="0" w:line="176" w:lineRule="exact"/>
              <w:rPr>
                <w:sz w:val="20"/>
                <w:szCs w:val="20"/>
                <w:color w:val="auto"/>
              </w:rPr>
            </w:pPr>
            <w:r>
              <w:rPr>
                <w:rFonts w:ascii="Arial" w:cs="Arial" w:eastAsia="Arial" w:hAnsi="Arial"/>
                <w:sz w:val="18"/>
                <w:szCs w:val="18"/>
                <w:color w:val="0000EE"/>
                <w:w w:val="84"/>
              </w:rPr>
              <w:t>S-32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r>
      <w:tr>
        <w:trPr>
          <w:trHeight w:val="216"/>
        </w:trPr>
        <w:tc>
          <w:tcPr>
            <w:tcW w:w="7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10900" w:type="dxa"/>
            <w:vAlign w:val="bottom"/>
            <w:gridSpan w:val="29"/>
          </w:tcPr>
          <w:p>
            <w:pPr>
              <w:spacing w:after="0"/>
              <w:rPr>
                <w:sz w:val="20"/>
                <w:szCs w:val="20"/>
                <w:color w:val="auto"/>
              </w:rPr>
            </w:pPr>
            <w:r>
              <w:rPr>
                <w:rFonts w:ascii="Arial" w:cs="Arial" w:eastAsia="Arial" w:hAnsi="Arial"/>
                <w:sz w:val="18"/>
                <w:szCs w:val="18"/>
                <w:b w:val="1"/>
                <w:bCs w:val="1"/>
                <w:color w:val="auto"/>
              </w:rPr>
              <w:t>Base Shelf Prospectus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2"/>
            <w:shd w:val="clear" w:color="auto" w:fill="EEEEEE"/>
          </w:tcPr>
          <w:p>
            <w:pPr>
              <w:spacing w:after="0" w:line="176" w:lineRule="exact"/>
              <w:rPr>
                <w:sz w:val="20"/>
                <w:szCs w:val="20"/>
                <w:color w:val="auto"/>
              </w:rPr>
            </w:pPr>
            <w:r>
              <w:rPr>
                <w:rFonts w:ascii="Arial" w:cs="Arial" w:eastAsia="Arial" w:hAnsi="Arial"/>
                <w:sz w:val="18"/>
                <w:szCs w:val="18"/>
                <w:color w:val="0000EE"/>
                <w:w w:val="93"/>
              </w:rPr>
              <w:t>ABOUT THIS PROSPECTUS</w:t>
            </w:r>
          </w:p>
        </w:tc>
        <w:tc>
          <w:tcPr>
            <w:tcW w:w="8660" w:type="dxa"/>
            <w:vAlign w:val="bottom"/>
            <w:tcBorders>
              <w:bottom w:val="single" w:sz="8" w:color="EEEEEE"/>
            </w:tcBorders>
            <w:gridSpan w:val="17"/>
            <w:shd w:val="clear" w:color="auto" w:fill="EEEEEE"/>
          </w:tcPr>
          <w:p>
            <w:pPr>
              <w:spacing w:after="0"/>
              <w:rPr>
                <w:sz w:val="17"/>
                <w:szCs w:val="17"/>
                <w:color w:val="auto"/>
              </w:rPr>
            </w:pPr>
          </w:p>
        </w:tc>
        <w:tc>
          <w:tcPr>
            <w:tcW w:w="240" w:type="dxa"/>
            <w:vAlign w:val="bottom"/>
            <w:tcBorders>
              <w:bottom w:val="single" w:sz="8" w:color="EEEEEE"/>
            </w:tcBorders>
            <w:gridSpan w:val="3"/>
            <w:shd w:val="clear" w:color="auto" w:fill="EEEEEE"/>
          </w:tcPr>
          <w:p>
            <w:pPr>
              <w:spacing w:after="0"/>
              <w:rPr>
                <w:sz w:val="17"/>
                <w:szCs w:val="17"/>
                <w:color w:val="auto"/>
              </w:rPr>
            </w:pPr>
          </w:p>
        </w:tc>
        <w:tc>
          <w:tcPr>
            <w:tcW w:w="100" w:type="dxa"/>
            <w:vAlign w:val="bottom"/>
            <w:tcBorders>
              <w:bottom w:val="single" w:sz="8" w:color="0000EE"/>
            </w:tcBorders>
            <w:shd w:val="clear" w:color="auto" w:fill="EEEEEE"/>
          </w:tcPr>
          <w:p>
            <w:pPr>
              <w:jc w:val="right"/>
              <w:spacing w:after="0" w:line="176" w:lineRule="exact"/>
              <w:rPr>
                <w:sz w:val="20"/>
                <w:szCs w:val="20"/>
                <w:color w:val="auto"/>
              </w:rPr>
            </w:pPr>
            <w:r>
              <w:rPr>
                <w:rFonts w:ascii="Arial" w:cs="Arial" w:eastAsia="Arial" w:hAnsi="Arial"/>
                <w:sz w:val="18"/>
                <w:szCs w:val="18"/>
                <w:color w:val="0000EE"/>
                <w:w w:val="79"/>
              </w:rPr>
              <w:t>1</w:t>
            </w:r>
          </w:p>
        </w:tc>
      </w:tr>
      <w:tr>
        <w:trPr>
          <w:trHeight w:val="176"/>
        </w:trPr>
        <w:tc>
          <w:tcPr>
            <w:tcW w:w="10900" w:type="dxa"/>
            <w:vAlign w:val="bottom"/>
            <w:gridSpan w:val="29"/>
          </w:tcPr>
          <w:p>
            <w:pPr>
              <w:spacing w:after="0" w:line="176" w:lineRule="exact"/>
              <w:rPr>
                <w:sz w:val="20"/>
                <w:szCs w:val="20"/>
                <w:color w:val="auto"/>
              </w:rPr>
            </w:pPr>
            <w:r>
              <w:rPr>
                <w:rFonts w:ascii="Arial" w:cs="Arial" w:eastAsia="Arial" w:hAnsi="Arial"/>
                <w:sz w:val="18"/>
                <w:szCs w:val="18"/>
                <w:color w:val="0000EE"/>
              </w:rPr>
              <w:t>CAUTION REGARDING FORWARD LOOKING INFORMATION AND STATEMENTS</w:t>
            </w:r>
          </w:p>
        </w:tc>
        <w:tc>
          <w:tcPr>
            <w:tcW w:w="340" w:type="dxa"/>
            <w:vAlign w:val="bottom"/>
            <w:gridSpan w:val="4"/>
          </w:tcPr>
          <w:p>
            <w:pPr>
              <w:jc w:val="right"/>
              <w:spacing w:after="0" w:line="176" w:lineRule="exact"/>
              <w:rPr>
                <w:sz w:val="20"/>
                <w:szCs w:val="20"/>
                <w:color w:val="auto"/>
              </w:rPr>
            </w:pPr>
            <w:r>
              <w:rPr>
                <w:rFonts w:ascii="Arial" w:cs="Arial" w:eastAsia="Arial" w:hAnsi="Arial"/>
                <w:sz w:val="18"/>
                <w:szCs w:val="18"/>
                <w:color w:val="0000EE"/>
              </w:rPr>
              <w:t>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r>
      <w:tr>
        <w:trPr>
          <w:trHeight w:val="176"/>
        </w:trPr>
        <w:tc>
          <w:tcPr>
            <w:tcW w:w="10900" w:type="dxa"/>
            <w:vAlign w:val="bottom"/>
            <w:gridSpan w:val="29"/>
            <w:shd w:val="clear" w:color="auto" w:fill="EEEEEE"/>
          </w:tcPr>
          <w:p>
            <w:pPr>
              <w:spacing w:after="0" w:line="176" w:lineRule="exact"/>
              <w:rPr>
                <w:sz w:val="20"/>
                <w:szCs w:val="20"/>
                <w:color w:val="auto"/>
              </w:rPr>
            </w:pPr>
            <w:r>
              <w:rPr>
                <w:rFonts w:ascii="Arial" w:cs="Arial" w:eastAsia="Arial" w:hAnsi="Arial"/>
                <w:sz w:val="18"/>
                <w:szCs w:val="18"/>
                <w:color w:val="0000EE"/>
              </w:rPr>
              <w:t>EXEMPTION</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4</w:t>
            </w:r>
          </w:p>
        </w:tc>
      </w:tr>
      <w:tr>
        <w:trPr>
          <w:trHeight w:val="20"/>
        </w:trPr>
        <w:tc>
          <w:tcPr>
            <w:tcW w:w="78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44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60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43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r>
      <w:tr>
        <w:trPr>
          <w:trHeight w:val="175"/>
        </w:trPr>
        <w:tc>
          <w:tcPr>
            <w:tcW w:w="10900" w:type="dxa"/>
            <w:vAlign w:val="bottom"/>
            <w:gridSpan w:val="29"/>
          </w:tcPr>
          <w:p>
            <w:pPr>
              <w:spacing w:after="0" w:line="176" w:lineRule="exact"/>
              <w:rPr>
                <w:sz w:val="20"/>
                <w:szCs w:val="20"/>
                <w:color w:val="auto"/>
              </w:rPr>
            </w:pPr>
            <w:r>
              <w:rPr>
                <w:rFonts w:ascii="Arial" w:cs="Arial" w:eastAsia="Arial" w:hAnsi="Arial"/>
                <w:sz w:val="18"/>
                <w:szCs w:val="18"/>
                <w:color w:val="0000EE"/>
              </w:rPr>
              <w:t>TRADEMARKS AND SERVICE MARKS</w:t>
            </w:r>
          </w:p>
        </w:tc>
        <w:tc>
          <w:tcPr>
            <w:tcW w:w="340" w:type="dxa"/>
            <w:vAlign w:val="bottom"/>
            <w:gridSpan w:val="4"/>
          </w:tcPr>
          <w:p>
            <w:pPr>
              <w:jc w:val="right"/>
              <w:spacing w:after="0" w:line="176" w:lineRule="exact"/>
              <w:rPr>
                <w:sz w:val="20"/>
                <w:szCs w:val="20"/>
                <w:color w:val="auto"/>
              </w:rPr>
            </w:pPr>
            <w:r>
              <w:rPr>
                <w:rFonts w:ascii="Arial" w:cs="Arial" w:eastAsia="Arial" w:hAnsi="Arial"/>
                <w:sz w:val="18"/>
                <w:szCs w:val="18"/>
                <w:color w:val="0000EE"/>
              </w:rPr>
              <w:t>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r>
      <w:tr>
        <w:trPr>
          <w:trHeight w:val="176"/>
        </w:trPr>
        <w:tc>
          <w:tcPr>
            <w:tcW w:w="10900" w:type="dxa"/>
            <w:vAlign w:val="bottom"/>
            <w:gridSpan w:val="29"/>
            <w:shd w:val="clear" w:color="auto" w:fill="EEEEEE"/>
          </w:tcPr>
          <w:p>
            <w:pPr>
              <w:spacing w:after="0" w:line="176" w:lineRule="exact"/>
              <w:rPr>
                <w:sz w:val="20"/>
                <w:szCs w:val="20"/>
                <w:color w:val="auto"/>
              </w:rPr>
            </w:pPr>
            <w:r>
              <w:rPr>
                <w:rFonts w:ascii="Arial" w:cs="Arial" w:eastAsia="Arial" w:hAnsi="Arial"/>
                <w:sz w:val="18"/>
                <w:szCs w:val="18"/>
                <w:color w:val="0000EE"/>
              </w:rPr>
              <w:t>MARKETING MATERIALS</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4</w:t>
            </w:r>
          </w:p>
        </w:tc>
      </w:tr>
      <w:tr>
        <w:trPr>
          <w:trHeight w:val="20"/>
        </w:trPr>
        <w:tc>
          <w:tcPr>
            <w:tcW w:w="78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40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44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60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43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r>
      <w:tr>
        <w:trPr>
          <w:trHeight w:val="175"/>
        </w:trPr>
        <w:tc>
          <w:tcPr>
            <w:tcW w:w="10900" w:type="dxa"/>
            <w:vAlign w:val="bottom"/>
            <w:gridSpan w:val="29"/>
          </w:tcPr>
          <w:p>
            <w:pPr>
              <w:spacing w:after="0" w:line="176" w:lineRule="exact"/>
              <w:rPr>
                <w:sz w:val="20"/>
                <w:szCs w:val="20"/>
                <w:color w:val="auto"/>
              </w:rPr>
            </w:pPr>
            <w:r>
              <w:rPr>
                <w:rFonts w:ascii="Arial" w:cs="Arial" w:eastAsia="Arial" w:hAnsi="Arial"/>
                <w:sz w:val="18"/>
                <w:szCs w:val="18"/>
                <w:color w:val="0000EE"/>
              </w:rPr>
              <w:t>MARKET AND INDUSTRY DATA</w:t>
            </w:r>
          </w:p>
        </w:tc>
        <w:tc>
          <w:tcPr>
            <w:tcW w:w="340" w:type="dxa"/>
            <w:vAlign w:val="bottom"/>
            <w:gridSpan w:val="4"/>
          </w:tcPr>
          <w:p>
            <w:pPr>
              <w:jc w:val="right"/>
              <w:spacing w:after="0" w:line="176" w:lineRule="exact"/>
              <w:rPr>
                <w:sz w:val="20"/>
                <w:szCs w:val="20"/>
                <w:color w:val="auto"/>
              </w:rPr>
            </w:pPr>
            <w:r>
              <w:rPr>
                <w:rFonts w:ascii="Arial" w:cs="Arial" w:eastAsia="Arial" w:hAnsi="Arial"/>
                <w:sz w:val="18"/>
                <w:szCs w:val="18"/>
                <w:color w:val="0000EE"/>
              </w:rPr>
              <w:t>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r>
      <w:tr>
        <w:trPr>
          <w:trHeight w:val="196"/>
        </w:trPr>
        <w:tc>
          <w:tcPr>
            <w:tcW w:w="10900" w:type="dxa"/>
            <w:vAlign w:val="bottom"/>
            <w:gridSpan w:val="29"/>
            <w:shd w:val="clear" w:color="auto" w:fill="EEEEEE"/>
          </w:tcPr>
          <w:p>
            <w:pPr>
              <w:spacing w:after="0" w:line="176" w:lineRule="exact"/>
              <w:rPr>
                <w:sz w:val="20"/>
                <w:szCs w:val="20"/>
                <w:color w:val="auto"/>
              </w:rPr>
            </w:pPr>
            <w:r>
              <w:rPr>
                <w:rFonts w:ascii="Arial" w:cs="Arial" w:eastAsia="Arial" w:hAnsi="Arial"/>
                <w:sz w:val="18"/>
                <w:szCs w:val="18"/>
                <w:color w:val="0000EE"/>
              </w:rPr>
              <w:t>DOCUMENTS INCORPORATED BY REFERENCE</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5</w:t>
            </w:r>
          </w:p>
        </w:tc>
      </w:tr>
      <w:tr>
        <w:trPr>
          <w:trHeight w:val="175"/>
        </w:trPr>
        <w:tc>
          <w:tcPr>
            <w:tcW w:w="3900" w:type="dxa"/>
            <w:vAlign w:val="bottom"/>
            <w:tcBorders>
              <w:top w:val="single" w:sz="8" w:color="0000EE"/>
            </w:tcBorders>
            <w:gridSpan w:val="19"/>
          </w:tcPr>
          <w:p>
            <w:pPr>
              <w:spacing w:after="0" w:line="176" w:lineRule="exact"/>
              <w:rPr>
                <w:sz w:val="20"/>
                <w:szCs w:val="20"/>
                <w:color w:val="auto"/>
              </w:rPr>
            </w:pPr>
            <w:r>
              <w:rPr>
                <w:rFonts w:ascii="Arial" w:cs="Arial" w:eastAsia="Arial" w:hAnsi="Arial"/>
                <w:sz w:val="18"/>
                <w:szCs w:val="18"/>
                <w:color w:val="0000EE"/>
              </w:rPr>
              <w:t>THE CORPORATION</w:t>
            </w:r>
          </w:p>
        </w:tc>
        <w:tc>
          <w:tcPr>
            <w:tcW w:w="7000" w:type="dxa"/>
            <w:vAlign w:val="bottom"/>
            <w:tcBorders>
              <w:top w:val="single" w:sz="8" w:color="EEEEEE"/>
            </w:tcBorders>
            <w:gridSpan w:val="10"/>
          </w:tcPr>
          <w:p>
            <w:pPr>
              <w:spacing w:after="0"/>
              <w:rPr>
                <w:sz w:val="15"/>
                <w:szCs w:val="15"/>
                <w:color w:val="auto"/>
              </w:rPr>
            </w:pPr>
          </w:p>
        </w:tc>
        <w:tc>
          <w:tcPr>
            <w:tcW w:w="240" w:type="dxa"/>
            <w:vAlign w:val="bottom"/>
            <w:tcBorders>
              <w:top w:val="single" w:sz="8" w:color="EEEEEE"/>
            </w:tcBorders>
            <w:gridSpan w:val="3"/>
          </w:tcPr>
          <w:p>
            <w:pPr>
              <w:spacing w:after="0"/>
              <w:rPr>
                <w:sz w:val="15"/>
                <w:szCs w:val="15"/>
                <w:color w:val="auto"/>
              </w:rPr>
            </w:pPr>
          </w:p>
        </w:tc>
        <w:tc>
          <w:tcPr>
            <w:tcW w:w="100" w:type="dxa"/>
            <w:vAlign w:val="bottom"/>
            <w:tcBorders>
              <w:top w:val="single" w:sz="8" w:color="0000EE"/>
            </w:tcBorders>
          </w:tcPr>
          <w:p>
            <w:pPr>
              <w:jc w:val="right"/>
              <w:spacing w:after="0" w:line="176" w:lineRule="exact"/>
              <w:rPr>
                <w:sz w:val="20"/>
                <w:szCs w:val="20"/>
                <w:color w:val="auto"/>
              </w:rPr>
            </w:pPr>
            <w:r>
              <w:rPr>
                <w:rFonts w:ascii="Arial" w:cs="Arial" w:eastAsia="Arial" w:hAnsi="Arial"/>
                <w:sz w:val="18"/>
                <w:szCs w:val="18"/>
                <w:color w:val="0000EE"/>
                <w:w w:val="79"/>
              </w:rPr>
              <w:t>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r>
      <w:tr>
        <w:trPr>
          <w:trHeight w:val="196"/>
        </w:trPr>
        <w:tc>
          <w:tcPr>
            <w:tcW w:w="2180" w:type="dxa"/>
            <w:vAlign w:val="bottom"/>
            <w:tcBorders>
              <w:bottom w:val="single" w:sz="8" w:color="0000EE"/>
            </w:tcBorders>
            <w:gridSpan w:val="11"/>
            <w:shd w:val="clear" w:color="auto" w:fill="EEEEEE"/>
          </w:tcPr>
          <w:p>
            <w:pPr>
              <w:spacing w:after="0" w:line="176" w:lineRule="exact"/>
              <w:rPr>
                <w:sz w:val="20"/>
                <w:szCs w:val="20"/>
                <w:color w:val="auto"/>
              </w:rPr>
            </w:pPr>
            <w:r>
              <w:rPr>
                <w:rFonts w:ascii="Arial" w:cs="Arial" w:eastAsia="Arial" w:hAnsi="Arial"/>
                <w:sz w:val="18"/>
                <w:szCs w:val="18"/>
                <w:color w:val="0000EE"/>
                <w:w w:val="95"/>
              </w:rPr>
              <w:t>REGULATORY OVERVIEW</w:t>
            </w:r>
          </w:p>
        </w:tc>
        <w:tc>
          <w:tcPr>
            <w:tcW w:w="8720" w:type="dxa"/>
            <w:vAlign w:val="bottom"/>
            <w:tcBorders>
              <w:bottom w:val="single" w:sz="8" w:color="EEEEEE"/>
            </w:tcBorders>
            <w:gridSpan w:val="18"/>
            <w:shd w:val="clear" w:color="auto" w:fill="EEEEEE"/>
          </w:tcPr>
          <w:p>
            <w:pPr>
              <w:spacing w:after="0"/>
              <w:rPr>
                <w:sz w:val="17"/>
                <w:szCs w:val="17"/>
                <w:color w:val="auto"/>
              </w:rPr>
            </w:pPr>
          </w:p>
        </w:tc>
        <w:tc>
          <w:tcPr>
            <w:tcW w:w="240" w:type="dxa"/>
            <w:vAlign w:val="bottom"/>
            <w:tcBorders>
              <w:bottom w:val="single" w:sz="8" w:color="EEEEEE"/>
            </w:tcBorders>
            <w:gridSpan w:val="3"/>
            <w:shd w:val="clear" w:color="auto" w:fill="EEEEEE"/>
          </w:tcPr>
          <w:p>
            <w:pPr>
              <w:spacing w:after="0"/>
              <w:rPr>
                <w:sz w:val="17"/>
                <w:szCs w:val="17"/>
                <w:color w:val="auto"/>
              </w:rPr>
            </w:pPr>
          </w:p>
        </w:tc>
        <w:tc>
          <w:tcPr>
            <w:tcW w:w="100" w:type="dxa"/>
            <w:vAlign w:val="bottom"/>
            <w:tcBorders>
              <w:bottom w:val="single" w:sz="8" w:color="0000EE"/>
            </w:tcBorders>
            <w:shd w:val="clear" w:color="auto" w:fill="EEEEEE"/>
          </w:tcPr>
          <w:p>
            <w:pPr>
              <w:jc w:val="right"/>
              <w:spacing w:after="0" w:line="176" w:lineRule="exact"/>
              <w:rPr>
                <w:sz w:val="20"/>
                <w:szCs w:val="20"/>
                <w:color w:val="auto"/>
              </w:rPr>
            </w:pPr>
            <w:r>
              <w:rPr>
                <w:rFonts w:ascii="Arial" w:cs="Arial" w:eastAsia="Arial" w:hAnsi="Arial"/>
                <w:sz w:val="18"/>
                <w:szCs w:val="18"/>
                <w:color w:val="0000EE"/>
                <w:w w:val="79"/>
              </w:rPr>
              <w:t>9</w:t>
            </w:r>
          </w:p>
        </w:tc>
      </w:tr>
      <w:tr>
        <w:trPr>
          <w:trHeight w:val="176"/>
        </w:trPr>
        <w:tc>
          <w:tcPr>
            <w:tcW w:w="10900" w:type="dxa"/>
            <w:vAlign w:val="bottom"/>
            <w:gridSpan w:val="29"/>
          </w:tcPr>
          <w:p>
            <w:pPr>
              <w:spacing w:after="0" w:line="176" w:lineRule="exact"/>
              <w:rPr>
                <w:sz w:val="20"/>
                <w:szCs w:val="20"/>
                <w:color w:val="auto"/>
              </w:rPr>
            </w:pPr>
            <w:r>
              <w:rPr>
                <w:rFonts w:ascii="Arial" w:cs="Arial" w:eastAsia="Arial" w:hAnsi="Arial"/>
                <w:sz w:val="18"/>
                <w:szCs w:val="18"/>
                <w:color w:val="0000EE"/>
              </w:rPr>
              <w:t>COMPLIANCE PROGRAM</w:t>
            </w:r>
          </w:p>
        </w:tc>
        <w:tc>
          <w:tcPr>
            <w:tcW w:w="340" w:type="dxa"/>
            <w:vAlign w:val="bottom"/>
            <w:gridSpan w:val="4"/>
          </w:tcPr>
          <w:p>
            <w:pPr>
              <w:jc w:val="right"/>
              <w:spacing w:after="0" w:line="176" w:lineRule="exact"/>
              <w:rPr>
                <w:sz w:val="20"/>
                <w:szCs w:val="20"/>
                <w:color w:val="auto"/>
              </w:rPr>
            </w:pPr>
            <w:r>
              <w:rPr>
                <w:rFonts w:ascii="Arial" w:cs="Arial" w:eastAsia="Arial" w:hAnsi="Arial"/>
                <w:sz w:val="18"/>
                <w:szCs w:val="18"/>
                <w:color w:val="0000EE"/>
              </w:rPr>
              <w:t>23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r>
      <w:tr>
        <w:trPr>
          <w:trHeight w:val="196"/>
        </w:trPr>
        <w:tc>
          <w:tcPr>
            <w:tcW w:w="2880" w:type="dxa"/>
            <w:vAlign w:val="bottom"/>
            <w:tcBorders>
              <w:bottom w:val="single" w:sz="8" w:color="0000EE"/>
            </w:tcBorders>
            <w:gridSpan w:val="16"/>
            <w:shd w:val="clear" w:color="auto" w:fill="EEEEEE"/>
          </w:tcPr>
          <w:p>
            <w:pPr>
              <w:spacing w:after="0" w:line="176" w:lineRule="exact"/>
              <w:rPr>
                <w:sz w:val="20"/>
                <w:szCs w:val="20"/>
                <w:color w:val="auto"/>
              </w:rPr>
            </w:pPr>
            <w:r>
              <w:rPr>
                <w:rFonts w:ascii="Arial" w:cs="Arial" w:eastAsia="Arial" w:hAnsi="Arial"/>
                <w:sz w:val="18"/>
                <w:szCs w:val="18"/>
                <w:color w:val="0000EE"/>
                <w:w w:val="97"/>
              </w:rPr>
              <w:t>CONSOLIDATED CAPITALIZATION</w:t>
            </w:r>
          </w:p>
        </w:tc>
        <w:tc>
          <w:tcPr>
            <w:tcW w:w="8020" w:type="dxa"/>
            <w:vAlign w:val="bottom"/>
            <w:tcBorders>
              <w:bottom w:val="single" w:sz="8" w:color="EEEEEE"/>
            </w:tcBorders>
            <w:gridSpan w:val="13"/>
            <w:shd w:val="clear" w:color="auto" w:fill="EEEEEE"/>
          </w:tcPr>
          <w:p>
            <w:pPr>
              <w:spacing w:after="0"/>
              <w:rPr>
                <w:sz w:val="17"/>
                <w:szCs w:val="17"/>
                <w:color w:val="auto"/>
              </w:rPr>
            </w:pPr>
          </w:p>
        </w:tc>
        <w:tc>
          <w:tcPr>
            <w:tcW w:w="160" w:type="dxa"/>
            <w:vAlign w:val="bottom"/>
            <w:tcBorders>
              <w:bottom w:val="single" w:sz="8" w:color="EEEEEE"/>
            </w:tcBorders>
            <w:gridSpan w:val="2"/>
            <w:shd w:val="clear" w:color="auto" w:fill="EEEEEE"/>
          </w:tcPr>
          <w:p>
            <w:pPr>
              <w:spacing w:after="0"/>
              <w:rPr>
                <w:sz w:val="17"/>
                <w:szCs w:val="17"/>
                <w:color w:val="auto"/>
              </w:rPr>
            </w:pPr>
          </w:p>
        </w:tc>
        <w:tc>
          <w:tcPr>
            <w:tcW w:w="180" w:type="dxa"/>
            <w:vAlign w:val="bottom"/>
            <w:tcBorders>
              <w:bottom w:val="single" w:sz="8" w:color="0000EE"/>
            </w:tcBorders>
            <w:gridSpan w:val="2"/>
            <w:shd w:val="clear" w:color="auto" w:fill="EEEEEE"/>
          </w:tcPr>
          <w:p>
            <w:pPr>
              <w:jc w:val="right"/>
              <w:spacing w:after="0" w:line="176" w:lineRule="exact"/>
              <w:rPr>
                <w:sz w:val="20"/>
                <w:szCs w:val="20"/>
                <w:color w:val="auto"/>
              </w:rPr>
            </w:pPr>
            <w:r>
              <w:rPr>
                <w:rFonts w:ascii="Arial" w:cs="Arial" w:eastAsia="Arial" w:hAnsi="Arial"/>
                <w:sz w:val="18"/>
                <w:szCs w:val="18"/>
                <w:color w:val="0000EE"/>
                <w:w w:val="79"/>
              </w:rPr>
              <w:t>23</w:t>
            </w:r>
          </w:p>
        </w:tc>
      </w:tr>
      <w:tr>
        <w:trPr>
          <w:trHeight w:val="175"/>
        </w:trPr>
        <w:tc>
          <w:tcPr>
            <w:tcW w:w="10900" w:type="dxa"/>
            <w:vAlign w:val="bottom"/>
            <w:gridSpan w:val="29"/>
          </w:tcPr>
          <w:p>
            <w:pPr>
              <w:spacing w:after="0" w:line="176" w:lineRule="exact"/>
              <w:rPr>
                <w:sz w:val="20"/>
                <w:szCs w:val="20"/>
                <w:color w:val="auto"/>
              </w:rPr>
            </w:pPr>
            <w:r>
              <w:rPr>
                <w:rFonts w:ascii="Arial" w:cs="Arial" w:eastAsia="Arial" w:hAnsi="Arial"/>
                <w:sz w:val="18"/>
                <w:szCs w:val="18"/>
                <w:color w:val="0000EE"/>
              </w:rPr>
              <w:t>USE OF PROCEEDS</w:t>
            </w:r>
          </w:p>
        </w:tc>
        <w:tc>
          <w:tcPr>
            <w:tcW w:w="340" w:type="dxa"/>
            <w:vAlign w:val="bottom"/>
            <w:gridSpan w:val="4"/>
          </w:tcPr>
          <w:p>
            <w:pPr>
              <w:jc w:val="right"/>
              <w:spacing w:after="0" w:line="176" w:lineRule="exact"/>
              <w:rPr>
                <w:sz w:val="20"/>
                <w:szCs w:val="20"/>
                <w:color w:val="auto"/>
              </w:rPr>
            </w:pPr>
            <w:r>
              <w:rPr>
                <w:rFonts w:ascii="Arial" w:cs="Arial" w:eastAsia="Arial" w:hAnsi="Arial"/>
                <w:sz w:val="18"/>
                <w:szCs w:val="18"/>
                <w:color w:val="0000EE"/>
              </w:rPr>
              <w:t>24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r>
      <w:tr>
        <w:trPr>
          <w:trHeight w:val="175"/>
        </w:trPr>
        <w:tc>
          <w:tcPr>
            <w:tcW w:w="10900" w:type="dxa"/>
            <w:vAlign w:val="bottom"/>
            <w:gridSpan w:val="29"/>
            <w:shd w:val="clear" w:color="auto" w:fill="EEEEEE"/>
          </w:tcPr>
          <w:p>
            <w:pPr>
              <w:spacing w:after="0" w:line="176" w:lineRule="exact"/>
              <w:rPr>
                <w:sz w:val="20"/>
                <w:szCs w:val="20"/>
                <w:color w:val="auto"/>
              </w:rPr>
            </w:pPr>
            <w:r>
              <w:rPr>
                <w:rFonts w:ascii="Arial" w:cs="Arial" w:eastAsia="Arial" w:hAnsi="Arial"/>
                <w:sz w:val="18"/>
                <w:szCs w:val="18"/>
                <w:color w:val="0000EE"/>
              </w:rPr>
              <w:t>DIVIDEND POLICY</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25</w:t>
            </w:r>
          </w:p>
        </w:tc>
      </w:tr>
      <w:tr>
        <w:trPr>
          <w:trHeight w:val="20"/>
        </w:trPr>
        <w:tc>
          <w:tcPr>
            <w:tcW w:w="78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44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60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43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r>
      <w:tr>
        <w:trPr>
          <w:trHeight w:val="175"/>
        </w:trPr>
        <w:tc>
          <w:tcPr>
            <w:tcW w:w="10900" w:type="dxa"/>
            <w:vAlign w:val="bottom"/>
            <w:gridSpan w:val="29"/>
          </w:tcPr>
          <w:p>
            <w:pPr>
              <w:spacing w:after="0" w:line="176" w:lineRule="exact"/>
              <w:rPr>
                <w:sz w:val="20"/>
                <w:szCs w:val="20"/>
                <w:color w:val="auto"/>
              </w:rPr>
            </w:pPr>
            <w:r>
              <w:rPr>
                <w:rFonts w:ascii="Arial" w:cs="Arial" w:eastAsia="Arial" w:hAnsi="Arial"/>
                <w:sz w:val="18"/>
                <w:szCs w:val="18"/>
                <w:color w:val="0000EE"/>
              </w:rPr>
              <w:t>DESCRIPTION OF SECURITIES BEING DISTRIBUTED</w:t>
            </w:r>
          </w:p>
        </w:tc>
        <w:tc>
          <w:tcPr>
            <w:tcW w:w="340" w:type="dxa"/>
            <w:vAlign w:val="bottom"/>
            <w:gridSpan w:val="4"/>
          </w:tcPr>
          <w:p>
            <w:pPr>
              <w:jc w:val="right"/>
              <w:spacing w:after="0" w:line="176" w:lineRule="exact"/>
              <w:rPr>
                <w:sz w:val="20"/>
                <w:szCs w:val="20"/>
                <w:color w:val="auto"/>
              </w:rPr>
            </w:pPr>
            <w:r>
              <w:rPr>
                <w:rFonts w:ascii="Arial" w:cs="Arial" w:eastAsia="Arial" w:hAnsi="Arial"/>
                <w:sz w:val="18"/>
                <w:szCs w:val="18"/>
                <w:color w:val="0000EE"/>
              </w:rPr>
              <w:t>26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r>
      <w:tr>
        <w:trPr>
          <w:trHeight w:val="196"/>
        </w:trPr>
        <w:tc>
          <w:tcPr>
            <w:tcW w:w="2060" w:type="dxa"/>
            <w:vAlign w:val="bottom"/>
            <w:tcBorders>
              <w:bottom w:val="single" w:sz="8" w:color="0000EE"/>
            </w:tcBorders>
            <w:gridSpan w:val="8"/>
            <w:shd w:val="clear" w:color="auto" w:fill="EEEEEE"/>
          </w:tcPr>
          <w:p>
            <w:pPr>
              <w:spacing w:after="0" w:line="176" w:lineRule="exact"/>
              <w:rPr>
                <w:sz w:val="20"/>
                <w:szCs w:val="20"/>
                <w:color w:val="auto"/>
              </w:rPr>
            </w:pPr>
            <w:r>
              <w:rPr>
                <w:rFonts w:ascii="Arial" w:cs="Arial" w:eastAsia="Arial" w:hAnsi="Arial"/>
                <w:sz w:val="18"/>
                <w:szCs w:val="18"/>
                <w:color w:val="0000EE"/>
                <w:w w:val="97"/>
              </w:rPr>
              <w:t>PLAN OF DISTRIBUTION</w:t>
            </w:r>
          </w:p>
        </w:tc>
        <w:tc>
          <w:tcPr>
            <w:tcW w:w="8840" w:type="dxa"/>
            <w:vAlign w:val="bottom"/>
            <w:tcBorders>
              <w:bottom w:val="single" w:sz="8" w:color="EEEEEE"/>
            </w:tcBorders>
            <w:gridSpan w:val="21"/>
            <w:shd w:val="clear" w:color="auto" w:fill="EEEEEE"/>
          </w:tcPr>
          <w:p>
            <w:pPr>
              <w:spacing w:after="0"/>
              <w:rPr>
                <w:sz w:val="17"/>
                <w:szCs w:val="17"/>
                <w:color w:val="auto"/>
              </w:rPr>
            </w:pPr>
          </w:p>
        </w:tc>
        <w:tc>
          <w:tcPr>
            <w:tcW w:w="160" w:type="dxa"/>
            <w:vAlign w:val="bottom"/>
            <w:tcBorders>
              <w:bottom w:val="single" w:sz="8" w:color="EEEEEE"/>
            </w:tcBorders>
            <w:gridSpan w:val="2"/>
            <w:shd w:val="clear" w:color="auto" w:fill="EEEEEE"/>
          </w:tcPr>
          <w:p>
            <w:pPr>
              <w:spacing w:after="0"/>
              <w:rPr>
                <w:sz w:val="17"/>
                <w:szCs w:val="17"/>
                <w:color w:val="auto"/>
              </w:rPr>
            </w:pPr>
          </w:p>
        </w:tc>
        <w:tc>
          <w:tcPr>
            <w:tcW w:w="180" w:type="dxa"/>
            <w:vAlign w:val="bottom"/>
            <w:tcBorders>
              <w:bottom w:val="single" w:sz="8" w:color="0000EE"/>
            </w:tcBorders>
            <w:gridSpan w:val="2"/>
            <w:shd w:val="clear" w:color="auto" w:fill="EEEEEE"/>
          </w:tcPr>
          <w:p>
            <w:pPr>
              <w:jc w:val="right"/>
              <w:spacing w:after="0" w:line="176" w:lineRule="exact"/>
              <w:rPr>
                <w:sz w:val="20"/>
                <w:szCs w:val="20"/>
                <w:color w:val="auto"/>
              </w:rPr>
            </w:pPr>
            <w:r>
              <w:rPr>
                <w:rFonts w:ascii="Arial" w:cs="Arial" w:eastAsia="Arial" w:hAnsi="Arial"/>
                <w:sz w:val="18"/>
                <w:szCs w:val="18"/>
                <w:color w:val="0000EE"/>
                <w:w w:val="79"/>
              </w:rPr>
              <w:t>30</w:t>
            </w:r>
          </w:p>
        </w:tc>
      </w:tr>
      <w:tr>
        <w:trPr>
          <w:trHeight w:val="175"/>
        </w:trPr>
        <w:tc>
          <w:tcPr>
            <w:tcW w:w="10900" w:type="dxa"/>
            <w:vAlign w:val="bottom"/>
            <w:gridSpan w:val="29"/>
          </w:tcPr>
          <w:p>
            <w:pPr>
              <w:spacing w:after="0" w:line="176" w:lineRule="exact"/>
              <w:rPr>
                <w:sz w:val="20"/>
                <w:szCs w:val="20"/>
                <w:color w:val="auto"/>
              </w:rPr>
            </w:pPr>
            <w:r>
              <w:rPr>
                <w:rFonts w:ascii="Arial" w:cs="Arial" w:eastAsia="Arial" w:hAnsi="Arial"/>
                <w:sz w:val="18"/>
                <w:szCs w:val="18"/>
                <w:color w:val="0000EE"/>
              </w:rPr>
              <w:t>RISK FACTORS</w:t>
            </w:r>
          </w:p>
        </w:tc>
        <w:tc>
          <w:tcPr>
            <w:tcW w:w="340" w:type="dxa"/>
            <w:vAlign w:val="bottom"/>
            <w:gridSpan w:val="4"/>
          </w:tcPr>
          <w:p>
            <w:pPr>
              <w:jc w:val="right"/>
              <w:spacing w:after="0" w:line="176" w:lineRule="exact"/>
              <w:rPr>
                <w:sz w:val="20"/>
                <w:szCs w:val="20"/>
                <w:color w:val="auto"/>
              </w:rPr>
            </w:pPr>
            <w:r>
              <w:rPr>
                <w:rFonts w:ascii="Arial" w:cs="Arial" w:eastAsia="Arial" w:hAnsi="Arial"/>
                <w:sz w:val="18"/>
                <w:szCs w:val="18"/>
                <w:color w:val="0000EE"/>
              </w:rPr>
              <w:t>31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r>
      <w:tr>
        <w:trPr>
          <w:trHeight w:val="196"/>
        </w:trPr>
        <w:tc>
          <w:tcPr>
            <w:tcW w:w="10900" w:type="dxa"/>
            <w:vAlign w:val="bottom"/>
            <w:gridSpan w:val="29"/>
            <w:shd w:val="clear" w:color="auto" w:fill="EEEEEE"/>
          </w:tcPr>
          <w:p>
            <w:pPr>
              <w:spacing w:after="0" w:line="176" w:lineRule="exact"/>
              <w:rPr>
                <w:sz w:val="20"/>
                <w:szCs w:val="20"/>
                <w:color w:val="auto"/>
              </w:rPr>
            </w:pPr>
            <w:r>
              <w:rPr>
                <w:rFonts w:ascii="Arial" w:cs="Arial" w:eastAsia="Arial" w:hAnsi="Arial"/>
                <w:sz w:val="18"/>
                <w:szCs w:val="18"/>
                <w:color w:val="0000EE"/>
              </w:rPr>
              <w:t>CERTAIN FEDERAL INCOME TAX CONSIDERATIONS</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36</w:t>
            </w:r>
          </w:p>
        </w:tc>
      </w:tr>
      <w:tr>
        <w:trPr>
          <w:trHeight w:val="176"/>
        </w:trPr>
        <w:tc>
          <w:tcPr>
            <w:tcW w:w="4340" w:type="dxa"/>
            <w:vAlign w:val="bottom"/>
            <w:tcBorders>
              <w:top w:val="single" w:sz="8" w:color="0000EE"/>
            </w:tcBorders>
            <w:gridSpan w:val="22"/>
          </w:tcPr>
          <w:p>
            <w:pPr>
              <w:spacing w:after="0" w:line="176" w:lineRule="exact"/>
              <w:rPr>
                <w:sz w:val="20"/>
                <w:szCs w:val="20"/>
                <w:color w:val="auto"/>
              </w:rPr>
            </w:pPr>
            <w:r>
              <w:rPr>
                <w:rFonts w:ascii="Arial" w:cs="Arial" w:eastAsia="Arial" w:hAnsi="Arial"/>
                <w:sz w:val="18"/>
                <w:szCs w:val="18"/>
                <w:color w:val="0000EE"/>
              </w:rPr>
              <w:t>LEGAL MATTERS</w:t>
            </w:r>
          </w:p>
        </w:tc>
        <w:tc>
          <w:tcPr>
            <w:tcW w:w="6560" w:type="dxa"/>
            <w:vAlign w:val="bottom"/>
            <w:tcBorders>
              <w:top w:val="single" w:sz="8" w:color="EEEEEE"/>
            </w:tcBorders>
            <w:gridSpan w:val="7"/>
          </w:tcPr>
          <w:p>
            <w:pPr>
              <w:spacing w:after="0"/>
              <w:rPr>
                <w:sz w:val="15"/>
                <w:szCs w:val="15"/>
                <w:color w:val="auto"/>
              </w:rPr>
            </w:pPr>
          </w:p>
        </w:tc>
        <w:tc>
          <w:tcPr>
            <w:tcW w:w="160" w:type="dxa"/>
            <w:vAlign w:val="bottom"/>
            <w:tcBorders>
              <w:top w:val="single" w:sz="8" w:color="EEEEEE"/>
            </w:tcBorders>
            <w:gridSpan w:val="2"/>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sz w:val="20"/>
                <w:szCs w:val="20"/>
                <w:color w:val="auto"/>
              </w:rPr>
            </w:pPr>
            <w:r>
              <w:rPr>
                <w:rFonts w:ascii="Arial" w:cs="Arial" w:eastAsia="Arial" w:hAnsi="Arial"/>
                <w:sz w:val="18"/>
                <w:szCs w:val="18"/>
                <w:color w:val="0000EE"/>
                <w:w w:val="79"/>
              </w:rPr>
              <w:t>36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r>
      <w:tr>
        <w:trPr>
          <w:trHeight w:val="175"/>
        </w:trPr>
        <w:tc>
          <w:tcPr>
            <w:tcW w:w="10900" w:type="dxa"/>
            <w:vAlign w:val="bottom"/>
            <w:gridSpan w:val="29"/>
            <w:shd w:val="clear" w:color="auto" w:fill="EEEEEE"/>
          </w:tcPr>
          <w:p>
            <w:pPr>
              <w:spacing w:after="0" w:line="176" w:lineRule="exact"/>
              <w:rPr>
                <w:sz w:val="20"/>
                <w:szCs w:val="20"/>
                <w:color w:val="auto"/>
              </w:rPr>
            </w:pPr>
            <w:r>
              <w:rPr>
                <w:rFonts w:ascii="Arial" w:cs="Arial" w:eastAsia="Arial" w:hAnsi="Arial"/>
                <w:sz w:val="18"/>
                <w:szCs w:val="18"/>
                <w:color w:val="0000EE"/>
              </w:rPr>
              <w:t>AUDITORS, TRANSFER AGENT AND REGISTRAR</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37</w:t>
            </w:r>
          </w:p>
        </w:tc>
      </w:tr>
      <w:tr>
        <w:trPr>
          <w:trHeight w:val="20"/>
        </w:trPr>
        <w:tc>
          <w:tcPr>
            <w:tcW w:w="78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40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6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320" w:type="dxa"/>
            <w:vAlign w:val="bottom"/>
            <w:tcBorders>
              <w:top w:val="single" w:sz="8" w:color="0000EE"/>
            </w:tcBorders>
            <w:shd w:val="clear" w:color="auto" w:fill="EEEEEE"/>
          </w:tcPr>
          <w:p>
            <w:pPr>
              <w:spacing w:after="0" w:line="20" w:lineRule="exact"/>
              <w:rPr>
                <w:sz w:val="1"/>
                <w:szCs w:val="1"/>
                <w:color w:val="auto"/>
              </w:rPr>
            </w:pPr>
          </w:p>
        </w:tc>
        <w:tc>
          <w:tcPr>
            <w:tcW w:w="44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60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43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ABOUT THIS PROSPECTUS</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This document consists of two parts. The first part is this Prospectus Supplement, which describes certain terms of the Common Shares that the Corporation is offering and also adds to and updates certain information contained in the Base Shelf Prospectus and the documents incorporated by reference therein. The second part, the Base Shelf Prospectus, gives more general information, some of which may not apply to the Common Shares offered hereunder. Defined terms or abbreviations used in this Prospectus Supplement that are not defined herein have the meanings ascribed thereto in the Base Shelf Prospectus. Investors should rely only on the information contained or incorporated by reference in this Prospectus Supplement and the Base Shelf Prospectus. The Corporation has not authorized anyone to provide investors with different or additional information. The Corporation is not making an offer to sell Common Shares in any jurisdiction where the offer or sale is not permitted. Investors should not assume that the information appearing in this Prospectus Supplement, the Base Shelf Prospectus or any documents incorporated by reference herein or therein, is accurate as of any date other than the date indicated in those documents, as the Corporation's business, operating results, financial condition and prospects may have changed since such date. Before you invest, you should carefully read this Prospectus Supplement, the accompanying Base Shelf Prospectus and all information incorporated by reference herein and therein. These documents contain information you should consider when making your investment decision.</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Corporation filed the Base Shelf Prospectus with the securities commissions in all Canadian provinces and territories (the "</w:t>
      </w:r>
      <w:r>
        <w:rPr>
          <w:rFonts w:ascii="Arial" w:cs="Arial" w:eastAsia="Arial" w:hAnsi="Arial"/>
          <w:sz w:val="19"/>
          <w:szCs w:val="19"/>
          <w:b w:val="1"/>
          <w:bCs w:val="1"/>
          <w:color w:val="auto"/>
        </w:rPr>
        <w:t>Canadian Qualifying Jurisdictions</w:t>
      </w:r>
      <w:r>
        <w:rPr>
          <w:rFonts w:ascii="Arial" w:cs="Arial" w:eastAsia="Arial" w:hAnsi="Arial"/>
          <w:sz w:val="19"/>
          <w:szCs w:val="19"/>
          <w:color w:val="auto"/>
        </w:rPr>
        <w:t xml:space="preserve"> ") in order to qualify the offering of the securities described in the Base Shelf Prospectus in accordance with National Instrument 44-102 </w:t>
      </w:r>
      <w:r>
        <w:rPr>
          <w:rFonts w:ascii="Arial" w:cs="Arial" w:eastAsia="Arial" w:hAnsi="Arial"/>
          <w:sz w:val="19"/>
          <w:szCs w:val="19"/>
          <w:i w:val="1"/>
          <w:iCs w:val="1"/>
          <w:color w:val="auto"/>
        </w:rPr>
        <w:t>Shelf Distributions</w:t>
      </w:r>
      <w:r>
        <w:rPr>
          <w:rFonts w:ascii="Arial" w:cs="Arial" w:eastAsia="Arial" w:hAnsi="Arial"/>
          <w:sz w:val="19"/>
          <w:szCs w:val="19"/>
          <w:color w:val="auto"/>
        </w:rPr>
        <w:t xml:space="preserve">. The Ontario Securities Commission issued a receipt dated July 5, 2021 in respect of the final Base Shelf Prospectus as the principal regulatory authority under Multilateral Instrument 11-102 </w:t>
      </w:r>
      <w:r>
        <w:rPr>
          <w:rFonts w:ascii="Arial" w:cs="Arial" w:eastAsia="Arial" w:hAnsi="Arial"/>
          <w:sz w:val="19"/>
          <w:szCs w:val="19"/>
          <w:i w:val="1"/>
          <w:iCs w:val="1"/>
          <w:color w:val="auto"/>
        </w:rPr>
        <w:t>Passport System</w:t>
      </w:r>
      <w:r>
        <w:rPr>
          <w:rFonts w:ascii="Arial" w:cs="Arial" w:eastAsia="Arial" w:hAnsi="Arial"/>
          <w:sz w:val="19"/>
          <w:szCs w:val="19"/>
          <w:color w:val="auto"/>
        </w:rPr>
        <w:t>, and each of the other commissions in the Canadian Qualifying Jurisdictions is deemed to have issued a receipt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under National Policy 11-202 </w:t>
      </w:r>
      <w:r>
        <w:rPr>
          <w:rFonts w:ascii="Arial" w:cs="Arial" w:eastAsia="Arial" w:hAnsi="Arial"/>
          <w:sz w:val="19"/>
          <w:szCs w:val="19"/>
          <w:i w:val="1"/>
          <w:iCs w:val="1"/>
          <w:color w:val="auto"/>
        </w:rPr>
        <w:t>Process for Prospectus Review in Multiple Jurisdictions</w:t>
      </w:r>
      <w:r>
        <w:rPr>
          <w:rFonts w:ascii="Arial" w:cs="Arial" w:eastAsia="Arial" w:hAnsi="Arial"/>
          <w:sz w:val="19"/>
          <w:szCs w:val="19"/>
          <w:color w:val="auto"/>
        </w:rPr>
        <w:t>.</w:t>
      </w:r>
    </w:p>
    <w:p>
      <w:pPr>
        <w:spacing w:after="0" w:line="15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Base Shelf Prospectus also forms part of the Registration Statement on Form F-10 that the Corporation filed with the SEC on October 1, 2021 under the Securities Act utilizing the MJDS. The Registration Statement became effective under the Securities Act on October 8, 2021. The Registration Statement incorporates the Base Shelf Prospectus with certain modifications and deletions permitted by Form F-10. This Prospectus Supplement is being filed by the Corporation with the SEC in accordance with the instructions to Form F-10.</w:t>
      </w:r>
    </w:p>
    <w:p>
      <w:pPr>
        <w:spacing w:after="0" w:line="181"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Unless otherwise indicated or the context otherwise requires, all references in this Prospectus Supplement to "</w:t>
      </w:r>
      <w:r>
        <w:rPr>
          <w:rFonts w:ascii="Arial" w:cs="Arial" w:eastAsia="Arial" w:hAnsi="Arial"/>
          <w:sz w:val="22"/>
          <w:szCs w:val="22"/>
          <w:b w:val="1"/>
          <w:bCs w:val="1"/>
          <w:color w:val="auto"/>
        </w:rPr>
        <w:t>Cybin</w:t>
      </w:r>
      <w:r>
        <w:rPr>
          <w:rFonts w:ascii="Arial" w:cs="Arial" w:eastAsia="Arial" w:hAnsi="Arial"/>
          <w:sz w:val="22"/>
          <w:szCs w:val="22"/>
          <w:color w:val="auto"/>
        </w:rPr>
        <w:t>" or the "</w:t>
      </w:r>
      <w:r>
        <w:rPr>
          <w:rFonts w:ascii="Arial" w:cs="Arial" w:eastAsia="Arial" w:hAnsi="Arial"/>
          <w:sz w:val="22"/>
          <w:szCs w:val="22"/>
          <w:b w:val="1"/>
          <w:bCs w:val="1"/>
          <w:color w:val="auto"/>
        </w:rPr>
        <w:t>Corporation</w:t>
      </w:r>
      <w:r>
        <w:rPr>
          <w:rFonts w:ascii="Arial" w:cs="Arial" w:eastAsia="Arial" w:hAnsi="Arial"/>
          <w:sz w:val="22"/>
          <w:szCs w:val="22"/>
          <w:color w:val="auto"/>
        </w:rPr>
        <w:t>", except as otherwise indicated or as the context otherwise indicates, mean Cybin Inc. and its subsidiaries and associated corporations</w:t>
      </w:r>
      <w:r>
        <w:rPr>
          <w:rFonts w:ascii="Arial" w:cs="Arial" w:eastAsia="Arial" w:hAnsi="Arial"/>
          <w:sz w:val="22"/>
          <w:szCs w:val="22"/>
          <w:i w:val="1"/>
          <w:iCs w:val="1"/>
          <w:color w:val="auto"/>
        </w:rPr>
        <w:t>.</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This Prospectus Supplement is deemed to be incorporated by reference in the Base Shelf Prospectus solely for the purposes of the Offering. Other documents are also incorporated or deemed to be incorporated by reference in this Prospectus Supplement and in the Base Shelf Prospectus. See "</w:t>
      </w:r>
      <w:r>
        <w:rPr>
          <w:rFonts w:ascii="Arial" w:cs="Arial" w:eastAsia="Arial" w:hAnsi="Arial"/>
          <w:sz w:val="22"/>
          <w:szCs w:val="22"/>
          <w:i w:val="1"/>
          <w:iCs w:val="1"/>
          <w:color w:val="auto"/>
        </w:rPr>
        <w:t>Documents Incorporated by Reference</w:t>
      </w:r>
      <w:r>
        <w:rPr>
          <w:rFonts w:ascii="Arial" w:cs="Arial" w:eastAsia="Arial" w:hAnsi="Arial"/>
          <w:sz w:val="22"/>
          <w:szCs w:val="22"/>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CAUTIONARY STATEMENT REGARDING FORWARD-LOOKING INFORMATION</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Certain statements contained in this Prospectus Supplement, and in certain documents incorporated by reference herein, constitute "forward-looking information" and "forward-looking statements," within the meaning of applicable securities laws. All statements other than statements of historical fact, including, without limitation, those regarding the Corporation's future financial position, business strategy, budgets, research and development, plans and objectives of management for future operations, and any statements preceded by, followed by or that include the words "expect," "likely", "may," "will," "should," "intend," or "anticipate," "potential," "proposed," "estimate" and other similar words, including negative and grammatical variations thereof, or statements that certain events or conditions "may" or "will" happen, or by discussions of strategy, are forward-looking statements.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These statements are not historical facts but instead represent only the Corporation's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Additional factors that could cause actual results, performance or achievements to differ materially include, but are not limited to, those discussed under </w:t>
      </w:r>
      <w:r>
        <w:rPr>
          <w:rFonts w:ascii="Arial" w:cs="Arial" w:eastAsia="Arial" w:hAnsi="Arial"/>
          <w:sz w:val="19"/>
          <w:szCs w:val="19"/>
          <w:i w:val="1"/>
          <w:iCs w:val="1"/>
          <w:color w:val="auto"/>
        </w:rPr>
        <w:t>"Risk Factors"</w:t>
      </w:r>
      <w:r>
        <w:rPr>
          <w:rFonts w:ascii="Arial" w:cs="Arial" w:eastAsia="Arial" w:hAnsi="Arial"/>
          <w:sz w:val="19"/>
          <w:szCs w:val="19"/>
          <w:color w:val="auto"/>
        </w:rPr>
        <w:t xml:space="preserve"> in the Annual Information Form (as defined herein) and in this Prospectus Supplement and in other documents incorporated by reference herein.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Prospectus Supplement and in documents incorporated by reference herein are qualified by these cautionary statements and other cautionary statements or factors contained herein, and there can be no assurance that the actual results or developments will be realized or, even if substantially realized, that they will have the expected consequences to, or effects on, the Corporation. These forward-looking statements are made as of the date of this Prospectus Supplement and the Corporation assumes no obligation to update or revise them to reflect subsequent information, events or circumstances or otherwise, except as required by law.</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28" w:right="339" w:bottom="377" w:gutter="0" w:footer="0" w:header="0"/>
        </w:sectPr>
      </w:pPr>
    </w:p>
    <w:bookmarkStart w:id="5" w:name="page6"/>
    <w:bookmarkEnd w:id="5"/>
    <w:p>
      <w:pPr>
        <w:jc w:val="both"/>
        <w:spacing w:after="0" w:line="238" w:lineRule="auto"/>
        <w:rPr>
          <w:sz w:val="20"/>
          <w:szCs w:val="20"/>
          <w:color w:val="auto"/>
        </w:rPr>
      </w:pPr>
      <w:r>
        <w:rPr>
          <w:rFonts w:ascii="Arial" w:cs="Arial" w:eastAsia="Arial" w:hAnsi="Arial"/>
          <w:sz w:val="22"/>
          <w:szCs w:val="22"/>
          <w:color w:val="auto"/>
        </w:rPr>
        <w:t>The forward-looking statements in this Prospectus Supplement and in documents incorporated by reference herein are based on numerous assumptions regarding the Corporation's present and future business strategies and the environment in which the Corporation will operate in the future, including assumptions regarding business and operating strategies, and the Corporation's ability to operate on a profitable basis.</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Some of the risks which could affect future results and could cause results to differ materially from those expressed in the forward-looking statements contained herein include: completion of the Offering and receipt of all regulatory and stock exchange approvals; listing of the Common Shares issuable under the Offering; the net proceeds, if any, from sales under this Prospectus Supplement; the Corporation's use of proceeds and business objectives and milestones and the anticipated timing of execution, see </w:t>
      </w:r>
      <w:r>
        <w:rPr>
          <w:rFonts w:ascii="Arial" w:cs="Arial" w:eastAsia="Arial" w:hAnsi="Arial"/>
          <w:sz w:val="19"/>
          <w:szCs w:val="19"/>
          <w:i w:val="1"/>
          <w:iCs w:val="1"/>
          <w:color w:val="auto"/>
        </w:rPr>
        <w:t>"Use of Proceeds"</w:t>
      </w:r>
      <w:r>
        <w:rPr>
          <w:rFonts w:ascii="Arial" w:cs="Arial" w:eastAsia="Arial" w:hAnsi="Arial"/>
          <w:sz w:val="19"/>
          <w:szCs w:val="19"/>
          <w:color w:val="auto"/>
        </w:rPr>
        <w:t>; effects of the coronavirus "COVID-19"; limited operating history; achieving publicly announced milestones; speculative nature of investment risk; early stage of the industry and product development; regulatory risks and uncertainties; plans for growth; limited products; limited marketing and sales capabilities; no assurance of commercial success; no profits or significant revenues; reliance on third parties for clinical development activities; risks related to third party relationships; reliance on contract manufacturers; safety and efficacy of products; clinical testing and commercializing products; completion of clinical trials; commercial grade product manufacturing; nature of regulatory approvals; unfavourable publicity or consumer perception; social media; biotechnology and pharmaceutical market competition; reliance on key executives and scientists; employee misconduct; business expansion and growth; negative results of external clinical trials or studies; product liability; enforcing contracts; product recalls; distribution and supply chain interruption; difficulty to forecast; promoting the brand; product viability; success of quality control systems; reliance on key inputs; liability arising from fraudulent or illegal activity; operating risk and insurance coverage; costs of operating as public company; management of growth; conflicts of interest; foreign operations; cybersecurity and privacy risk; environmental regulation and risks; decriminalisation of psychedelics; forward-looking statements may prove to be inaccurate; effects of inflation; political and economic conditions; application and interpretation of tax laws; enforcement of civil liabilities; Risks Related to Intellectual Property: trademark protection; trade secrets; patent law reform; patent litigation and intellectual property; protection of intellectual property; third-party licences; Financial and Accounting Risks: substantial number of authorized but unissued Common Shares; dilution; negative cash flow from operating activities; additional capital requirements; lack of significant product revenue; estimates or judgments relating to critical accounting policies; inadequate internal controls; Risks related to the Common Shares: market for the Common Shares; significant sales of Common Shares; volatile market price for the Common Shares; tax issues; no dividends; Risks related to the Offering: an investment in the Common Shares is highly speculative; completion of the Offering; negative operating cash flow and going concern; discretion in the use of proceeds; potential dilution; trading market; significant sales of Common Shares; positive return not guaranteed.</w:t>
      </w:r>
    </w:p>
    <w:p>
      <w:pPr>
        <w:spacing w:after="0" w:line="200" w:lineRule="exact"/>
        <w:rPr>
          <w:sz w:val="20"/>
          <w:szCs w:val="20"/>
          <w:color w:val="auto"/>
        </w:rPr>
      </w:pP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Although the forward-looking statements are based upon what management currently believes to be reasonable assumptions, the Corporation cannot assure prospective investors that actual results, performance or achievements will be consistent with these forward-looking statements. In particular, the Corporation has made assumptions regarding, among other things:</w:t>
      </w:r>
    </w:p>
    <w:p>
      <w:pPr>
        <w:spacing w:after="0" w:line="134" w:lineRule="exact"/>
        <w:rPr>
          <w:sz w:val="20"/>
          <w:szCs w:val="20"/>
          <w:color w:val="auto"/>
        </w:rPr>
      </w:pPr>
    </w:p>
    <w:p>
      <w:pPr>
        <w:ind w:left="660" w:hanging="331"/>
        <w:spacing w:after="0" w:line="239" w:lineRule="auto"/>
        <w:tabs>
          <w:tab w:leader="none" w:pos="684" w:val="left"/>
        </w:tabs>
        <w:numPr>
          <w:ilvl w:val="0"/>
          <w:numId w:val="1"/>
        </w:numPr>
        <w:rPr>
          <w:rFonts w:ascii="Arial" w:cs="Arial" w:eastAsia="Arial" w:hAnsi="Arial"/>
          <w:sz w:val="22"/>
          <w:szCs w:val="22"/>
          <w:color w:val="auto"/>
        </w:rPr>
      </w:pPr>
      <w:r>
        <w:rPr>
          <w:rFonts w:ascii="Arial" w:cs="Arial" w:eastAsia="Arial" w:hAnsi="Arial"/>
          <w:sz w:val="22"/>
          <w:szCs w:val="22"/>
          <w:color w:val="auto"/>
        </w:rPr>
        <w:t>substantial fluctuation of losses from quarter to quarter and year to year due to numerous external risk factors, and anticipation that the Corporation will continue to incur significant losses in the future;</w:t>
      </w:r>
    </w:p>
    <w:p>
      <w:pPr>
        <w:ind w:left="680" w:hanging="351"/>
        <w:spacing w:after="0" w:line="230" w:lineRule="auto"/>
        <w:tabs>
          <w:tab w:leader="none" w:pos="680" w:val="left"/>
        </w:tabs>
        <w:numPr>
          <w:ilvl w:val="0"/>
          <w:numId w:val="1"/>
        </w:numPr>
        <w:rPr>
          <w:rFonts w:ascii="Arial" w:cs="Arial" w:eastAsia="Arial" w:hAnsi="Arial"/>
          <w:sz w:val="22"/>
          <w:szCs w:val="22"/>
          <w:color w:val="auto"/>
        </w:rPr>
      </w:pPr>
      <w:r>
        <w:rPr>
          <w:rFonts w:ascii="Arial" w:cs="Arial" w:eastAsia="Arial" w:hAnsi="Arial"/>
          <w:sz w:val="22"/>
          <w:szCs w:val="22"/>
          <w:color w:val="auto"/>
        </w:rPr>
        <w:t>uncertainty as to the Corporation's ability to raise additional funding to support operations;</w:t>
      </w:r>
    </w:p>
    <w:p>
      <w:pPr>
        <w:ind w:left="680" w:hanging="351"/>
        <w:spacing w:after="0" w:line="230" w:lineRule="auto"/>
        <w:tabs>
          <w:tab w:leader="none" w:pos="680"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Corporation's ability to access additional funding;</w:t>
      </w:r>
    </w:p>
    <w:p>
      <w:pPr>
        <w:ind w:left="680" w:hanging="351"/>
        <w:spacing w:after="0" w:line="230" w:lineRule="auto"/>
        <w:tabs>
          <w:tab w:leader="none" w:pos="680"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fluctuation of foreign exchange rates;</w:t>
      </w:r>
    </w:p>
    <w:p>
      <w:pPr>
        <w:ind w:left="660" w:hanging="331"/>
        <w:spacing w:after="0" w:line="230" w:lineRule="auto"/>
        <w:tabs>
          <w:tab w:leader="none" w:pos="684"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risks associated with the development of the Corporation's product candidates which are at early stages of development;</w:t>
      </w:r>
    </w:p>
    <w:p>
      <w:pPr>
        <w:spacing w:after="0" w:line="1" w:lineRule="exact"/>
        <w:rPr>
          <w:rFonts w:ascii="Arial" w:cs="Arial" w:eastAsia="Arial" w:hAnsi="Arial"/>
          <w:sz w:val="22"/>
          <w:szCs w:val="22"/>
          <w:color w:val="auto"/>
        </w:rPr>
      </w:pPr>
    </w:p>
    <w:p>
      <w:pPr>
        <w:ind w:left="680" w:hanging="351"/>
        <w:spacing w:after="0"/>
        <w:tabs>
          <w:tab w:leader="none" w:pos="680" w:val="left"/>
        </w:tabs>
        <w:numPr>
          <w:ilvl w:val="0"/>
          <w:numId w:val="1"/>
        </w:numPr>
        <w:rPr>
          <w:rFonts w:ascii="Arial" w:cs="Arial" w:eastAsia="Arial" w:hAnsi="Arial"/>
          <w:sz w:val="19"/>
          <w:szCs w:val="19"/>
          <w:color w:val="auto"/>
        </w:rPr>
      </w:pPr>
      <w:r>
        <w:rPr>
          <w:rFonts w:ascii="Arial" w:cs="Arial" w:eastAsia="Arial" w:hAnsi="Arial"/>
          <w:sz w:val="19"/>
          <w:szCs w:val="19"/>
          <w:color w:val="auto"/>
        </w:rPr>
        <w:t>reliance upon industry publications as the Corporation's primary sources for third-party industry data and forecasts;</w:t>
      </w:r>
    </w:p>
    <w:p>
      <w:pPr>
        <w:spacing w:after="0" w:line="24" w:lineRule="exact"/>
        <w:rPr>
          <w:rFonts w:ascii="Arial" w:cs="Arial" w:eastAsia="Arial" w:hAnsi="Arial"/>
          <w:sz w:val="19"/>
          <w:szCs w:val="19"/>
          <w:color w:val="auto"/>
        </w:rPr>
      </w:pPr>
    </w:p>
    <w:p>
      <w:pPr>
        <w:ind w:left="680" w:hanging="351"/>
        <w:spacing w:after="0" w:line="230" w:lineRule="auto"/>
        <w:tabs>
          <w:tab w:leader="none" w:pos="680" w:val="left"/>
        </w:tabs>
        <w:numPr>
          <w:ilvl w:val="0"/>
          <w:numId w:val="1"/>
        </w:numPr>
        <w:rPr>
          <w:rFonts w:ascii="Arial" w:cs="Arial" w:eastAsia="Arial" w:hAnsi="Arial"/>
          <w:sz w:val="22"/>
          <w:szCs w:val="22"/>
          <w:color w:val="auto"/>
        </w:rPr>
      </w:pPr>
      <w:r>
        <w:rPr>
          <w:rFonts w:ascii="Arial" w:cs="Arial" w:eastAsia="Arial" w:hAnsi="Arial"/>
          <w:sz w:val="22"/>
          <w:szCs w:val="22"/>
          <w:color w:val="auto"/>
        </w:rPr>
        <w:t>reliance on third parties to plan, conduct and monitor the Corporation's preclinical studies and clinical trials;</w:t>
      </w:r>
    </w:p>
    <w:p>
      <w:pPr>
        <w:ind w:left="680" w:hanging="351"/>
        <w:spacing w:after="0" w:line="230" w:lineRule="auto"/>
        <w:tabs>
          <w:tab w:leader="none" w:pos="680" w:val="left"/>
        </w:tabs>
        <w:numPr>
          <w:ilvl w:val="0"/>
          <w:numId w:val="1"/>
        </w:numPr>
        <w:rPr>
          <w:rFonts w:ascii="Arial" w:cs="Arial" w:eastAsia="Arial" w:hAnsi="Arial"/>
          <w:sz w:val="22"/>
          <w:szCs w:val="22"/>
          <w:color w:val="auto"/>
        </w:rPr>
      </w:pPr>
      <w:r>
        <w:rPr>
          <w:rFonts w:ascii="Arial" w:cs="Arial" w:eastAsia="Arial" w:hAnsi="Arial"/>
          <w:sz w:val="22"/>
          <w:szCs w:val="22"/>
          <w:color w:val="auto"/>
        </w:rPr>
        <w:t>reliance on third party contract manufacturers to deliver quality clinical and preclinical materials;</w:t>
      </w:r>
    </w:p>
    <w:p>
      <w:pPr>
        <w:ind w:left="660" w:hanging="331"/>
        <w:spacing w:after="0" w:line="236" w:lineRule="auto"/>
        <w:tabs>
          <w:tab w:leader="none" w:pos="684"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Corporation's product candidates may fail to demonstrate safety and efficacy to the satisfaction of regulatory authorities or may not otherwise produce positive results;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 w:name="page7"/>
    <w:bookmarkEnd w:id="6"/>
    <w:p>
      <w:pPr>
        <w:ind w:left="660" w:hanging="331"/>
        <w:spacing w:after="0" w:line="239" w:lineRule="auto"/>
        <w:tabs>
          <w:tab w:leader="none" w:pos="684" w:val="left"/>
        </w:tabs>
        <w:numPr>
          <w:ilvl w:val="0"/>
          <w:numId w:val="2"/>
        </w:numPr>
        <w:rPr>
          <w:rFonts w:ascii="Arial" w:cs="Arial" w:eastAsia="Arial" w:hAnsi="Arial"/>
          <w:sz w:val="22"/>
          <w:szCs w:val="22"/>
          <w:color w:val="auto"/>
        </w:rPr>
      </w:pPr>
      <w:r>
        <w:rPr>
          <w:rFonts w:ascii="Arial" w:cs="Arial" w:eastAsia="Arial" w:hAnsi="Arial"/>
          <w:sz w:val="22"/>
          <w:szCs w:val="22"/>
          <w:color w:val="auto"/>
        </w:rPr>
        <w:t>risks related to filing investigational new drug applications to commence clinical trials and to continue clinical trials if approved;</w:t>
      </w:r>
    </w:p>
    <w:p>
      <w:pPr>
        <w:ind w:left="680" w:hanging="351"/>
        <w:spacing w:after="0" w:line="230" w:lineRule="auto"/>
        <w:tabs>
          <w:tab w:leader="none" w:pos="68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risks of delays and inability to complete clinical trials due to difficulties enrolling patients;</w:t>
      </w:r>
    </w:p>
    <w:p>
      <w:pPr>
        <w:ind w:left="680" w:hanging="351"/>
        <w:spacing w:after="0" w:line="230" w:lineRule="auto"/>
        <w:tabs>
          <w:tab w:leader="none" w:pos="680" w:val="left"/>
        </w:tabs>
        <w:numPr>
          <w:ilvl w:val="0"/>
          <w:numId w:val="2"/>
        </w:numPr>
        <w:rPr>
          <w:rFonts w:ascii="Arial" w:cs="Arial" w:eastAsia="Arial" w:hAnsi="Arial"/>
          <w:sz w:val="22"/>
          <w:szCs w:val="22"/>
          <w:color w:val="auto"/>
        </w:rPr>
      </w:pPr>
      <w:r>
        <w:rPr>
          <w:rFonts w:ascii="Arial" w:cs="Arial" w:eastAsia="Arial" w:hAnsi="Arial"/>
          <w:sz w:val="22"/>
          <w:szCs w:val="22"/>
          <w:color w:val="auto"/>
        </w:rPr>
        <w:t>competition from other biotechnology and pharmaceutical companies;</w:t>
      </w:r>
    </w:p>
    <w:p>
      <w:pPr>
        <w:ind w:left="660" w:hanging="331"/>
        <w:spacing w:after="0" w:line="230" w:lineRule="auto"/>
        <w:tabs>
          <w:tab w:leader="none" w:pos="684"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Corporation's reliance on the capabilities and experience of the Corporation's key executives and scientists and the resulting loss of any of these individuals;</w:t>
      </w:r>
    </w:p>
    <w:p>
      <w:pPr>
        <w:spacing w:after="0" w:line="1" w:lineRule="exact"/>
        <w:rPr>
          <w:rFonts w:ascii="Arial" w:cs="Arial" w:eastAsia="Arial" w:hAnsi="Arial"/>
          <w:sz w:val="22"/>
          <w:szCs w:val="22"/>
          <w:color w:val="auto"/>
        </w:rPr>
      </w:pPr>
    </w:p>
    <w:p>
      <w:pPr>
        <w:ind w:left="680" w:hanging="351"/>
        <w:spacing w:after="0" w:line="230" w:lineRule="auto"/>
        <w:tabs>
          <w:tab w:leader="none" w:pos="68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Corporation's ability to fully realize the benefits of acquisitions;</w:t>
      </w:r>
    </w:p>
    <w:p>
      <w:pPr>
        <w:ind w:left="680" w:hanging="351"/>
        <w:spacing w:after="0" w:line="230" w:lineRule="auto"/>
        <w:tabs>
          <w:tab w:leader="none" w:pos="680" w:val="left"/>
        </w:tabs>
        <w:numPr>
          <w:ilvl w:val="0"/>
          <w:numId w:val="2"/>
        </w:numPr>
        <w:rPr>
          <w:rFonts w:ascii="Arial" w:cs="Arial" w:eastAsia="Arial" w:hAnsi="Arial"/>
          <w:sz w:val="22"/>
          <w:szCs w:val="22"/>
          <w:color w:val="auto"/>
        </w:rPr>
      </w:pPr>
      <w:r>
        <w:rPr>
          <w:rFonts w:ascii="Arial" w:cs="Arial" w:eastAsia="Arial" w:hAnsi="Arial"/>
          <w:sz w:val="22"/>
          <w:szCs w:val="22"/>
          <w:color w:val="auto"/>
        </w:rPr>
        <w:t>COVID-19 and the extent of its economic and social impact;</w:t>
      </w:r>
    </w:p>
    <w:p>
      <w:pPr>
        <w:ind w:left="680" w:hanging="351"/>
        <w:spacing w:after="0" w:line="230" w:lineRule="auto"/>
        <w:tabs>
          <w:tab w:leader="none" w:pos="68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Corporation's ability to adequately protect the Corporation's intellectual property and trade secrets;</w:t>
      </w:r>
    </w:p>
    <w:p>
      <w:pPr>
        <w:ind w:left="680" w:hanging="351"/>
        <w:spacing w:after="0" w:line="230" w:lineRule="auto"/>
        <w:tabs>
          <w:tab w:leader="none" w:pos="68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risk of patent-related or other litigation; and</w:t>
      </w:r>
    </w:p>
    <w:p>
      <w:pPr>
        <w:ind w:left="660" w:hanging="331"/>
        <w:spacing w:after="0" w:line="236" w:lineRule="auto"/>
        <w:tabs>
          <w:tab w:leader="none" w:pos="684"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risk of unforeseen changes to the laws or regulations in the United States, Canada, the United Kingdom, the Netherlands, Ireland and other jurisdictions in which the Corporation operates.</w:t>
      </w:r>
    </w:p>
    <w:p>
      <w:pPr>
        <w:spacing w:after="0" w:line="187"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Drug development involves long lead times, is very expensive and involves many variables of uncertainty. Anticipated timelines regarding drug development are based on reasonable assumptions informed by current knowledge and information available to the Corporation. Every patient treated on future studies can change those assumptions either positively (to indicate a faster timeline to new drug applications and other approvals) or negatively (to indicate a slower timeline to new drug applications and other approvals). This Prospectus Supplement and the documents incorporated by reference herein contain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In addition to the factors set out above and those identified under the heading </w:t>
      </w:r>
      <w:r>
        <w:rPr>
          <w:rFonts w:ascii="Arial" w:cs="Arial" w:eastAsia="Arial" w:hAnsi="Arial"/>
          <w:sz w:val="19"/>
          <w:szCs w:val="19"/>
          <w:i w:val="1"/>
          <w:iCs w:val="1"/>
          <w:color w:val="auto"/>
        </w:rPr>
        <w:t>"Risk Factors"</w:t>
      </w:r>
      <w:r>
        <w:rPr>
          <w:rFonts w:ascii="Arial" w:cs="Arial" w:eastAsia="Arial" w:hAnsi="Arial"/>
          <w:sz w:val="19"/>
          <w:szCs w:val="19"/>
          <w:color w:val="auto"/>
        </w:rPr>
        <w:t xml:space="preserve"> in the Annual Information Form and in this Prospectus Supplement, other factors not currently viewed as material could cause actual results to differ materially from those described in the forward-looking statements. Although the Corporation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4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Many of these factors are beyond the Corporation</w:t>
      </w:r>
      <w:r>
        <w:rPr>
          <w:rFonts w:ascii="Arial" w:cs="Arial" w:eastAsia="Arial" w:hAnsi="Arial"/>
          <w:sz w:val="22"/>
          <w:szCs w:val="22"/>
          <w:color w:val="auto"/>
        </w:rPr>
        <w:t>'</w:t>
      </w:r>
      <w:r>
        <w:rPr>
          <w:rFonts w:ascii="Arial" w:cs="Arial" w:eastAsia="Arial" w:hAnsi="Arial"/>
          <w:sz w:val="22"/>
          <w:szCs w:val="22"/>
          <w:b w:val="1"/>
          <w:bCs w:val="1"/>
          <w:color w:val="auto"/>
        </w:rPr>
        <w:t>s ability to control or predict. These factors are not intended to represent a complete list of the general or specific factors that may affect the Corporation. The Corporation may note additional factors elsewhere in this Prospectus Supplement and in any documents incorporated by reference herein. All forward-looking statements speak only as of the date made. All subsequent written and oral forward-looking statements attributable to the Corporation, or persons acting on the Corporation</w:t>
      </w:r>
      <w:r>
        <w:rPr>
          <w:rFonts w:ascii="Arial" w:cs="Arial" w:eastAsia="Arial" w:hAnsi="Arial"/>
          <w:sz w:val="22"/>
          <w:szCs w:val="22"/>
          <w:color w:val="auto"/>
        </w:rPr>
        <w:t>'</w:t>
      </w:r>
      <w:r>
        <w:rPr>
          <w:rFonts w:ascii="Arial" w:cs="Arial" w:eastAsia="Arial" w:hAnsi="Arial"/>
          <w:sz w:val="22"/>
          <w:szCs w:val="22"/>
          <w:b w:val="1"/>
          <w:bCs w:val="1"/>
          <w:color w:val="auto"/>
        </w:rPr>
        <w:t>s behalf, are expressly qualified in their entirety by the cautionary statements. Except as required by law, the Corporation undertakes no obligation to update any forward-looking statement</w:t>
      </w:r>
      <w:r>
        <w:rPr>
          <w:rFonts w:ascii="Arial" w:cs="Arial" w:eastAsia="Arial" w:hAnsi="Arial"/>
          <w:sz w:val="22"/>
          <w:szCs w:val="22"/>
          <w:color w:val="auto"/>
        </w:rPr>
        <w:t>.</w:t>
      </w:r>
    </w:p>
    <w:p>
      <w:pPr>
        <w:spacing w:after="0" w:line="183" w:lineRule="exact"/>
        <w:rPr>
          <w:sz w:val="20"/>
          <w:szCs w:val="20"/>
          <w:color w:val="auto"/>
        </w:rPr>
      </w:pPr>
    </w:p>
    <w:p>
      <w:pPr>
        <w:jc w:val="both"/>
        <w:spacing w:after="0" w:line="251" w:lineRule="auto"/>
        <w:rPr>
          <w:sz w:val="20"/>
          <w:szCs w:val="20"/>
          <w:color w:val="auto"/>
        </w:rPr>
      </w:pPr>
      <w:r>
        <w:rPr>
          <w:rFonts w:ascii="Arial" w:cs="Arial" w:eastAsia="Arial" w:hAnsi="Arial"/>
          <w:sz w:val="21"/>
          <w:szCs w:val="21"/>
          <w:b w:val="1"/>
          <w:bCs w:val="1"/>
          <w:color w:val="auto"/>
        </w:rPr>
        <w:t xml:space="preserve">The forward-looking statements contained in this Prospectus Supplement and the documents incorporated by reference herein are expressly qualified in their entirety by the foregoing cautionary statement. </w:t>
      </w:r>
      <w:r>
        <w:rPr>
          <w:rFonts w:ascii="Arial" w:cs="Arial" w:eastAsia="Arial" w:hAnsi="Arial"/>
          <w:sz w:val="21"/>
          <w:szCs w:val="21"/>
          <w:color w:val="auto"/>
        </w:rPr>
        <w:t>Investors should read this entire</w:t>
      </w:r>
      <w:r>
        <w:rPr>
          <w:rFonts w:ascii="Arial" w:cs="Arial" w:eastAsia="Arial" w:hAnsi="Arial"/>
          <w:sz w:val="21"/>
          <w:szCs w:val="21"/>
          <w:b w:val="1"/>
          <w:bCs w:val="1"/>
          <w:color w:val="auto"/>
        </w:rPr>
        <w:t xml:space="preserve"> </w:t>
      </w:r>
      <w:r>
        <w:rPr>
          <w:rFonts w:ascii="Arial" w:cs="Arial" w:eastAsia="Arial" w:hAnsi="Arial"/>
          <w:sz w:val="21"/>
          <w:szCs w:val="21"/>
          <w:color w:val="auto"/>
        </w:rPr>
        <w:t>Prospectus, including the Annual Information Form, the documents incorporated by reference herein, and each applicable Prospectus Supplement, and consult their own professional advisers to ascertain and assess the income tax and legal risks and other aspects associated with holding ssecurities of the Corporation.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DOCUMENTS INCORPORATED BY REFERENCE</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This Prospectus Supplement is deemed to be incorporated by reference in the Base Shelf Prospectus solely for the purpose of the Offering.</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color w:val="auto"/>
        </w:rPr>
        <w:t>As at the date hereof, the following documents of the Corporation filed with the securities commissions or similar authorities in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Canada are incorporated by reference in this Prospectus Supplement:</w:t>
      </w:r>
    </w:p>
    <w:p>
      <w:pPr>
        <w:spacing w:after="0" w:line="182" w:lineRule="exact"/>
        <w:rPr>
          <w:sz w:val="20"/>
          <w:szCs w:val="20"/>
          <w:color w:val="auto"/>
        </w:rPr>
      </w:pPr>
    </w:p>
    <w:p>
      <w:pPr>
        <w:ind w:left="520" w:hanging="256"/>
        <w:spacing w:after="0" w:line="256" w:lineRule="auto"/>
        <w:tabs>
          <w:tab w:leader="none" w:pos="546" w:val="left"/>
        </w:tabs>
        <w:numPr>
          <w:ilvl w:val="0"/>
          <w:numId w:val="3"/>
        </w:numPr>
        <w:rPr>
          <w:rFonts w:ascii="Arial" w:cs="Arial" w:eastAsia="Arial" w:hAnsi="Arial"/>
          <w:sz w:val="22"/>
          <w:szCs w:val="22"/>
          <w:color w:val="auto"/>
        </w:rPr>
      </w:pPr>
      <w:r>
        <w:rPr>
          <w:rFonts w:ascii="Arial" w:cs="Arial" w:eastAsia="Arial" w:hAnsi="Arial"/>
          <w:sz w:val="22"/>
          <w:szCs w:val="22"/>
          <w:color w:val="auto"/>
        </w:rPr>
        <w:t>annual information form of the Corporation dated June 20, 2022 (the "</w:t>
      </w:r>
      <w:r>
        <w:rPr>
          <w:rFonts w:ascii="Arial" w:cs="Arial" w:eastAsia="Arial" w:hAnsi="Arial"/>
          <w:sz w:val="22"/>
          <w:szCs w:val="22"/>
          <w:b w:val="1"/>
          <w:bCs w:val="1"/>
          <w:color w:val="auto"/>
        </w:rPr>
        <w:t>Annual Information Form</w:t>
      </w:r>
      <w:r>
        <w:rPr>
          <w:rFonts w:ascii="Arial" w:cs="Arial" w:eastAsia="Arial" w:hAnsi="Arial"/>
          <w:sz w:val="22"/>
          <w:szCs w:val="22"/>
          <w:color w:val="auto"/>
        </w:rPr>
        <w:t>") for the year ended March 31, 2022;</w:t>
      </w:r>
    </w:p>
    <w:p>
      <w:pPr>
        <w:spacing w:after="0" w:line="168" w:lineRule="exact"/>
        <w:rPr>
          <w:rFonts w:ascii="Arial" w:cs="Arial" w:eastAsia="Arial" w:hAnsi="Arial"/>
          <w:sz w:val="22"/>
          <w:szCs w:val="22"/>
          <w:color w:val="auto"/>
        </w:rPr>
      </w:pPr>
    </w:p>
    <w:p>
      <w:pPr>
        <w:ind w:left="520" w:hanging="256"/>
        <w:spacing w:after="0" w:line="250" w:lineRule="auto"/>
        <w:tabs>
          <w:tab w:leader="none" w:pos="546"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audited consolidated financial statements of the Corporation and the notes thereto as at and for the fiscal year ended March 31, 2022, together with the auditor's report thereon;</w:t>
      </w:r>
    </w:p>
    <w:p>
      <w:pPr>
        <w:spacing w:after="0" w:line="174" w:lineRule="exact"/>
        <w:rPr>
          <w:rFonts w:ascii="Arial" w:cs="Arial" w:eastAsia="Arial" w:hAnsi="Arial"/>
          <w:sz w:val="22"/>
          <w:szCs w:val="22"/>
          <w:color w:val="auto"/>
        </w:rPr>
      </w:pPr>
    </w:p>
    <w:p>
      <w:pPr>
        <w:ind w:left="540" w:hanging="276"/>
        <w:spacing w:after="0"/>
        <w:tabs>
          <w:tab w:leader="none" w:pos="540" w:val="left"/>
        </w:tabs>
        <w:numPr>
          <w:ilvl w:val="0"/>
          <w:numId w:val="3"/>
        </w:numPr>
        <w:rPr>
          <w:rFonts w:ascii="Arial" w:cs="Arial" w:eastAsia="Arial" w:hAnsi="Arial"/>
          <w:sz w:val="22"/>
          <w:szCs w:val="22"/>
          <w:color w:val="auto"/>
        </w:rPr>
      </w:pPr>
      <w:r>
        <w:rPr>
          <w:rFonts w:ascii="Arial" w:cs="Arial" w:eastAsia="Arial" w:hAnsi="Arial"/>
          <w:sz w:val="22"/>
          <w:szCs w:val="22"/>
          <w:color w:val="auto"/>
        </w:rPr>
        <w:t>management's discussion and analysis of the Corporation for the year ended March 31, 2022;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 w:name="page8"/>
    <w:bookmarkEnd w:id="7"/>
    <w:p>
      <w:pPr>
        <w:ind w:left="520" w:hanging="256"/>
        <w:spacing w:after="0" w:line="250" w:lineRule="auto"/>
        <w:tabs>
          <w:tab w:leader="none" w:pos="564"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unaudited interim condensed consolidated financial statements of the Corporation and the notes thereto for the three and nine months ended December 31, 2022 (the "</w:t>
      </w:r>
      <w:r>
        <w:rPr>
          <w:rFonts w:ascii="Arial" w:cs="Arial" w:eastAsia="Arial" w:hAnsi="Arial"/>
          <w:sz w:val="22"/>
          <w:szCs w:val="22"/>
          <w:b w:val="1"/>
          <w:bCs w:val="1"/>
          <w:color w:val="auto"/>
        </w:rPr>
        <w:t>Interim Financial Statements</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520" w:hanging="256"/>
        <w:spacing w:after="0" w:line="250" w:lineRule="auto"/>
        <w:tabs>
          <w:tab w:leader="none" w:pos="564" w:val="left"/>
        </w:tabs>
        <w:numPr>
          <w:ilvl w:val="0"/>
          <w:numId w:val="4"/>
        </w:numPr>
        <w:rPr>
          <w:rFonts w:ascii="Arial" w:cs="Arial" w:eastAsia="Arial" w:hAnsi="Arial"/>
          <w:sz w:val="22"/>
          <w:szCs w:val="22"/>
          <w:color w:val="auto"/>
        </w:rPr>
      </w:pPr>
      <w:r>
        <w:rPr>
          <w:rFonts w:ascii="Arial" w:cs="Arial" w:eastAsia="Arial" w:hAnsi="Arial"/>
          <w:sz w:val="22"/>
          <w:szCs w:val="22"/>
          <w:color w:val="auto"/>
        </w:rPr>
        <w:t>management's discussion and analysis of the Corporation for the three and nine months ended December 31, 2022 (the "</w:t>
      </w:r>
      <w:r>
        <w:rPr>
          <w:rFonts w:ascii="Arial" w:cs="Arial" w:eastAsia="Arial" w:hAnsi="Arial"/>
          <w:sz w:val="22"/>
          <w:szCs w:val="22"/>
          <w:b w:val="1"/>
          <w:bCs w:val="1"/>
          <w:color w:val="auto"/>
        </w:rPr>
        <w:t>Interim MD&amp;A</w:t>
      </w:r>
      <w:r>
        <w:rPr>
          <w:rFonts w:ascii="Arial" w:cs="Arial" w:eastAsia="Arial" w:hAnsi="Arial"/>
          <w:sz w:val="22"/>
          <w:szCs w:val="22"/>
          <w:color w:val="auto"/>
        </w:rPr>
        <w:t>"); and</w:t>
      </w:r>
    </w:p>
    <w:p>
      <w:pPr>
        <w:spacing w:after="0" w:line="174" w:lineRule="exact"/>
        <w:rPr>
          <w:rFonts w:ascii="Arial" w:cs="Arial" w:eastAsia="Arial" w:hAnsi="Arial"/>
          <w:sz w:val="22"/>
          <w:szCs w:val="22"/>
          <w:color w:val="auto"/>
        </w:rPr>
      </w:pPr>
    </w:p>
    <w:p>
      <w:pPr>
        <w:ind w:left="520" w:hanging="256"/>
        <w:spacing w:after="0" w:line="250" w:lineRule="auto"/>
        <w:tabs>
          <w:tab w:leader="none" w:pos="564" w:val="left"/>
        </w:tabs>
        <w:numPr>
          <w:ilvl w:val="0"/>
          <w:numId w:val="4"/>
        </w:numPr>
        <w:rPr>
          <w:rFonts w:ascii="Arial" w:cs="Arial" w:eastAsia="Arial" w:hAnsi="Arial"/>
          <w:sz w:val="22"/>
          <w:szCs w:val="22"/>
          <w:color w:val="auto"/>
        </w:rPr>
      </w:pPr>
      <w:r>
        <w:rPr>
          <w:rFonts w:ascii="Arial" w:cs="Arial" w:eastAsia="Arial" w:hAnsi="Arial"/>
          <w:sz w:val="22"/>
          <w:szCs w:val="22"/>
          <w:color w:val="auto"/>
        </w:rPr>
        <w:t>management information circular of the Corporation dated July 13, 2022 relating to an annual meeting of shareholders of the Corporation held on August 15, 2022.</w:t>
      </w:r>
    </w:p>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Any document of the type referred to in Section 11.1 of Form 44-101F1 - </w:t>
      </w:r>
      <w:r>
        <w:rPr>
          <w:rFonts w:ascii="Arial" w:cs="Arial" w:eastAsia="Arial" w:hAnsi="Arial"/>
          <w:sz w:val="22"/>
          <w:szCs w:val="22"/>
          <w:i w:val="1"/>
          <w:iCs w:val="1"/>
          <w:color w:val="auto"/>
        </w:rPr>
        <w:t>Short Form Prospectus Distributions</w:t>
      </w:r>
      <w:r>
        <w:rPr>
          <w:rFonts w:ascii="Arial" w:cs="Arial" w:eastAsia="Arial" w:hAnsi="Arial"/>
          <w:sz w:val="22"/>
          <w:szCs w:val="22"/>
          <w:color w:val="auto"/>
        </w:rPr>
        <w:t xml:space="preserve"> filed by the Corporation with a securities commission or similar regulatory authority in Canada subsequent to the date of this Prospectus Supplement and prior to the termination of this distribution shall be deemed to be incorporated by reference in the Prospectus Supplement for the purposes of the Offering.</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In addition, to the extent any such document is included in any report on Form 6-K furnished to the SEC or in any report on Form 40-F or 20-F (or any respective successor form) filed with the SEC subsequent to the date of this Prospectus Supplement, such document shall be deemed to be incorporated by reference as exhibits to the Registration Statement of which this Prospectus Supplement forms a part (in the case of any report on Form 6-K, if and to the extent expressly set forth in such report). In addition, any other report on Form 6-K and the exhibits thereto filed or furnished by the Corporation with the SEC, and any other reports filed, under the United States Securities Exchange Act of 1934, 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from the date of this Prospectus Supplement shall be deemed to be incorporated by reference as exhibits to the Registration Statement of which this Prospectus Supplement forms a part, but only if and to the extent expressly so provided in any such report.</w:t>
      </w:r>
    </w:p>
    <w:p>
      <w:pPr>
        <w:spacing w:after="0" w:line="157"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Copies of the documents incorporated by reference herein will be available electronically on the Corporation's SEDAR profile, which can be accessed at </w:t>
      </w:r>
      <w:r>
        <w:rPr>
          <w:rFonts w:ascii="Arial" w:cs="Arial" w:eastAsia="Arial" w:hAnsi="Arial"/>
          <w:sz w:val="19"/>
          <w:szCs w:val="19"/>
          <w:u w:val="single" w:color="auto"/>
          <w:color w:val="0563C1"/>
        </w:rPr>
        <w:t>www.sedar.com</w:t>
      </w:r>
      <w:r>
        <w:rPr>
          <w:rFonts w:ascii="Arial" w:cs="Arial" w:eastAsia="Arial" w:hAnsi="Arial"/>
          <w:sz w:val="19"/>
          <w:szCs w:val="19"/>
          <w:color w:val="auto"/>
        </w:rPr>
        <w:t xml:space="preserve">, and from the Corporation's EDGAR profile at </w:t>
      </w:r>
      <w:r>
        <w:rPr>
          <w:rFonts w:ascii="Arial" w:cs="Arial" w:eastAsia="Arial" w:hAnsi="Arial"/>
          <w:sz w:val="19"/>
          <w:szCs w:val="19"/>
          <w:u w:val="single" w:color="auto"/>
          <w:color w:val="0563C1"/>
        </w:rPr>
        <w:t>www.sec.gov</w:t>
      </w:r>
      <w:r>
        <w:rPr>
          <w:rFonts w:ascii="Arial" w:cs="Arial" w:eastAsia="Arial" w:hAnsi="Arial"/>
          <w:sz w:val="19"/>
          <w:szCs w:val="19"/>
          <w:color w:val="auto"/>
        </w:rPr>
        <w:t>. The Corporation's filings through SEDAR and EDGAR are not incorporated by reference in the Prospectus except as specifically set out herein.</w:t>
      </w:r>
    </w:p>
    <w:p>
      <w:pPr>
        <w:spacing w:after="0" w:line="128" w:lineRule="exact"/>
        <w:rPr>
          <w:sz w:val="20"/>
          <w:szCs w:val="20"/>
          <w:color w:val="auto"/>
        </w:rPr>
      </w:pPr>
    </w:p>
    <w:p>
      <w:pPr>
        <w:jc w:val="both"/>
        <w:spacing w:after="0" w:line="274" w:lineRule="auto"/>
        <w:rPr>
          <w:sz w:val="20"/>
          <w:szCs w:val="20"/>
          <w:color w:val="auto"/>
        </w:rPr>
      </w:pPr>
      <w:r>
        <w:rPr>
          <w:rFonts w:ascii="Arial" w:cs="Arial" w:eastAsia="Arial" w:hAnsi="Arial"/>
          <w:sz w:val="19"/>
          <w:szCs w:val="19"/>
          <w:b w:val="1"/>
          <w:bCs w:val="1"/>
          <w:color w:val="auto"/>
        </w:rPr>
        <w:t>Any statement contained in this Prospectus Supplement or in a document incorporated or deemed to be incorporated by reference herein shall be deemed to be modified or superseded for the purposes of the Offering to the extent that a statement contained herein or in any subsequently filed document which also is or is deemed to be incorporated by reference in this Prospectus Supplement or Base Shelf Prospectus modifies or supersedes that statement. Any statement so modified or superseded shall not constitute a part of this Prospectus Supplement except as so modified or superseded. The modifying or superseding statement need not state that it has modified or superseded a prior statement or include any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DOCUMENTS FILED AS PART OF THE REGISTRATION STATEMENT</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following documents have been or will be filed with the SEC as part of Registration Statement: (i) the documents set out under the heading "Documents Incorporated by Reference" in this Prospectus Supplement and the Base Shelf Prospectus; (ii) the consents of the Corporation's auditor and legal counsels; (iii) powers of attorney from certain of the Corporation's directors and officers (included on the signature page of the Registration Statement); and (iv) the Purchase Agreement described in this Prospectus Supplement.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CURRENCY AND EXCHANGE RATE INFORMATION</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this Prospectus Supplement, unless otherwise indicated, all dollar amounts and references to "US$" are to U.S. dollars and references to "$" are to Canadian dollars. This Prospectus Supplement contains translations of some Canadian dollar amounts into U.S. dollars solely for your convenience.</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table sets forth, for the periods indicated, the high, low, average and period-end rates of exchange for US$1.00, expressed in Canadian dollars, posted by the Bank of Canada:</w:t>
      </w:r>
    </w:p>
    <w:p>
      <w:pPr>
        <w:spacing w:after="0" w:line="178" w:lineRule="exact"/>
        <w:rPr>
          <w:sz w:val="20"/>
          <w:szCs w:val="20"/>
          <w:color w:val="auto"/>
        </w:rPr>
      </w:pPr>
    </w:p>
    <w:tbl>
      <w:tblPr>
        <w:tblLayout w:type="fixed"/>
        <w:tblInd w:w="224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89"/>
              </w:rPr>
              <w:t>Year Ended December 31,</w:t>
            </w:r>
          </w:p>
        </w:tc>
      </w:tr>
      <w:tr>
        <w:trPr>
          <w:trHeight w:val="234"/>
        </w:trPr>
        <w:tc>
          <w:tcPr>
            <w:tcW w:w="462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r>
      <w:tr>
        <w:trPr>
          <w:trHeight w:val="210"/>
        </w:trPr>
        <w:tc>
          <w:tcPr>
            <w:tcW w:w="4620" w:type="dxa"/>
            <w:vAlign w:val="bottom"/>
            <w:shd w:val="clear" w:color="auto" w:fill="E6EFFF"/>
          </w:tcPr>
          <w:p>
            <w:pPr>
              <w:ind w:left="40"/>
              <w:spacing w:after="0"/>
              <w:rPr>
                <w:sz w:val="20"/>
                <w:szCs w:val="20"/>
                <w:color w:val="auto"/>
              </w:rPr>
            </w:pPr>
            <w:r>
              <w:rPr>
                <w:rFonts w:ascii="Arial" w:cs="Arial" w:eastAsia="Arial" w:hAnsi="Arial"/>
                <w:sz w:val="18"/>
                <w:szCs w:val="18"/>
                <w:color w:val="auto"/>
              </w:rPr>
              <w:t>Highest rate during the period</w:t>
            </w:r>
          </w:p>
        </w:tc>
        <w:tc>
          <w:tcPr>
            <w:tcW w:w="21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C$1.3856</w:t>
            </w:r>
          </w:p>
        </w:tc>
      </w:tr>
      <w:tr>
        <w:trPr>
          <w:trHeight w:val="216"/>
        </w:trPr>
        <w:tc>
          <w:tcPr>
            <w:tcW w:w="4620" w:type="dxa"/>
            <w:vAlign w:val="bottom"/>
          </w:tcPr>
          <w:p>
            <w:pPr>
              <w:ind w:left="40"/>
              <w:spacing w:after="0"/>
              <w:rPr>
                <w:sz w:val="20"/>
                <w:szCs w:val="20"/>
                <w:color w:val="auto"/>
              </w:rPr>
            </w:pPr>
            <w:r>
              <w:rPr>
                <w:rFonts w:ascii="Arial" w:cs="Arial" w:eastAsia="Arial" w:hAnsi="Arial"/>
                <w:sz w:val="18"/>
                <w:szCs w:val="18"/>
                <w:color w:val="auto"/>
              </w:rPr>
              <w:t>Lowest rate during the period</w:t>
            </w: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C$1.2540</w:t>
            </w:r>
          </w:p>
        </w:tc>
      </w:tr>
      <w:tr>
        <w:trPr>
          <w:trHeight w:val="216"/>
        </w:trPr>
        <w:tc>
          <w:tcPr>
            <w:tcW w:w="4620" w:type="dxa"/>
            <w:vAlign w:val="bottom"/>
            <w:shd w:val="clear" w:color="auto" w:fill="E6EFFF"/>
          </w:tcPr>
          <w:p>
            <w:pPr>
              <w:ind w:left="40"/>
              <w:spacing w:after="0"/>
              <w:rPr>
                <w:sz w:val="20"/>
                <w:szCs w:val="20"/>
                <w:color w:val="auto"/>
              </w:rPr>
            </w:pPr>
            <w:r>
              <w:rPr>
                <w:rFonts w:ascii="Arial" w:cs="Arial" w:eastAsia="Arial" w:hAnsi="Arial"/>
                <w:sz w:val="18"/>
                <w:szCs w:val="18"/>
                <w:color w:val="auto"/>
              </w:rPr>
              <w:t>Average rate for the period</w:t>
            </w:r>
          </w:p>
        </w:tc>
        <w:tc>
          <w:tcPr>
            <w:tcW w:w="21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C$1.3283</w:t>
            </w:r>
          </w:p>
        </w:tc>
      </w:tr>
      <w:tr>
        <w:trPr>
          <w:trHeight w:val="230"/>
        </w:trPr>
        <w:tc>
          <w:tcPr>
            <w:tcW w:w="4620" w:type="dxa"/>
            <w:vAlign w:val="bottom"/>
          </w:tcPr>
          <w:p>
            <w:pPr>
              <w:ind w:left="40"/>
              <w:spacing w:after="0"/>
              <w:rPr>
                <w:sz w:val="20"/>
                <w:szCs w:val="20"/>
                <w:color w:val="auto"/>
              </w:rPr>
            </w:pPr>
            <w:r>
              <w:rPr>
                <w:rFonts w:ascii="Arial" w:cs="Arial" w:eastAsia="Arial" w:hAnsi="Arial"/>
                <w:sz w:val="18"/>
                <w:szCs w:val="18"/>
                <w:color w:val="auto"/>
              </w:rPr>
              <w:t>Rate at the end of the period</w:t>
            </w: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C$1.3544</w:t>
            </w:r>
          </w:p>
        </w:tc>
      </w:tr>
    </w:tbl>
    <w:p>
      <w:pPr>
        <w:spacing w:after="0" w:line="200" w:lineRule="exact"/>
        <w:rPr>
          <w:sz w:val="20"/>
          <w:szCs w:val="20"/>
          <w:color w:val="auto"/>
        </w:rPr>
      </w:pPr>
    </w:p>
    <w:p>
      <w:pPr>
        <w:sectPr>
          <w:pgSz w:w="11900" w:h="16838" w:orient="portrait"/>
          <w:cols w:equalWidth="0" w:num="1">
            <w:col w:w="11240"/>
          </w:cols>
          <w:pgMar w:left="320" w:top="334" w:right="339" w:bottom="911" w:gutter="0" w:footer="0" w:header="0"/>
        </w:sect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153275" cy="46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911" w:gutter="0" w:footer="0" w:header="0"/>
          <w:type w:val="continuous"/>
        </w:sectPr>
      </w:pPr>
    </w:p>
    <w:bookmarkStart w:id="8" w:name="page9"/>
    <w:bookmarkEnd w:id="8"/>
    <w:p>
      <w:pPr>
        <w:jc w:val="both"/>
        <w:spacing w:after="0"/>
        <w:rPr>
          <w:sz w:val="20"/>
          <w:szCs w:val="20"/>
          <w:color w:val="auto"/>
        </w:rPr>
      </w:pPr>
      <w:r>
        <w:rPr>
          <w:rFonts w:ascii="Arial" w:cs="Arial" w:eastAsia="Arial" w:hAnsi="Arial"/>
          <w:sz w:val="22"/>
          <w:szCs w:val="22"/>
          <w:color w:val="auto"/>
        </w:rPr>
        <w:t>On May 26, 2023, the daily average exchange rate posted by the Bank of Canada for conversion of U.S. dollars into Canadian dollars was US$1.00 = C$1.3623. Unless otherwise indicated, currency translation in this Prospectus Supplement reflect the May 26, 2023 rate.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CORPORATION</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i w:val="1"/>
          <w:iCs w:val="1"/>
          <w:color w:val="auto"/>
        </w:rPr>
        <w:t>This summary does not contain all the information that may be important to you in deciding whether to invest in the Securities. You should read the entire Prospectus, including the section entitled "Risk Factors", the applicable Prospectus Supplement, and the documents incorporated by reference herein, including the Annual Information Form, before making such decision.</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the Business</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Corporation is a leading ethical biopharmaceutical company, working with a network of world-class partners and internationally-recognized scientists focused on advancing psychedelic-based therapies, delivery mechanisms, novel compounds and protocols as potential treatments for various mental health conditions. The Corporation is developing technologies and delivery systems aimed at improving the pharmacokinetics of its psychedelic-based molecules while retaining the therapeutic benefit. These new molecules and delivery systems are expected to be studied through clinical trials to confirm safety and efficacy.</w:t>
      </w:r>
    </w:p>
    <w:p>
      <w:pPr>
        <w:spacing w:after="0" w:line="195"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The Corporation is focused on progressing Psychedelics to Therapeutics</w:t>
      </w:r>
      <w:r>
        <w:rPr>
          <w:rFonts w:ascii="Arial" w:cs="Arial" w:eastAsia="Arial" w:hAnsi="Arial"/>
          <w:sz w:val="30"/>
          <w:szCs w:val="30"/>
          <w:color w:val="auto"/>
          <w:vertAlign w:val="superscript"/>
        </w:rPr>
        <w:t>®</w:t>
      </w:r>
      <w:r>
        <w:rPr>
          <w:rFonts w:ascii="Arial" w:cs="Arial" w:eastAsia="Arial" w:hAnsi="Arial"/>
          <w:sz w:val="19"/>
          <w:szCs w:val="19"/>
          <w:color w:val="auto"/>
        </w:rPr>
        <w:t xml:space="preserve"> by engineering proprietary drug discovery platforms, innovative drug delivery systems, novel formulation approaches and treatment regimens for mental health disorders.</w:t>
      </w:r>
      <w:r>
        <w:rPr>
          <w:rFonts w:ascii="Arial" w:cs="Arial" w:eastAsia="Arial" w:hAnsi="Arial"/>
          <w:sz w:val="30"/>
          <w:szCs w:val="30"/>
          <w:color w:val="auto"/>
          <w:vertAlign w:val="superscript"/>
        </w:rPr>
        <w:t>1</w:t>
      </w:r>
    </w:p>
    <w:p>
      <w:pPr>
        <w:spacing w:after="0" w:line="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Corporation's research and development work focuses on a three-pillar strategy that leverages the Corporation's core competencies in preclinical innovation and clinical development. This strategy supports the creation of intellectual property ("</w:t>
      </w:r>
      <w:r>
        <w:rPr>
          <w:rFonts w:ascii="Arial" w:cs="Arial" w:eastAsia="Arial" w:hAnsi="Arial"/>
          <w:sz w:val="19"/>
          <w:szCs w:val="19"/>
          <w:b w:val="1"/>
          <w:bCs w:val="1"/>
          <w:color w:val="auto"/>
        </w:rPr>
        <w:t>IP"</w:t>
      </w:r>
      <w:r>
        <w:rPr>
          <w:rFonts w:ascii="Arial" w:cs="Arial" w:eastAsia="Arial" w:hAnsi="Arial"/>
          <w:sz w:val="19"/>
          <w:szCs w:val="19"/>
          <w:color w:val="auto"/>
        </w:rPr>
        <w:t>) focused on developing the Corporation's platform technology, the progression of clinical development programs including CYB003, a deuterated psilocybin analog, CYB004, a deuterated version of N, N-dimethyltryptamine ("</w:t>
      </w:r>
      <w:r>
        <w:rPr>
          <w:rFonts w:ascii="Arial" w:cs="Arial" w:eastAsia="Arial" w:hAnsi="Arial"/>
          <w:sz w:val="19"/>
          <w:szCs w:val="19"/>
          <w:b w:val="1"/>
          <w:bCs w:val="1"/>
          <w:color w:val="auto"/>
        </w:rPr>
        <w:t>DMT</w:t>
      </w:r>
      <w:r>
        <w:rPr>
          <w:rFonts w:ascii="Arial" w:cs="Arial" w:eastAsia="Arial" w:hAnsi="Arial"/>
          <w:sz w:val="19"/>
          <w:szCs w:val="19"/>
          <w:color w:val="auto"/>
        </w:rPr>
        <w:t>"), CYB005, phenethylamine derivatives, and an expansive list of preclinical molecules to facilitate future drug development opportunities.</w:t>
      </w:r>
    </w:p>
    <w:p>
      <w:pPr>
        <w:spacing w:after="0" w:line="14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Corporation currently has IP across six patent families and additional access to IP from other patents or patent applications through a combination of internal filings and licensing arrangements.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Psychedelics to Therapeutics</w:t>
      </w:r>
      <w:r>
        <w:rPr>
          <w:rFonts w:ascii="Arial" w:cs="Arial" w:eastAsia="Arial" w:hAnsi="Arial"/>
          <w:sz w:val="35"/>
          <w:szCs w:val="35"/>
          <w:b w:val="1"/>
          <w:bCs w:val="1"/>
          <w:i w:val="1"/>
          <w:iCs w:val="1"/>
          <w:color w:val="auto"/>
          <w:vertAlign w:val="superscript"/>
        </w:rPr>
        <w:t>®</w:t>
      </w:r>
    </w:p>
    <w:p>
      <w:pPr>
        <w:spacing w:after="0" w:line="10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Corporation is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239966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99665" cy="50800"/>
                    </a:xfrm>
                    <a:prstGeom prst="rect">
                      <a:avLst/>
                    </a:prstGeom>
                    <a:noFill/>
                  </pic:spPr>
                </pic:pic>
              </a:graphicData>
            </a:graphic>
          </wp:anchor>
        </w:drawing>
      </w:r>
    </w:p>
    <w:p>
      <w:pPr>
        <w:spacing w:after="0" w:line="371" w:lineRule="exact"/>
        <w:rPr>
          <w:sz w:val="20"/>
          <w:szCs w:val="20"/>
          <w:color w:val="auto"/>
        </w:rPr>
      </w:pPr>
    </w:p>
    <w:p>
      <w:pPr>
        <w:jc w:val="both"/>
        <w:ind w:firstLine="8"/>
        <w:spacing w:after="0" w:line="214" w:lineRule="auto"/>
        <w:tabs>
          <w:tab w:leader="none" w:pos="142" w:val="left"/>
        </w:tabs>
        <w:numPr>
          <w:ilvl w:val="0"/>
          <w:numId w:val="5"/>
        </w:numPr>
        <w:rPr>
          <w:rFonts w:ascii="Arial" w:cs="Arial" w:eastAsia="Arial" w:hAnsi="Arial"/>
          <w:sz w:val="36"/>
          <w:szCs w:val="36"/>
          <w:color w:val="auto"/>
          <w:vertAlign w:val="superscript"/>
        </w:rPr>
      </w:pPr>
      <w:r>
        <w:rPr>
          <w:rFonts w:ascii="Arial" w:cs="Arial" w:eastAsia="Arial" w:hAnsi="Arial"/>
          <w:sz w:val="22"/>
          <w:szCs w:val="22"/>
          <w:color w:val="auto"/>
        </w:rPr>
        <w:t>The material factors and assumption underlying this forward-looking statement are: drug development involves long lead times, is very expensive and involves many variables of uncertainty. Anticipated timelines regarding drug development are based on reasonable assumptions informed by current knowledge and information available to the Corporation.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9" w:name="page10"/>
    <w:bookmarkEnd w:id="9"/>
    <w:p>
      <w:pPr>
        <w:jc w:val="both"/>
        <w:spacing w:after="0" w:line="272" w:lineRule="auto"/>
        <w:rPr>
          <w:sz w:val="20"/>
          <w:szCs w:val="20"/>
          <w:color w:val="auto"/>
        </w:rPr>
      </w:pPr>
      <w:r>
        <w:rPr>
          <w:rFonts w:ascii="Arial" w:cs="Arial" w:eastAsia="Arial" w:hAnsi="Arial"/>
          <w:sz w:val="21"/>
          <w:szCs w:val="21"/>
          <w:color w:val="auto"/>
        </w:rPr>
        <w:t>Across its extensive research and development programs, the Corporation is evaluating a wide array of novel, synthetic psychedelic active pharmaceutical ingredients intended to be delivered through innovative drug delivery systems including sublingual films</w:t>
      </w:r>
      <w:r>
        <w:rPr>
          <w:rFonts w:ascii="Arial" w:cs="Arial" w:eastAsia="Arial" w:hAnsi="Arial"/>
          <w:sz w:val="34"/>
          <w:szCs w:val="34"/>
          <w:color w:val="auto"/>
          <w:vertAlign w:val="superscript"/>
        </w:rPr>
        <w:t>2</w:t>
      </w:r>
      <w:r>
        <w:rPr>
          <w:rFonts w:ascii="Arial" w:cs="Arial" w:eastAsia="Arial" w:hAnsi="Arial"/>
          <w:sz w:val="21"/>
          <w:szCs w:val="21"/>
          <w:color w:val="auto"/>
        </w:rPr>
        <w:t>, and orally disintegrating tablets ("</w:t>
      </w:r>
      <w:r>
        <w:rPr>
          <w:rFonts w:ascii="Arial" w:cs="Arial" w:eastAsia="Arial" w:hAnsi="Arial"/>
          <w:sz w:val="21"/>
          <w:szCs w:val="21"/>
          <w:b w:val="1"/>
          <w:bCs w:val="1"/>
          <w:color w:val="auto"/>
        </w:rPr>
        <w:t>ODT</w:t>
      </w:r>
      <w:r>
        <w:rPr>
          <w:rFonts w:ascii="Arial" w:cs="Arial" w:eastAsia="Arial" w:hAnsi="Arial"/>
          <w:sz w:val="21"/>
          <w:szCs w:val="21"/>
          <w:color w:val="auto"/>
        </w:rPr>
        <w:t>")</w:t>
      </w:r>
      <w:r>
        <w:rPr>
          <w:rFonts w:ascii="Arial" w:cs="Arial" w:eastAsia="Arial" w:hAnsi="Arial"/>
          <w:sz w:val="34"/>
          <w:szCs w:val="34"/>
          <w:color w:val="auto"/>
          <w:vertAlign w:val="superscript"/>
        </w:rPr>
        <w:t>3</w:t>
      </w:r>
      <w:r>
        <w:rPr>
          <w:rFonts w:ascii="Arial" w:cs="Arial" w:eastAsia="Arial" w:hAnsi="Arial"/>
          <w:sz w:val="21"/>
          <w:szCs w:val="21"/>
          <w:color w:val="auto"/>
        </w:rPr>
        <w:t>, via inhalation and via intravenous ("</w:t>
      </w:r>
      <w:r>
        <w:rPr>
          <w:rFonts w:ascii="Arial" w:cs="Arial" w:eastAsia="Arial" w:hAnsi="Arial"/>
          <w:sz w:val="21"/>
          <w:szCs w:val="21"/>
          <w:b w:val="1"/>
          <w:bCs w:val="1"/>
          <w:color w:val="auto"/>
        </w:rPr>
        <w:t>IV</w:t>
      </w:r>
      <w:r>
        <w:rPr>
          <w:rFonts w:ascii="Arial" w:cs="Arial" w:eastAsia="Arial" w:hAnsi="Arial"/>
          <w:sz w:val="21"/>
          <w:szCs w:val="21"/>
          <w:color w:val="auto"/>
        </w:rPr>
        <w:t>").</w:t>
      </w:r>
    </w:p>
    <w:p>
      <w:pPr>
        <w:spacing w:after="0" w:line="9" w:lineRule="exact"/>
        <w:rPr>
          <w:sz w:val="20"/>
          <w:szCs w:val="20"/>
          <w:color w:val="auto"/>
        </w:rPr>
      </w:pPr>
    </w:p>
    <w:p>
      <w:pPr>
        <w:jc w:val="both"/>
        <w:spacing w:after="0" w:line="217" w:lineRule="auto"/>
        <w:rPr>
          <w:sz w:val="20"/>
          <w:szCs w:val="20"/>
          <w:color w:val="auto"/>
        </w:rPr>
      </w:pPr>
      <w:r>
        <w:rPr>
          <w:rFonts w:ascii="Arial" w:cs="Arial" w:eastAsia="Arial" w:hAnsi="Arial"/>
          <w:sz w:val="22"/>
          <w:szCs w:val="22"/>
          <w:color w:val="auto"/>
        </w:rPr>
        <w:t>The Corporation intends to apply for regulatory approval for therapies targeting indications such as major depressive disorder, generalized anxiety disorder and potentially other various mental health conditions</w:t>
      </w:r>
      <w:r>
        <w:rPr>
          <w:rFonts w:ascii="Arial" w:cs="Arial" w:eastAsia="Arial" w:hAnsi="Arial"/>
          <w:sz w:val="35"/>
          <w:szCs w:val="35"/>
          <w:color w:val="auto"/>
          <w:vertAlign w:val="superscript"/>
        </w:rPr>
        <w:t>4</w:t>
      </w:r>
      <w:r>
        <w:rPr>
          <w:rFonts w:ascii="Arial" w:cs="Arial" w:eastAsia="Arial" w:hAnsi="Arial"/>
          <w:sz w:val="22"/>
          <w:szCs w:val="22"/>
          <w:color w:val="auto"/>
        </w:rPr>
        <w:t>. The Corporation is also developing compounds that may have the potential to address neuroinflammation</w:t>
      </w:r>
      <w:r>
        <w:rPr>
          <w:rFonts w:ascii="Arial" w:cs="Arial" w:eastAsia="Arial" w:hAnsi="Arial"/>
          <w:sz w:val="35"/>
          <w:szCs w:val="35"/>
          <w:color w:val="auto"/>
          <w:vertAlign w:val="superscript"/>
        </w:rPr>
        <w:t>5</w:t>
      </w:r>
      <w:r>
        <w:rPr>
          <w:rFonts w:ascii="Arial" w:cs="Arial" w:eastAsia="Arial" w:hAnsi="Arial"/>
          <w:sz w:val="22"/>
          <w:szCs w:val="22"/>
          <w:color w:val="auto"/>
        </w:rPr>
        <w:t>, central nervous system disorders, and psychiatric disorders</w:t>
      </w:r>
      <w:r>
        <w:rPr>
          <w:rFonts w:ascii="Arial" w:cs="Arial" w:eastAsia="Arial" w:hAnsi="Arial"/>
          <w:sz w:val="35"/>
          <w:szCs w:val="35"/>
          <w:color w:val="auto"/>
          <w:vertAlign w:val="superscript"/>
        </w:rPr>
        <w:t>6</w:t>
      </w:r>
      <w:r>
        <w:rPr>
          <w:rFonts w:ascii="Arial" w:cs="Arial" w:eastAsia="Arial" w:hAnsi="Arial"/>
          <w:sz w:val="22"/>
          <w:szCs w:val="22"/>
          <w:color w:val="auto"/>
        </w:rPr>
        <w:t>.</w:t>
      </w:r>
    </w:p>
    <w:p>
      <w:pPr>
        <w:spacing w:after="0" w:line="4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For additional information in respect of the Corporation and its operation, please see the Interim MD&amp;A incorporated by reference into this Prospectus Supplement.</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Other than as set forth below and generally in this Prospectus Supplement, the Base Shelf Prospectus or the documents incorporated by reference herein, there have been no material developments in the business of the Corporation since February 13, 2023, the Interim Financial Statements and the Interim MD&amp;A.</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On February 22, 2023, the Corporation announced a streamlining plan aimed at maximizing the Corporation's operating efficiency and to allow the Corporation to focus on critical clinical trials. The Corporation released approximately 15% of its workforce that previously held roles that were not of a clinical priority or were not directly involved with any of the Corporation's clinical trial initiatives.</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On February 28, 2023, the Corporation announced significant progress updates for its two lead clinical development programs: CYB003, its proprietary deuterated psilocybin analog for the potential treatment of major depressive disorder and CYB004, its proprietary deuterated DMT molecule being developed for the potential treatment of generalized anxiety disorder. Interim findings from the Corporation's ongoing Phase 1/2a clinical trial evaluating CYB003 demonstrated positive observations, including a rapid and short-acting psychedelic response in participants. Participants received single oral doses of CYB003 at 1 milligram ("</w:t>
      </w:r>
      <w:r>
        <w:rPr>
          <w:rFonts w:ascii="Arial" w:cs="Arial" w:eastAsia="Arial" w:hAnsi="Arial"/>
          <w:sz w:val="19"/>
          <w:szCs w:val="19"/>
          <w:b w:val="1"/>
          <w:bCs w:val="1"/>
          <w:color w:val="auto"/>
        </w:rPr>
        <w:t>mg</w:t>
      </w:r>
      <w:r>
        <w:rPr>
          <w:rFonts w:ascii="Arial" w:cs="Arial" w:eastAsia="Arial" w:hAnsi="Arial"/>
          <w:sz w:val="19"/>
          <w:szCs w:val="19"/>
          <w:color w:val="auto"/>
        </w:rPr>
        <w:t>"), 3mg, 8mg, and 10mg, respectively, and all doses were well-tolerated with no serious adverse events reported. Most notably, participants reported meaningful and robust psychedelic effects at the 8mg and 10mg doses, confirming a complete mystical experience was achieved. These interim findings demonstrate that CYB003 was rapid and short acting, had low variability in plasma levels, and reached a psychedelic effect at low doses, while maintaining a safe and well-tolerated therapeutic profile. As of February 28, 2023, Phase 1 dosing has been completed and the Phase 2a portion of the trial had commenced. The Corporation expects to report top-line results from the completed Phase 1/2a clinical trial in late third quarter of calendar year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2023.</w:t>
      </w:r>
      <w:r>
        <w:rPr>
          <w:rFonts w:ascii="Arial" w:cs="Arial" w:eastAsia="Arial" w:hAnsi="Arial"/>
          <w:sz w:val="35"/>
          <w:szCs w:val="35"/>
          <w:color w:val="auto"/>
          <w:vertAlign w:val="superscript"/>
        </w:rPr>
        <w:t>7</w:t>
      </w:r>
    </w:p>
    <w:p>
      <w:pPr>
        <w:spacing w:after="0" w:line="93"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Corporation also provided an update on its Phase 1 CYB004-E trial evaluating IV DMT in healthy volunteers. Per a protocol amendment to the initial trial design, the Corporation has established a three-part study to include Part A (IV DMT infusion), Part B (IV DMT bolus + infusion) and Part C (CYB004) in healthy volunteers, which will allow the Corporation to initiate first-in-human dosing of CYB004 sooner than initially planned. Data from the new Parts B and C of the trial will serve to build a more robust pharmacokinetic and pharmacodynamic model to optimize dose selection and formulation development for future clinical studies. As of February 28, 2023, Part A of the trial evaluating IV DMT in participants was complete, and IV DMT at the evaluated dose ranges was demonstrated to be safe and well-tolerated. The Phase 1 CYB004-E trial has dosed 40 participants in Part A and dosing has commenced in Part B. On May 9, 2023, the Corporation announced the completion of dosing the last subject in Part B of the Phase I CYB004-E trial. With the completion of Part B, the Corporation announced on May 24, 2023 that it initiated dosing of CYB004 in Part C which will evaluate IV bolus + infusion regimens of CYB004 in a crossover design. Results from Parts B and C are expected to provide a more robust pharmacokinetic and pharmacodynamic model to optimize dose selection and formulation development for future clinical studies. The Corporation expects to report top-line results from the completed Phase 1 CYB004-E clinical trial in the third quarter of calendar year 2023.</w:t>
      </w:r>
      <w:r>
        <w:rPr>
          <w:rFonts w:ascii="Arial" w:cs="Arial" w:eastAsia="Arial" w:hAnsi="Arial"/>
          <w:sz w:val="32"/>
          <w:szCs w:val="32"/>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wp:posOffset>
            </wp:positionV>
            <wp:extent cx="23996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99665" cy="50800"/>
                    </a:xfrm>
                    <a:prstGeom prst="rect">
                      <a:avLst/>
                    </a:prstGeom>
                    <a:noFill/>
                  </pic:spPr>
                </pic:pic>
              </a:graphicData>
            </a:graphic>
          </wp:anchor>
        </w:drawing>
      </w:r>
    </w:p>
    <w:p>
      <w:pPr>
        <w:spacing w:after="0" w:line="215" w:lineRule="exact"/>
        <w:rPr>
          <w:sz w:val="20"/>
          <w:szCs w:val="20"/>
          <w:color w:val="auto"/>
        </w:rPr>
      </w:pPr>
    </w:p>
    <w:p>
      <w:pPr>
        <w:jc w:val="both"/>
        <w:ind w:left="20" w:hanging="7"/>
        <w:spacing w:after="0" w:line="244" w:lineRule="auto"/>
        <w:tabs>
          <w:tab w:leader="none" w:pos="195" w:val="left"/>
        </w:tabs>
        <w:numPr>
          <w:ilvl w:val="0"/>
          <w:numId w:val="6"/>
        </w:numPr>
        <w:rPr>
          <w:rFonts w:ascii="Arial" w:cs="Arial" w:eastAsia="Arial" w:hAnsi="Arial"/>
          <w:sz w:val="33"/>
          <w:szCs w:val="33"/>
          <w:color w:val="auto"/>
          <w:vertAlign w:val="superscript"/>
        </w:rPr>
      </w:pPr>
      <w:r>
        <w:rPr>
          <w:rFonts w:ascii="Arial" w:cs="Arial" w:eastAsia="Arial" w:hAnsi="Arial"/>
          <w:sz w:val="20"/>
          <w:szCs w:val="20"/>
          <w:color w:val="auto"/>
        </w:rPr>
        <w:t>The material factors and assumptions underlying this forward-looking statement are: drug development involves long lead times, is very expensive and involves many variables of uncertainty. Anticipated timelines regarding drug development are based on reasonable assumptions informed by current knowledge and information available to the Corporation.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 The Corporation has contracted with IntelGenx Corp. to develop a sublingual film formulation of psilocybin. IntelGenx Corp. has produced multiple formulation types, but the final formulation has not been selected. Successful completion of formulation is necessary before clinical trials supplies can be provided to investigators. On November 8, 2021, the Corporation announced that its research into its Deuterated Psilocybin Analog program has identified a putative orally deliverable drug product that appears to have more desirable characteristics than psilocybin delivered by sublingual film. Although the Corporation is still evaluating the sublingual film technology, it has prioritized the Deuterated Psilocybin Analog program over the sublingual film technology as a result of the Corporation's positive view of the Deuterated Psilocybin Analog program research data.</w:t>
      </w:r>
    </w:p>
    <w:p>
      <w:pPr>
        <w:sectPr>
          <w:pgSz w:w="11900" w:h="16838" w:orient="portrait"/>
          <w:cols w:equalWidth="0" w:num="1">
            <w:col w:w="11240"/>
          </w:cols>
          <w:pgMar w:left="320" w:top="334" w:right="339" w:bottom="22" w:gutter="0" w:footer="0" w:header="0"/>
        </w:sectPr>
      </w:pPr>
    </w:p>
    <w:bookmarkStart w:id="10" w:name="page11"/>
    <w:bookmarkEnd w:id="10"/>
    <w:p>
      <w:pPr>
        <w:jc w:val="both"/>
        <w:ind w:firstLine="8"/>
        <w:spacing w:after="0" w:line="216" w:lineRule="auto"/>
        <w:tabs>
          <w:tab w:leader="none" w:pos="171" w:val="left"/>
        </w:tabs>
        <w:numPr>
          <w:ilvl w:val="0"/>
          <w:numId w:val="7"/>
        </w:numPr>
        <w:rPr>
          <w:rFonts w:ascii="Arial" w:cs="Arial" w:eastAsia="Arial" w:hAnsi="Arial"/>
          <w:sz w:val="33"/>
          <w:szCs w:val="33"/>
          <w:color w:val="auto"/>
          <w:vertAlign w:val="superscript"/>
        </w:rPr>
      </w:pPr>
      <w:r>
        <w:rPr>
          <w:rFonts w:ascii="Arial" w:cs="Arial" w:eastAsia="Arial" w:hAnsi="Arial"/>
          <w:sz w:val="20"/>
          <w:szCs w:val="20"/>
          <w:color w:val="auto"/>
        </w:rPr>
        <w:t>The Corporation is currently applying Catalent Inc.'s proprietary Zydis® ODT technology as a delivery method during the development of the Corporation's novel deuterated tryptamine. Zydis technology creates a freeze-dried tablet that disperses almost instantly in the mouth without water and is recognized as one of the world's best-performing ODTs. See footnote 2.</w:t>
      </w:r>
    </w:p>
    <w:p>
      <w:pPr>
        <w:ind w:left="160" w:hanging="152"/>
        <w:spacing w:after="0" w:line="180" w:lineRule="auto"/>
        <w:tabs>
          <w:tab w:leader="none" w:pos="160" w:val="left"/>
        </w:tabs>
        <w:numPr>
          <w:ilvl w:val="0"/>
          <w:numId w:val="8"/>
        </w:numPr>
        <w:rPr>
          <w:rFonts w:ascii="Arial" w:cs="Arial" w:eastAsia="Arial" w:hAnsi="Arial"/>
          <w:sz w:val="35"/>
          <w:szCs w:val="35"/>
          <w:color w:val="auto"/>
          <w:vertAlign w:val="superscript"/>
        </w:rPr>
      </w:pPr>
      <w:r>
        <w:rPr>
          <w:rFonts w:ascii="Arial" w:cs="Arial" w:eastAsia="Arial" w:hAnsi="Arial"/>
          <w:sz w:val="21"/>
          <w:szCs w:val="21"/>
          <w:color w:val="auto"/>
        </w:rPr>
        <w:t>See footnote 2</w:t>
      </w:r>
      <w:r>
        <w:rPr>
          <w:rFonts w:ascii="Arial" w:cs="Arial" w:eastAsia="Arial" w:hAnsi="Arial"/>
          <w:sz w:val="21"/>
          <w:szCs w:val="21"/>
          <w:b w:val="1"/>
          <w:bCs w:val="1"/>
          <w:color w:val="auto"/>
        </w:rPr>
        <w:t>.</w:t>
      </w:r>
    </w:p>
    <w:p>
      <w:pPr>
        <w:spacing w:after="0" w:line="54" w:lineRule="exact"/>
        <w:rPr>
          <w:rFonts w:ascii="Arial" w:cs="Arial" w:eastAsia="Arial" w:hAnsi="Arial"/>
          <w:sz w:val="35"/>
          <w:szCs w:val="35"/>
          <w:color w:val="auto"/>
          <w:vertAlign w:val="superscript"/>
        </w:rPr>
      </w:pPr>
    </w:p>
    <w:p>
      <w:pPr>
        <w:spacing w:after="0" w:line="182" w:lineRule="auto"/>
        <w:rPr>
          <w:rFonts w:ascii="Arial" w:cs="Arial" w:eastAsia="Arial" w:hAnsi="Arial"/>
          <w:sz w:val="35"/>
          <w:szCs w:val="35"/>
          <w:color w:val="auto"/>
          <w:vertAlign w:val="superscript"/>
        </w:rPr>
      </w:pPr>
      <w:r>
        <w:rPr>
          <w:rFonts w:ascii="Arial" w:cs="Arial" w:eastAsia="Arial" w:hAnsi="Arial"/>
          <w:sz w:val="34"/>
          <w:szCs w:val="34"/>
          <w:color w:val="auto"/>
          <w:vertAlign w:val="superscript"/>
        </w:rPr>
        <w:t>5</w:t>
      </w:r>
      <w:r>
        <w:rPr>
          <w:rFonts w:ascii="Arial" w:cs="Arial" w:eastAsia="Arial" w:hAnsi="Arial"/>
          <w:sz w:val="21"/>
          <w:szCs w:val="21"/>
          <w:color w:val="auto"/>
        </w:rPr>
        <w:t xml:space="preserve"> See footnote 2</w:t>
      </w:r>
      <w:r>
        <w:rPr>
          <w:rFonts w:ascii="Arial" w:cs="Arial" w:eastAsia="Arial" w:hAnsi="Arial"/>
          <w:sz w:val="21"/>
          <w:szCs w:val="21"/>
          <w:b w:val="1"/>
          <w:bCs w:val="1"/>
          <w:color w:val="auto"/>
        </w:rPr>
        <w:t>.</w:t>
      </w:r>
    </w:p>
    <w:p>
      <w:pPr>
        <w:spacing w:after="0" w:line="181" w:lineRule="auto"/>
        <w:rPr>
          <w:rFonts w:ascii="Arial" w:cs="Arial" w:eastAsia="Arial" w:hAnsi="Arial"/>
          <w:sz w:val="35"/>
          <w:szCs w:val="35"/>
          <w:color w:val="auto"/>
          <w:vertAlign w:val="superscript"/>
        </w:rPr>
      </w:pPr>
      <w:r>
        <w:rPr>
          <w:rFonts w:ascii="Arial" w:cs="Arial" w:eastAsia="Arial" w:hAnsi="Arial"/>
          <w:sz w:val="29"/>
          <w:szCs w:val="29"/>
          <w:color w:val="auto"/>
          <w:vertAlign w:val="superscript"/>
        </w:rPr>
        <w:t>6</w:t>
      </w:r>
      <w:r>
        <w:rPr>
          <w:rFonts w:ascii="Arial" w:cs="Arial" w:eastAsia="Arial" w:hAnsi="Arial"/>
          <w:sz w:val="19"/>
          <w:szCs w:val="19"/>
          <w:color w:val="auto"/>
        </w:rPr>
        <w:t xml:space="preserve"> See footnote 2</w:t>
      </w:r>
      <w:r>
        <w:rPr>
          <w:rFonts w:ascii="Arial" w:cs="Arial" w:eastAsia="Arial" w:hAnsi="Arial"/>
          <w:sz w:val="19"/>
          <w:szCs w:val="19"/>
          <w:b w:val="1"/>
          <w:bCs w:val="1"/>
          <w:color w:val="auto"/>
        </w:rPr>
        <w:t>.</w:t>
      </w:r>
    </w:p>
    <w:p>
      <w:pPr>
        <w:spacing w:after="0" w:line="28" w:lineRule="exact"/>
        <w:rPr>
          <w:sz w:val="20"/>
          <w:szCs w:val="20"/>
          <w:color w:val="auto"/>
        </w:rPr>
      </w:pPr>
    </w:p>
    <w:p>
      <w:pPr>
        <w:jc w:val="both"/>
        <w:ind w:firstLine="8"/>
        <w:spacing w:after="0" w:line="223" w:lineRule="auto"/>
        <w:tabs>
          <w:tab w:leader="none" w:pos="165" w:val="left"/>
        </w:tabs>
        <w:numPr>
          <w:ilvl w:val="0"/>
          <w:numId w:val="9"/>
        </w:numPr>
        <w:rPr>
          <w:rFonts w:ascii="Arial" w:cs="Arial" w:eastAsia="Arial" w:hAnsi="Arial"/>
          <w:sz w:val="35"/>
          <w:szCs w:val="35"/>
          <w:color w:val="auto"/>
          <w:vertAlign w:val="superscript"/>
        </w:rPr>
      </w:pPr>
      <w:r>
        <w:rPr>
          <w:rFonts w:ascii="Arial" w:cs="Arial" w:eastAsia="Arial" w:hAnsi="Arial"/>
          <w:sz w:val="21"/>
          <w:szCs w:val="21"/>
          <w:color w:val="auto"/>
        </w:rPr>
        <w:t>The material factors and assumption underlying this forward-looking statement are based on anticipated timelines regarding drug development which are in turn based on reasonable assumptions informed by current knowledge and information available to the Corporation.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2" w:lineRule="exact"/>
        <w:rPr>
          <w:rFonts w:ascii="Arial" w:cs="Arial" w:eastAsia="Arial" w:hAnsi="Arial"/>
          <w:sz w:val="35"/>
          <w:szCs w:val="35"/>
          <w:color w:val="auto"/>
          <w:vertAlign w:val="superscript"/>
        </w:rPr>
      </w:pPr>
    </w:p>
    <w:p>
      <w:pPr>
        <w:spacing w:after="0"/>
        <w:rPr>
          <w:rFonts w:ascii="Arial" w:cs="Arial" w:eastAsia="Arial" w:hAnsi="Arial"/>
          <w:sz w:val="35"/>
          <w:szCs w:val="35"/>
          <w:color w:val="auto"/>
          <w:vertAlign w:val="superscript"/>
        </w:rPr>
      </w:pPr>
      <w:r>
        <w:rPr>
          <w:rFonts w:ascii="Arial" w:cs="Arial" w:eastAsia="Arial" w:hAnsi="Arial"/>
          <w:sz w:val="35"/>
          <w:szCs w:val="35"/>
          <w:color w:val="auto"/>
          <w:vertAlign w:val="superscript"/>
        </w:rPr>
        <w:t>8</w:t>
      </w:r>
      <w:r>
        <w:rPr>
          <w:rFonts w:ascii="Arial" w:cs="Arial" w:eastAsia="Arial" w:hAnsi="Arial"/>
          <w:sz w:val="22"/>
          <w:szCs w:val="22"/>
          <w:color w:val="auto"/>
        </w:rPr>
        <w:t xml:space="preserve"> See footnote 7.</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1" w:name="page12"/>
    <w:bookmarkEnd w:id="11"/>
    <w:p>
      <w:pPr>
        <w:jc w:val="both"/>
        <w:spacing w:after="0" w:line="328" w:lineRule="auto"/>
        <w:rPr>
          <w:sz w:val="20"/>
          <w:szCs w:val="20"/>
          <w:color w:val="auto"/>
        </w:rPr>
      </w:pPr>
      <w:r>
        <w:rPr>
          <w:rFonts w:ascii="Arial" w:cs="Arial" w:eastAsia="Arial" w:hAnsi="Arial"/>
          <w:sz w:val="19"/>
          <w:szCs w:val="19"/>
          <w:color w:val="auto"/>
        </w:rPr>
        <w:t>On April 12, 2023, the Corporation announced the launch of EMBARK Open Access, an online foundational training course that offers psychedelic facilitation training for healthcare professionals and people interested in offering psychological support.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Purchase Agreement with the Investor</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On May 30, 2023, the Corporation entered into the Purchase Agreement with the Investor, pursuant to which the Investor has agreed to purchase from the Corporation, at the Corporation's direction from time to time, in the Corporation's sole discretion, from and after the date that the conditions to Lincoln Park's purchase obligations set forth in the Purchase Agreement are satisfied (the "</w:t>
      </w:r>
      <w:r>
        <w:rPr>
          <w:rFonts w:ascii="Arial" w:cs="Arial" w:eastAsia="Arial" w:hAnsi="Arial"/>
          <w:sz w:val="21"/>
          <w:szCs w:val="21"/>
          <w:b w:val="1"/>
          <w:bCs w:val="1"/>
          <w:color w:val="auto"/>
        </w:rPr>
        <w:t>Commencement Date</w:t>
      </w:r>
      <w:r>
        <w:rPr>
          <w:rFonts w:ascii="Arial" w:cs="Arial" w:eastAsia="Arial" w:hAnsi="Arial"/>
          <w:sz w:val="21"/>
          <w:szCs w:val="21"/>
          <w:color w:val="auto"/>
        </w:rPr>
        <w:t>"), including the filing of this Prospectus Supplement, and over a period of up to 36 months thereafter, Common Shares having a total maximum aggregate purchase price to the Investor of US$30,000,000 (subject to certain limitations contained in the Purchase Agreement), upon the terms and subject to the conditions contained in the Purchase Agreement, as described below.</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Corporation is filing this Prospectus Supplement with regard to the Offering of (i) up to US$30,000,000 of Common Shares, which the Corporation may issue and sell to the Investor, in the Corporation's sole discretion, from time to time during the 36-month term of the Purchase Agreement commencing on the Commencement Date, upon the terms and subject to the conditions and limitations contained in the Purchase Agreement, and (ii) 2,538,844 Common Shares to be issued by the Corporation to the Investor as Commitment Shares on May 30, 2023; however, the Corporation will not receive any cash proceeds for the Commitment Shares to be issued to the Investor pursuant to the Purchase Agreement. This Prospectus Supplement also qualifies for distribution the resale of these Common Shares by the Investor to the public.</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Under the Purchase Agreement, on any day on which the NYSE American is open for trading, including any day on which the NYSE American is open for trading for a period of time less than the customary time (each, a "</w:t>
      </w:r>
      <w:r>
        <w:rPr>
          <w:rFonts w:ascii="Arial" w:cs="Arial" w:eastAsia="Arial" w:hAnsi="Arial"/>
          <w:sz w:val="19"/>
          <w:szCs w:val="19"/>
          <w:b w:val="1"/>
          <w:bCs w:val="1"/>
          <w:color w:val="auto"/>
        </w:rPr>
        <w:t>Business Day</w:t>
      </w:r>
      <w:r>
        <w:rPr>
          <w:rFonts w:ascii="Arial" w:cs="Arial" w:eastAsia="Arial" w:hAnsi="Arial"/>
          <w:sz w:val="19"/>
          <w:szCs w:val="19"/>
          <w:color w:val="auto"/>
        </w:rPr>
        <w:t>"), and as often as every Business Day, on which (i) the closing price per Common Share, as reported by the NYSE American (the "</w:t>
      </w:r>
      <w:r>
        <w:rPr>
          <w:rFonts w:ascii="Arial" w:cs="Arial" w:eastAsia="Arial" w:hAnsi="Arial"/>
          <w:sz w:val="19"/>
          <w:szCs w:val="19"/>
          <w:b w:val="1"/>
          <w:bCs w:val="1"/>
          <w:color w:val="auto"/>
        </w:rPr>
        <w:t>Closing Price</w:t>
      </w:r>
      <w:r>
        <w:rPr>
          <w:rFonts w:ascii="Arial" w:cs="Arial" w:eastAsia="Arial" w:hAnsi="Arial"/>
          <w:sz w:val="19"/>
          <w:szCs w:val="19"/>
          <w:color w:val="auto"/>
        </w:rPr>
        <w:t>") is not below US$0.15, (ii) the Closing Price, less 20%, being the maximum applicable discount to market price permitted under the policies of the NEO (the "</w:t>
      </w:r>
      <w:r>
        <w:rPr>
          <w:rFonts w:ascii="Arial" w:cs="Arial" w:eastAsia="Arial" w:hAnsi="Arial"/>
          <w:sz w:val="19"/>
          <w:szCs w:val="19"/>
          <w:b w:val="1"/>
          <w:bCs w:val="1"/>
          <w:color w:val="auto"/>
        </w:rPr>
        <w:t>Maximum Discounted Price</w:t>
      </w:r>
      <w:r>
        <w:rPr>
          <w:rFonts w:ascii="Arial" w:cs="Arial" w:eastAsia="Arial" w:hAnsi="Arial"/>
          <w:sz w:val="19"/>
          <w:szCs w:val="19"/>
          <w:color w:val="auto"/>
        </w:rPr>
        <w:t>") on such Business Day is not less than the applicable Regular Purchase Price (as defined below), (iii) all Common Shares subject to all prior Regular Purchases (as defined below) have been received by the Investor in accordance with the Purchase Agreement, and (iv) there is not more than one (1) outstanding Accelerated Purchase (as defined herein) for which Common Shares have not been received by the Investor, and the Corporation is not in breach of any obligation under the Purchase Agreement to deliver to the Investor Common Shares subject to such outstanding Accelerated Purchase (each such Business Day, a "</w:t>
      </w:r>
      <w:r>
        <w:rPr>
          <w:rFonts w:ascii="Arial" w:cs="Arial" w:eastAsia="Arial" w:hAnsi="Arial"/>
          <w:sz w:val="19"/>
          <w:szCs w:val="19"/>
          <w:b w:val="1"/>
          <w:bCs w:val="1"/>
          <w:color w:val="auto"/>
        </w:rPr>
        <w:t>Regular Purchase Date</w:t>
      </w:r>
      <w:r>
        <w:rPr>
          <w:rFonts w:ascii="Arial" w:cs="Arial" w:eastAsia="Arial" w:hAnsi="Arial"/>
          <w:sz w:val="19"/>
          <w:szCs w:val="19"/>
          <w:color w:val="auto"/>
        </w:rPr>
        <w:t>"), the Corporation may, in its sole discretion, by written notice delivered by the Corporation to the Investor between 4:00 p.m., Eastern time, and 7:00 p.m., Eastern time, on such Regular Purchase Date (each, a "</w:t>
      </w:r>
      <w:r>
        <w:rPr>
          <w:rFonts w:ascii="Arial" w:cs="Arial" w:eastAsia="Arial" w:hAnsi="Arial"/>
          <w:sz w:val="19"/>
          <w:szCs w:val="19"/>
          <w:b w:val="1"/>
          <w:bCs w:val="1"/>
          <w:color w:val="auto"/>
        </w:rPr>
        <w:t>Regular Purchase Notice</w:t>
      </w:r>
      <w:r>
        <w:rPr>
          <w:rFonts w:ascii="Arial" w:cs="Arial" w:eastAsia="Arial" w:hAnsi="Arial"/>
          <w:sz w:val="19"/>
          <w:szCs w:val="19"/>
          <w:color w:val="auto"/>
        </w:rPr>
        <w:t>"), direct the Investor to purchase up to 275,000 Common Shares on such Regular Purchase Date (each such purchase, a "</w:t>
      </w:r>
      <w:r>
        <w:rPr>
          <w:rFonts w:ascii="Arial" w:cs="Arial" w:eastAsia="Arial" w:hAnsi="Arial"/>
          <w:sz w:val="19"/>
          <w:szCs w:val="19"/>
          <w:b w:val="1"/>
          <w:bCs w:val="1"/>
          <w:color w:val="auto"/>
        </w:rPr>
        <w:t>Regular Purchase</w:t>
      </w:r>
      <w:r>
        <w:rPr>
          <w:rFonts w:ascii="Arial" w:cs="Arial" w:eastAsia="Arial" w:hAnsi="Arial"/>
          <w:sz w:val="19"/>
          <w:szCs w:val="19"/>
          <w:color w:val="auto"/>
        </w:rPr>
        <w:t>"), at the applicable Regular Purchase Price (defined below) per Common Share. The maximum number of Common Shares the Corporation may elect to sell to the Investor in a Regular Purchase may be increased to:</w:t>
      </w:r>
    </w:p>
    <w:p>
      <w:pPr>
        <w:spacing w:after="0" w:line="200" w:lineRule="exact"/>
        <w:rPr>
          <w:sz w:val="20"/>
          <w:szCs w:val="20"/>
          <w:color w:val="auto"/>
        </w:rPr>
      </w:pPr>
    </w:p>
    <w:p>
      <w:pPr>
        <w:spacing w:after="0" w:line="207" w:lineRule="exact"/>
        <w:rPr>
          <w:sz w:val="20"/>
          <w:szCs w:val="20"/>
          <w:color w:val="auto"/>
        </w:rPr>
      </w:pPr>
    </w:p>
    <w:p>
      <w:pPr>
        <w:jc w:val="both"/>
        <w:ind w:left="1340"/>
        <w:spacing w:after="0" w:line="250" w:lineRule="auto"/>
        <w:rPr>
          <w:sz w:val="20"/>
          <w:szCs w:val="20"/>
          <w:color w:val="auto"/>
        </w:rPr>
      </w:pPr>
      <w:r>
        <w:rPr>
          <w:rFonts w:ascii="Arial" w:cs="Arial" w:eastAsia="Arial" w:hAnsi="Arial"/>
          <w:sz w:val="22"/>
          <w:szCs w:val="22"/>
          <w:color w:val="auto"/>
        </w:rPr>
        <w:t>up to 300,000 Common Shares, if the Closing Price of the Common Shares on the applicable Regular Purchase Date is not below US$0.40;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-273050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jc w:val="both"/>
        <w:ind w:left="1340"/>
        <w:spacing w:after="0" w:line="250" w:lineRule="auto"/>
        <w:rPr>
          <w:sz w:val="20"/>
          <w:szCs w:val="20"/>
          <w:color w:val="auto"/>
        </w:rPr>
      </w:pPr>
      <w:r>
        <w:rPr>
          <w:rFonts w:ascii="Arial" w:cs="Arial" w:eastAsia="Arial" w:hAnsi="Arial"/>
          <w:sz w:val="22"/>
          <w:szCs w:val="22"/>
          <w:color w:val="auto"/>
        </w:rPr>
        <w:t>up to 500,000 Common Shares, if the Closing Price of the Common Shares on the applicable Regular Purchase Date is not below US$0.50;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-273050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jc w:val="both"/>
        <w:ind w:left="1340"/>
        <w:spacing w:after="0" w:line="252" w:lineRule="auto"/>
        <w:rPr>
          <w:sz w:val="20"/>
          <w:szCs w:val="20"/>
          <w:color w:val="auto"/>
        </w:rPr>
      </w:pPr>
      <w:r>
        <w:rPr>
          <w:rFonts w:ascii="Arial" w:cs="Arial" w:eastAsia="Arial" w:hAnsi="Arial"/>
          <w:sz w:val="21"/>
          <w:szCs w:val="21"/>
          <w:color w:val="auto"/>
        </w:rPr>
        <w:t>up to 750,000 Common Shares, if the Closing Price per Common Share on the applicable Regular Purchase Date is not below US$0.70, each of such share and dollar amounts subject to adjustment for any reorganization, recapitalization, non-cash dividend, stock split, reverse stock split or other similar transaction as provided in the Purchase Agreement (collectively, the "</w:t>
      </w:r>
      <w:r>
        <w:rPr>
          <w:rFonts w:ascii="Arial" w:cs="Arial" w:eastAsia="Arial" w:hAnsi="Arial"/>
          <w:sz w:val="21"/>
          <w:szCs w:val="21"/>
          <w:b w:val="1"/>
          <w:bCs w:val="1"/>
          <w:color w:val="auto"/>
        </w:rPr>
        <w:t>Regular Purchase Share Limit</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-582295</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 w:name="page13"/>
    <w:bookmarkEnd w:id="12"/>
    <w:p>
      <w:pPr>
        <w:jc w:val="both"/>
        <w:spacing w:after="0"/>
        <w:rPr>
          <w:sz w:val="20"/>
          <w:szCs w:val="20"/>
          <w:color w:val="auto"/>
        </w:rPr>
      </w:pPr>
      <w:r>
        <w:rPr>
          <w:rFonts w:ascii="Arial" w:cs="Arial" w:eastAsia="Arial" w:hAnsi="Arial"/>
          <w:sz w:val="22"/>
          <w:szCs w:val="22"/>
          <w:color w:val="auto"/>
        </w:rPr>
        <w:t>In any case, however, the Investor's maximum purchase commitment in any single Regular Purchase may not exceed $1,000,000; provided, however, that the Corporation and the Investor may mutually agree to increase the number of Common Shares to be purchased by the Investor pursuant to any Regular Purchase.</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The purchase price per Common Share to be paid by the Investor for Common Shares purchased by the Investor from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Company in a Regular Purchase (the "</w:t>
      </w:r>
      <w:r>
        <w:rPr>
          <w:rFonts w:ascii="Arial" w:cs="Arial" w:eastAsia="Arial" w:hAnsi="Arial"/>
          <w:sz w:val="22"/>
          <w:szCs w:val="22"/>
          <w:b w:val="1"/>
          <w:bCs w:val="1"/>
          <w:color w:val="auto"/>
        </w:rPr>
        <w:t>Regular Purchase Price</w:t>
      </w:r>
      <w:r>
        <w:rPr>
          <w:rFonts w:ascii="Arial" w:cs="Arial" w:eastAsia="Arial" w:hAnsi="Arial"/>
          <w:sz w:val="22"/>
          <w:szCs w:val="22"/>
          <w:color w:val="auto"/>
        </w:rPr>
        <w:t xml:space="preserve">") will be equal to the </w:t>
      </w:r>
      <w:r>
        <w:rPr>
          <w:rFonts w:ascii="Arial" w:cs="Arial" w:eastAsia="Arial" w:hAnsi="Arial"/>
          <w:sz w:val="22"/>
          <w:szCs w:val="22"/>
          <w:u w:val="single" w:color="auto"/>
          <w:color w:val="auto"/>
        </w:rPr>
        <w:t>lower</w:t>
      </w:r>
      <w:r>
        <w:rPr>
          <w:rFonts w:ascii="Arial" w:cs="Arial" w:eastAsia="Arial" w:hAnsi="Arial"/>
          <w:sz w:val="22"/>
          <w:szCs w:val="22"/>
          <w:color w:val="auto"/>
        </w:rPr>
        <w:t xml:space="preserve"> of:</w:t>
      </w:r>
    </w:p>
    <w:p>
      <w:pPr>
        <w:spacing w:after="0" w:line="182" w:lineRule="exact"/>
        <w:rPr>
          <w:sz w:val="20"/>
          <w:szCs w:val="20"/>
          <w:color w:val="auto"/>
        </w:rPr>
      </w:pPr>
    </w:p>
    <w:p>
      <w:pPr>
        <w:jc w:val="both"/>
        <w:ind w:left="1300"/>
        <w:spacing w:after="0" w:line="256" w:lineRule="auto"/>
        <w:rPr>
          <w:sz w:val="20"/>
          <w:szCs w:val="20"/>
          <w:color w:val="auto"/>
        </w:rPr>
      </w:pPr>
      <w:r>
        <w:rPr>
          <w:rFonts w:ascii="Arial" w:cs="Arial" w:eastAsia="Arial" w:hAnsi="Arial"/>
          <w:sz w:val="22"/>
          <w:szCs w:val="22"/>
          <w:color w:val="auto"/>
        </w:rPr>
        <w:t>(i) the lowest trade price for the Common Shares, as reported by the NYSE American (the "</w:t>
      </w:r>
      <w:r>
        <w:rPr>
          <w:rFonts w:ascii="Arial" w:cs="Arial" w:eastAsia="Arial" w:hAnsi="Arial"/>
          <w:sz w:val="22"/>
          <w:szCs w:val="22"/>
          <w:b w:val="1"/>
          <w:bCs w:val="1"/>
          <w:color w:val="auto"/>
        </w:rPr>
        <w:t>Sale Price</w:t>
      </w:r>
      <w:r>
        <w:rPr>
          <w:rFonts w:ascii="Arial" w:cs="Arial" w:eastAsia="Arial" w:hAnsi="Arial"/>
          <w:sz w:val="22"/>
          <w:szCs w:val="22"/>
          <w:color w:val="auto"/>
        </w:rPr>
        <w:t>"), on the applicable Regular Purchase Date for such Regular Purchase;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-277495</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8" w:lineRule="exact"/>
        <w:rPr>
          <w:sz w:val="20"/>
          <w:szCs w:val="20"/>
          <w:color w:val="auto"/>
        </w:rPr>
      </w:pPr>
    </w:p>
    <w:p>
      <w:pPr>
        <w:jc w:val="both"/>
        <w:ind w:left="1300"/>
        <w:spacing w:after="0"/>
        <w:rPr>
          <w:sz w:val="20"/>
          <w:szCs w:val="20"/>
          <w:color w:val="auto"/>
        </w:rPr>
      </w:pPr>
      <w:r>
        <w:rPr>
          <w:rFonts w:ascii="Arial" w:cs="Arial" w:eastAsia="Arial" w:hAnsi="Arial"/>
          <w:sz w:val="22"/>
          <w:szCs w:val="22"/>
          <w:color w:val="auto"/>
        </w:rPr>
        <w:t>(ii) the arithmetic average of the three (3) lowest Closing Prices for the Common Shares, as reported by the NYSE American, during the ten (10) consecutive Business Days ending on the Business Day immediately preceding the Regular Purchase Date for such Regular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-420370</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In addition to Regular Purchases described above, on any Regular Purchase Date on which (i) the Corporation has properly submitted a Regular Purchase Notice directing the Investor to purchase the maximum number of Common Shares that the Corporation is then permitted to include in a single Regular Purchase Notice, (ii) all Common Shares subject to all prior Accelerated Purchases have been received by the Investor as in accordance with the Purchase Agreement, and (iii) there is not more than one (1) outstanding Regular Purchase for which Common Shares have not been received by the Investor and the Corporation is not in breach of any obligation under the Purchase Agreement to deliver to the Investor Common Shares subject to such outstanding Regular Purchase, the Corporation may, in its sole discretion, by written notice delivered by the Corporation to the Investor on such Regular Purchase Date (each, an "</w:t>
      </w:r>
      <w:r>
        <w:rPr>
          <w:rFonts w:ascii="Arial" w:cs="Arial" w:eastAsia="Arial" w:hAnsi="Arial"/>
          <w:sz w:val="19"/>
          <w:szCs w:val="19"/>
          <w:b w:val="1"/>
          <w:bCs w:val="1"/>
          <w:color w:val="auto"/>
        </w:rPr>
        <w:t>Accelerated Purchase Notice</w:t>
      </w:r>
      <w:r>
        <w:rPr>
          <w:rFonts w:ascii="Arial" w:cs="Arial" w:eastAsia="Arial" w:hAnsi="Arial"/>
          <w:sz w:val="19"/>
          <w:szCs w:val="19"/>
          <w:color w:val="auto"/>
        </w:rPr>
        <w:t>"), direct the Investor to purchase an additional amount of Common Shares (each such purchase, an "</w:t>
      </w:r>
      <w:r>
        <w:rPr>
          <w:rFonts w:ascii="Arial" w:cs="Arial" w:eastAsia="Arial" w:hAnsi="Arial"/>
          <w:sz w:val="19"/>
          <w:szCs w:val="19"/>
          <w:b w:val="1"/>
          <w:bCs w:val="1"/>
          <w:color w:val="auto"/>
        </w:rPr>
        <w:t>Accelerated Purchase</w:t>
      </w:r>
      <w:r>
        <w:rPr>
          <w:rFonts w:ascii="Arial" w:cs="Arial" w:eastAsia="Arial" w:hAnsi="Arial"/>
          <w:sz w:val="19"/>
          <w:szCs w:val="19"/>
          <w:color w:val="auto"/>
        </w:rPr>
        <w:t>") on the next Business Day following such Regular Purchase Date for such corresponding Regular Purchase (each such Business Day, an "</w:t>
      </w:r>
      <w:r>
        <w:rPr>
          <w:rFonts w:ascii="Arial" w:cs="Arial" w:eastAsia="Arial" w:hAnsi="Arial"/>
          <w:sz w:val="19"/>
          <w:szCs w:val="19"/>
          <w:b w:val="1"/>
          <w:bCs w:val="1"/>
          <w:color w:val="auto"/>
        </w:rPr>
        <w:t>Accelerated Purchase</w:t>
      </w:r>
      <w:r>
        <w:rPr>
          <w:rFonts w:ascii="Arial" w:cs="Arial" w:eastAsia="Arial" w:hAnsi="Arial"/>
          <w:sz w:val="19"/>
          <w:szCs w:val="19"/>
          <w:color w:val="auto"/>
        </w:rPr>
        <w:t xml:space="preserve"> </w:t>
      </w:r>
      <w:r>
        <w:rPr>
          <w:rFonts w:ascii="Arial" w:cs="Arial" w:eastAsia="Arial" w:hAnsi="Arial"/>
          <w:sz w:val="19"/>
          <w:szCs w:val="19"/>
          <w:b w:val="1"/>
          <w:bCs w:val="1"/>
          <w:color w:val="auto"/>
        </w:rPr>
        <w:t>Date</w:t>
      </w:r>
      <w:r>
        <w:rPr>
          <w:rFonts w:ascii="Arial" w:cs="Arial" w:eastAsia="Arial" w:hAnsi="Arial"/>
          <w:sz w:val="19"/>
          <w:szCs w:val="19"/>
          <w:color w:val="auto"/>
        </w:rPr>
        <w:t>"), which additional amount of Common Shares may not exceed the lesser of:</w:t>
      </w:r>
    </w:p>
    <w:p>
      <w:pPr>
        <w:spacing w:after="0" w:line="155" w:lineRule="exact"/>
        <w:rPr>
          <w:sz w:val="20"/>
          <w:szCs w:val="20"/>
          <w:color w:val="auto"/>
        </w:rPr>
      </w:pPr>
    </w:p>
    <w:p>
      <w:pPr>
        <w:jc w:val="both"/>
        <w:ind w:left="1300"/>
        <w:spacing w:after="0"/>
        <w:rPr>
          <w:sz w:val="20"/>
          <w:szCs w:val="20"/>
          <w:color w:val="auto"/>
        </w:rPr>
      </w:pPr>
      <w:r>
        <w:rPr>
          <w:rFonts w:ascii="Arial" w:cs="Arial" w:eastAsia="Arial" w:hAnsi="Arial"/>
          <w:sz w:val="22"/>
          <w:szCs w:val="22"/>
          <w:color w:val="auto"/>
        </w:rPr>
        <w:t>300% of the number of Common Shares directed by the Corporation to be purchased by the Investor pursuant to the corresponding Regular Purchase (such corresponding Regular Purchase being subject to the applicable Regular Purchase Share Limit);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-420370</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6" w:lineRule="exact"/>
        <w:rPr>
          <w:sz w:val="20"/>
          <w:szCs w:val="20"/>
          <w:color w:val="auto"/>
        </w:rPr>
      </w:pPr>
    </w:p>
    <w:p>
      <w:pPr>
        <w:jc w:val="both"/>
        <w:ind w:left="1300"/>
        <w:spacing w:after="0" w:line="235" w:lineRule="auto"/>
        <w:rPr>
          <w:sz w:val="20"/>
          <w:szCs w:val="20"/>
          <w:color w:val="auto"/>
        </w:rPr>
      </w:pPr>
      <w:r>
        <w:rPr>
          <w:rFonts w:ascii="Arial" w:cs="Arial" w:eastAsia="Arial" w:hAnsi="Arial"/>
          <w:sz w:val="22"/>
          <w:szCs w:val="22"/>
          <w:color w:val="auto"/>
        </w:rPr>
        <w:t>30% of the aggregate number (or volume) of Common Shares traded on the NYSE American during all or, if certain trading volume or market price thresholds specified in the Purchase Agreement are crossed on the NYSE American on the applicable Accelerated Purchase Date, the portion of the normal trading hours on the NYSE American on the applicable Accelerated Purchase Date prior to such time that any one of such thresholds is crossed (such period of time on the applicable Accelerated Purchase Date, the "</w:t>
      </w:r>
      <w:r>
        <w:rPr>
          <w:rFonts w:ascii="Arial" w:cs="Arial" w:eastAsia="Arial" w:hAnsi="Arial"/>
          <w:sz w:val="22"/>
          <w:szCs w:val="22"/>
          <w:b w:val="1"/>
          <w:bCs w:val="1"/>
          <w:color w:val="auto"/>
        </w:rPr>
        <w:t>Accelerated Purchase</w:t>
      </w:r>
      <w:r>
        <w:rPr>
          <w:rFonts w:ascii="Arial" w:cs="Arial" w:eastAsia="Arial" w:hAnsi="Arial"/>
          <w:sz w:val="22"/>
          <w:szCs w:val="22"/>
          <w:color w:val="auto"/>
        </w:rPr>
        <w:t xml:space="preserve"> </w:t>
      </w:r>
      <w:r>
        <w:rPr>
          <w:rFonts w:ascii="Arial" w:cs="Arial" w:eastAsia="Arial" w:hAnsi="Arial"/>
          <w:sz w:val="22"/>
          <w:szCs w:val="22"/>
          <w:b w:val="1"/>
          <w:bCs w:val="1"/>
          <w:color w:val="auto"/>
        </w:rPr>
        <w:t>Measurement Period</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-882015</wp:posOffset>
            </wp:positionV>
            <wp:extent cx="6858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Corporation and the Investor may mutually agree to increase the number of Common Shares to be purchased by the Investor pursuant to any Accelerated Purchase.</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The purchase price per Common Share to be paid by the Investor for Common Shares purchased by the Investor from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Company in an Accelerated Purchase (the "</w:t>
      </w:r>
      <w:r>
        <w:rPr>
          <w:rFonts w:ascii="Arial" w:cs="Arial" w:eastAsia="Arial" w:hAnsi="Arial"/>
          <w:sz w:val="22"/>
          <w:szCs w:val="22"/>
          <w:b w:val="1"/>
          <w:bCs w:val="1"/>
          <w:color w:val="auto"/>
        </w:rPr>
        <w:t>Accelerated Purchase Price</w:t>
      </w:r>
      <w:r>
        <w:rPr>
          <w:rFonts w:ascii="Arial" w:cs="Arial" w:eastAsia="Arial" w:hAnsi="Arial"/>
          <w:sz w:val="22"/>
          <w:szCs w:val="22"/>
          <w:color w:val="auto"/>
        </w:rPr>
        <w:t xml:space="preserve">") will be equal to the </w:t>
      </w:r>
      <w:r>
        <w:rPr>
          <w:rFonts w:ascii="Arial" w:cs="Arial" w:eastAsia="Arial" w:hAnsi="Arial"/>
          <w:sz w:val="22"/>
          <w:szCs w:val="22"/>
          <w:u w:val="single" w:color="auto"/>
          <w:color w:val="auto"/>
        </w:rPr>
        <w:t>greater</w:t>
      </w:r>
      <w:r>
        <w:rPr>
          <w:rFonts w:ascii="Arial" w:cs="Arial" w:eastAsia="Arial" w:hAnsi="Arial"/>
          <w:sz w:val="22"/>
          <w:szCs w:val="22"/>
          <w:color w:val="auto"/>
        </w:rPr>
        <w:t xml:space="preserve"> of:</w:t>
      </w:r>
    </w:p>
    <w:p>
      <w:pPr>
        <w:spacing w:after="0" w:line="182" w:lineRule="exact"/>
        <w:rPr>
          <w:sz w:val="20"/>
          <w:szCs w:val="20"/>
          <w:color w:val="auto"/>
        </w:rPr>
      </w:pPr>
    </w:p>
    <w:p>
      <w:pPr>
        <w:jc w:val="both"/>
        <w:ind w:left="1300"/>
        <w:spacing w:after="0" w:line="239" w:lineRule="auto"/>
        <w:rPr>
          <w:sz w:val="20"/>
          <w:szCs w:val="20"/>
          <w:color w:val="auto"/>
        </w:rPr>
      </w:pPr>
      <w:r>
        <w:rPr>
          <w:rFonts w:ascii="Arial" w:cs="Arial" w:eastAsia="Arial" w:hAnsi="Arial"/>
          <w:sz w:val="22"/>
          <w:szCs w:val="22"/>
          <w:color w:val="auto"/>
        </w:rPr>
        <w:t xml:space="preserve">(A) 97% of the </w:t>
      </w:r>
      <w:r>
        <w:rPr>
          <w:rFonts w:ascii="Arial" w:cs="Arial" w:eastAsia="Arial" w:hAnsi="Arial"/>
          <w:sz w:val="22"/>
          <w:szCs w:val="22"/>
          <w:u w:val="single" w:color="auto"/>
          <w:color w:val="auto"/>
        </w:rPr>
        <w:t>lower</w:t>
      </w:r>
      <w:r>
        <w:rPr>
          <w:rFonts w:ascii="Arial" w:cs="Arial" w:eastAsia="Arial" w:hAnsi="Arial"/>
          <w:sz w:val="22"/>
          <w:szCs w:val="22"/>
          <w:color w:val="auto"/>
        </w:rPr>
        <w:t xml:space="preserve"> of (i) the volume weighted average price ("</w:t>
      </w:r>
      <w:r>
        <w:rPr>
          <w:rFonts w:ascii="Arial" w:cs="Arial" w:eastAsia="Arial" w:hAnsi="Arial"/>
          <w:sz w:val="22"/>
          <w:szCs w:val="22"/>
          <w:b w:val="1"/>
          <w:bCs w:val="1"/>
          <w:color w:val="auto"/>
        </w:rPr>
        <w:t>VWAP</w:t>
      </w:r>
      <w:r>
        <w:rPr>
          <w:rFonts w:ascii="Arial" w:cs="Arial" w:eastAsia="Arial" w:hAnsi="Arial"/>
          <w:sz w:val="22"/>
          <w:szCs w:val="22"/>
          <w:color w:val="auto"/>
        </w:rPr>
        <w:t>") of the Common Shares sold on the NYSE American (as reported by Bloomberg L.P.) during the Accelerated Purchase Measurement Period on the applicable Accelerated Purchase Date, and (ii) the Closing Price of the Common Shares on such applicable Accelerated Purchase Date;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-574675</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6" w:lineRule="exact"/>
        <w:rPr>
          <w:sz w:val="20"/>
          <w:szCs w:val="20"/>
          <w:color w:val="auto"/>
        </w:rPr>
      </w:pPr>
    </w:p>
    <w:p>
      <w:pPr>
        <w:jc w:val="both"/>
        <w:ind w:left="1300"/>
        <w:spacing w:after="0" w:line="250" w:lineRule="auto"/>
        <w:rPr>
          <w:sz w:val="20"/>
          <w:szCs w:val="20"/>
          <w:color w:val="auto"/>
        </w:rPr>
      </w:pPr>
      <w:r>
        <w:rPr>
          <w:rFonts w:ascii="Arial" w:cs="Arial" w:eastAsia="Arial" w:hAnsi="Arial"/>
          <w:sz w:val="22"/>
          <w:szCs w:val="22"/>
          <w:color w:val="auto"/>
        </w:rPr>
        <w:t>(B) the Maximum Discounted Price as of the close of trading on the NYSE American on the Business Day immediately preceding the Accelerated Purchase Date for such Accelerated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-273050</wp:posOffset>
            </wp:positionV>
            <wp:extent cx="68580"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In the case of Regular Purchases and Accelerated Purchases, the purchase price per Common Share to be paid by the Investor for the Common Shares purchased by the Investor from the Company in such purchases will be equitably adjusted for any reorganization, recapitalization, non-cash dividend, stock split, reverse stock split or other similar transaction occurring during any Business Day period that is used to compute the purchase price for such Common Shares under the Purchase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 w:name="page14"/>
    <w:bookmarkEnd w:id="13"/>
    <w:p>
      <w:pPr>
        <w:jc w:val="both"/>
        <w:spacing w:after="0"/>
        <w:rPr>
          <w:sz w:val="20"/>
          <w:szCs w:val="20"/>
          <w:color w:val="auto"/>
        </w:rPr>
      </w:pPr>
      <w:r>
        <w:rPr>
          <w:rFonts w:ascii="Arial" w:cs="Arial" w:eastAsia="Arial" w:hAnsi="Arial"/>
          <w:sz w:val="22"/>
          <w:szCs w:val="22"/>
          <w:color w:val="auto"/>
        </w:rPr>
        <w:t>There is no upper limit on the price per Common Share that the Investor must pay for the Common Shares under the Purchase Agreement, but in no event will shares be sold to the Investor at a price per Common Share that is less than the Maximum Discounted Price.</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Other than the limitations on the number of Common Shares that the Corporation can direct the Investor to purchase in any Regular Purchase and Accelerated Purchase described above, there are no trading volume requirements or restrictions applicable to any such purchases under the Purchase Agreement. The Corporation will control the timing and amount of any sales of Common Shares to the Investor pursuant to any Regular Purchase and Accelerated Purchase under the Purchase Agreement. The Corporation may not assign or transfer any of its rights or obligations under the Purchase Agreement without the prior written consent of the Investor, including by consolidation or merger. The Investor may not assign or transfer any of its rights or obligations under the Purchase Agreement.</w:t>
      </w:r>
    </w:p>
    <w:p>
      <w:pPr>
        <w:spacing w:after="0" w:line="18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no event may the Corporation issue to the Investor under the Purchase Agreement more than 50,258,180 Common Shares (including the Commitment Shares being issued to the Investor under the Purchase Agreement), which number of Common Shares is equal to 24.99% of the Common Shares outstanding immediately prior to the execution of the Purchase Agreement (the "</w:t>
      </w:r>
      <w:r>
        <w:rPr>
          <w:rFonts w:ascii="Arial" w:cs="Arial" w:eastAsia="Arial" w:hAnsi="Arial"/>
          <w:sz w:val="22"/>
          <w:szCs w:val="22"/>
          <w:b w:val="1"/>
          <w:bCs w:val="1"/>
          <w:color w:val="auto"/>
        </w:rPr>
        <w:t>Exchange Cap</w:t>
      </w:r>
      <w:r>
        <w:rPr>
          <w:rFonts w:ascii="Arial" w:cs="Arial" w:eastAsia="Arial" w:hAnsi="Arial"/>
          <w:sz w:val="22"/>
          <w:szCs w:val="22"/>
          <w:color w:val="auto"/>
        </w:rPr>
        <w:t>"), unless the Corporation obtains shareholder approval to issue Common Shares in excess of the Exchange Cap in accordance with applicable NEO rules.</w:t>
      </w:r>
    </w:p>
    <w:p>
      <w:pPr>
        <w:spacing w:after="0" w:line="18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Moreover, the Corporation may not issue or sell any Common Shares to the Investor under the Purchase Agreement which, when aggregated with all other Common Shares then beneficially owned by the Investor and its affiliates (as calculated pursuant to Section 13(d) of the U.S. Securities Exchange Act of 1934, as amended (the "</w:t>
      </w:r>
      <w:r>
        <w:rPr>
          <w:rFonts w:ascii="Arial" w:cs="Arial" w:eastAsia="Arial" w:hAnsi="Arial"/>
          <w:sz w:val="22"/>
          <w:szCs w:val="22"/>
          <w:b w:val="1"/>
          <w:bCs w:val="1"/>
          <w:color w:val="auto"/>
        </w:rPr>
        <w:t>Exchange Act</w:t>
      </w:r>
      <w:r>
        <w:rPr>
          <w:rFonts w:ascii="Arial" w:cs="Arial" w:eastAsia="Arial" w:hAnsi="Arial"/>
          <w:sz w:val="22"/>
          <w:szCs w:val="22"/>
          <w:color w:val="auto"/>
        </w:rPr>
        <w:t>"), and Rule 13d-3 thereunder), would result in the Investor beneficially owning more than 4.99% of the outstanding Common Shares (the "</w:t>
      </w:r>
      <w:r>
        <w:rPr>
          <w:rFonts w:ascii="Arial" w:cs="Arial" w:eastAsia="Arial" w:hAnsi="Arial"/>
          <w:sz w:val="22"/>
          <w:szCs w:val="22"/>
          <w:b w:val="1"/>
          <w:bCs w:val="1"/>
          <w:color w:val="auto"/>
        </w:rPr>
        <w:t>Beneficial</w:t>
      </w:r>
      <w:r>
        <w:rPr>
          <w:rFonts w:ascii="Arial" w:cs="Arial" w:eastAsia="Arial" w:hAnsi="Arial"/>
          <w:sz w:val="22"/>
          <w:szCs w:val="22"/>
          <w:color w:val="auto"/>
        </w:rPr>
        <w:t xml:space="preserve"> </w:t>
      </w:r>
      <w:r>
        <w:rPr>
          <w:rFonts w:ascii="Arial" w:cs="Arial" w:eastAsia="Arial" w:hAnsi="Arial"/>
          <w:sz w:val="22"/>
          <w:szCs w:val="22"/>
          <w:b w:val="1"/>
          <w:bCs w:val="1"/>
          <w:color w:val="auto"/>
        </w:rPr>
        <w:t>Ownership Limitation</w:t>
      </w:r>
      <w:r>
        <w:rPr>
          <w:rFonts w:ascii="Arial" w:cs="Arial" w:eastAsia="Arial" w:hAnsi="Arial"/>
          <w:sz w:val="22"/>
          <w:szCs w:val="22"/>
          <w:color w:val="auto"/>
        </w:rPr>
        <w:t>").</w:t>
      </w:r>
    </w:p>
    <w:p>
      <w:pPr>
        <w:spacing w:after="0" w:line="181"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None of the Common Shares that are issued and sold by the Corporation to the Investor pursuant to the Purchase Agreement will be offered for sale or sold by the Corporation or the Investor on the NEO or any other Canadian securities exchange or marketplace.</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There are no restrictions on future financings, rights of first refusal, participation rights, penalties or liquidated damages in the Purchase Agreement, except the Corporation is prohibited, subject to certain exceptions, during the term of the Purchase Agreement from effecting or entering into any agreement to effect an "equity line of credit" or other similar continuous offering of Common Shares with a third party investor, other than the Investor, in which the Corporation may issue and sell Common Shares to an investor, from time to time over a certain period of time, at future determined prices based on the market prices of the Common Shares at the time of each such issuance and sale. The Investor has represented to the Corporation that at no time prior to the time of execution of the Purchase Agreement has the Investor or its agents, representatives or affiliates engaged in or effected, in any manner whatsoever, directly or indirectly, any short sale (as such term is defined in Rule 200 of Regulation SHO under the Exchange Act) of the Common Shares, or any hedging transaction that establishes a net short position with respect to the Common Shares. The Investor has also agreed that during the term of the Purchase Agreement, neither the Investor nor any of its agents, representatives or affiliates will enter into or effect, directly or indirectly, any such short sales or hedging transactions with respect to the Common Shares described above.</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Corporation has the unconditional right, at any time, for any reason and without any payment or liability to the Corporation, to terminate the Purchase Agreement upon one Business Day's prior written notice to the Investor. The Purchase Agreement will automatically terminate if: (i) a bankruptcy proceeding is commenced by or against the Corporation that is not discharged within 90 days, or a custodian is appointed for the Corporation or for substantially of all of the Corporation's property, or the Corporation makes a general assignment for the benefit of its creditors, (ii) the Corporation sells and the Investor purchases the US$30,000,000 of Common Shares available for sale by the Corporation to the Investor under the Purchase Agreement, or (iii) the US$30,000,000 of Common Shares available for sale by the Corporation to the Investor under the Purchase Agreement has not been purchased by the Investor by the end of the 36-month term of the Purchase Agreement. No termination of the Purchase Agreement will be effective during the pendency of any Regular Purchase or Accelerated Purchase that has not then fully settled in accordance with the Purchase Agreement.</w:t>
      </w:r>
    </w:p>
    <w:p>
      <w:pPr>
        <w:spacing w:after="0" w:line="16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number of Common Shares ultimately offered for sale by the Corporation under this Prospectus Supplement is dependent upon the number of Common Shares purchased by the Investor under the Purchase Agreement.</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number of Common Shares ultimately offered for sale by the Corporation under this Prospectus Supplement is dependent upon the total number of Common Shares, if any, the Corporation elects to issue and sell to the Investor pursuant to the Purchase Agreement during the term of the Purchase Agreement. Issuances of Common Shares by the Corporation to the Investor under the Purchase Agreement will not affect the rights or privileges of the Corporation's existing shareholders, except that the economic and voting interests of each of the Corporation's existing shareholders will be diluted as a result of any such issuances. Although the number of Common Shares that the Corporation's existing shareholders own will not decrease as a result of such issuances and sales by the Corporation to the Investor under the Purchase Agreement, the Common Shares owned by the Corporation's existing shareholders will represent a smaller percentage of the total number of Common Shares outstanding after any such issuance of Common Shares by the Corporation to the Investor under the Purchase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34" w:gutter="0" w:footer="0" w:header="0"/>
        </w:sectPr>
      </w:pPr>
    </w:p>
    <w:bookmarkStart w:id="14" w:name="page15"/>
    <w:bookmarkEnd w:id="14"/>
    <w:p>
      <w:pPr>
        <w:jc w:val="both"/>
        <w:spacing w:after="0" w:line="252" w:lineRule="auto"/>
        <w:rPr>
          <w:sz w:val="20"/>
          <w:szCs w:val="20"/>
          <w:color w:val="auto"/>
        </w:rPr>
      </w:pPr>
      <w:r>
        <w:rPr>
          <w:rFonts w:ascii="Arial" w:cs="Arial" w:eastAsia="Arial" w:hAnsi="Arial"/>
          <w:sz w:val="21"/>
          <w:szCs w:val="21"/>
          <w:color w:val="auto"/>
        </w:rPr>
        <w:t>The following table sets forth the amount of proceeds the Corporation would receive from the Investor from the sale of Common Shares that are registered in the Offering at varying purchase prices (without accounting for certain fees and expenses), assuming the sale of Common Shares in the aggregate amount of US$30,000,000 of Common Shares at the average prices set forth in the table, and including the issuance by the Corporation of 2,538,844 Commitment Shares.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88"/>
              </w:rPr>
              <w:t>Percentage of Outstanding</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Assumed Purchase Price for</w:t>
            </w:r>
          </w:p>
        </w:tc>
        <w:tc>
          <w:tcPr>
            <w:tcW w:w="3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Number of Common Shares to be</w:t>
            </w: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Shares After Giving</w:t>
            </w:r>
          </w:p>
        </w:tc>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87"/>
              </w:rPr>
              <w:t>Proceeds from the Sale of</w:t>
            </w:r>
          </w:p>
        </w:tc>
        <w:tc>
          <w:tcPr>
            <w:tcW w:w="0" w:type="dxa"/>
            <w:vAlign w:val="bottom"/>
          </w:tcPr>
          <w:p>
            <w:pPr>
              <w:spacing w:after="0"/>
              <w:rPr>
                <w:sz w:val="1"/>
                <w:szCs w:val="1"/>
                <w:color w:val="auto"/>
              </w:rPr>
            </w:pPr>
          </w:p>
        </w:tc>
      </w:tr>
      <w:tr>
        <w:trPr>
          <w:trHeight w:val="108"/>
        </w:trPr>
        <w:tc>
          <w:tcPr>
            <w:tcW w:w="2680" w:type="dxa"/>
            <w:vAlign w:val="bottom"/>
            <w:vMerge w:val="continue"/>
          </w:tcPr>
          <w:p>
            <w:pPr>
              <w:spacing w:after="0"/>
              <w:rPr>
                <w:sz w:val="9"/>
                <w:szCs w:val="9"/>
                <w:color w:val="auto"/>
              </w:rPr>
            </w:pPr>
          </w:p>
        </w:tc>
        <w:tc>
          <w:tcPr>
            <w:tcW w:w="3000" w:type="dxa"/>
            <w:vAlign w:val="bottom"/>
            <w:vMerge w:val="continue"/>
          </w:tcPr>
          <w:p>
            <w:pPr>
              <w:spacing w:after="0"/>
              <w:rPr>
                <w:sz w:val="9"/>
                <w:szCs w:val="9"/>
                <w:color w:val="auto"/>
              </w:rPr>
            </w:pPr>
          </w:p>
        </w:tc>
        <w:tc>
          <w:tcPr>
            <w:tcW w:w="27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Effect to the Issuance to the</w:t>
            </w:r>
          </w:p>
        </w:tc>
        <w:tc>
          <w:tcPr>
            <w:tcW w:w="28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Common Shares to the Investor</w:t>
            </w:r>
          </w:p>
        </w:tc>
        <w:tc>
          <w:tcPr>
            <w:tcW w:w="0" w:type="dxa"/>
            <w:vAlign w:val="bottom"/>
          </w:tcPr>
          <w:p>
            <w:pPr>
              <w:spacing w:after="0"/>
              <w:rPr>
                <w:sz w:val="1"/>
                <w:szCs w:val="1"/>
                <w:color w:val="auto"/>
              </w:rPr>
            </w:pPr>
          </w:p>
        </w:tc>
      </w:tr>
      <w:tr>
        <w:trPr>
          <w:trHeight w:val="108"/>
        </w:trPr>
        <w:tc>
          <w:tcPr>
            <w:tcW w:w="26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Common Shares</w:t>
            </w:r>
          </w:p>
        </w:tc>
        <w:tc>
          <w:tcPr>
            <w:tcW w:w="3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Issued if Full Purchase</w:t>
            </w:r>
          </w:p>
        </w:tc>
        <w:tc>
          <w:tcPr>
            <w:tcW w:w="2700" w:type="dxa"/>
            <w:vAlign w:val="bottom"/>
            <w:vMerge w:val="continue"/>
          </w:tcPr>
          <w:p>
            <w:pPr>
              <w:spacing w:after="0"/>
              <w:rPr>
                <w:sz w:val="9"/>
                <w:szCs w:val="9"/>
                <w:color w:val="auto"/>
              </w:rPr>
            </w:pPr>
          </w:p>
        </w:tc>
        <w:tc>
          <w:tcPr>
            <w:tcW w:w="2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680" w:type="dxa"/>
            <w:vAlign w:val="bottom"/>
            <w:vMerge w:val="continue"/>
          </w:tcPr>
          <w:p>
            <w:pPr>
              <w:spacing w:after="0"/>
              <w:rPr>
                <w:sz w:val="10"/>
                <w:szCs w:val="10"/>
                <w:color w:val="auto"/>
              </w:rPr>
            </w:pPr>
          </w:p>
        </w:tc>
        <w:tc>
          <w:tcPr>
            <w:tcW w:w="3000" w:type="dxa"/>
            <w:vAlign w:val="bottom"/>
            <w:vMerge w:val="continue"/>
          </w:tcPr>
          <w:p>
            <w:pPr>
              <w:spacing w:after="0"/>
              <w:rPr>
                <w:sz w:val="10"/>
                <w:szCs w:val="10"/>
                <w:color w:val="auto"/>
              </w:rPr>
            </w:pPr>
          </w:p>
        </w:tc>
        <w:tc>
          <w:tcPr>
            <w:tcW w:w="27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Investor</w:t>
            </w:r>
          </w:p>
        </w:tc>
        <w:tc>
          <w:tcPr>
            <w:tcW w:w="28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Under the Purchase Agreement</w:t>
            </w:r>
          </w:p>
        </w:tc>
        <w:tc>
          <w:tcPr>
            <w:tcW w:w="0" w:type="dxa"/>
            <w:vAlign w:val="bottom"/>
          </w:tcPr>
          <w:p>
            <w:pPr>
              <w:spacing w:after="0"/>
              <w:rPr>
                <w:sz w:val="1"/>
                <w:szCs w:val="1"/>
                <w:color w:val="auto"/>
              </w:rPr>
            </w:pPr>
          </w:p>
        </w:tc>
      </w:tr>
      <w:tr>
        <w:trPr>
          <w:trHeight w:val="108"/>
        </w:trPr>
        <w:tc>
          <w:tcPr>
            <w:tcW w:w="26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700" w:type="dxa"/>
            <w:vAlign w:val="bottom"/>
            <w:vMerge w:val="continue"/>
          </w:tcPr>
          <w:p>
            <w:pPr>
              <w:spacing w:after="0"/>
              <w:rPr>
                <w:sz w:val="9"/>
                <w:szCs w:val="9"/>
                <w:color w:val="auto"/>
              </w:rPr>
            </w:pPr>
          </w:p>
        </w:tc>
        <w:tc>
          <w:tcPr>
            <w:tcW w:w="2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US$0.30</w:t>
            </w:r>
          </w:p>
        </w:tc>
        <w:tc>
          <w:tcPr>
            <w:tcW w:w="30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102,538,844</w:t>
            </w:r>
          </w:p>
        </w:tc>
        <w:tc>
          <w:tcPr>
            <w:tcW w:w="27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33.80%</w:t>
            </w:r>
          </w:p>
        </w:tc>
        <w:tc>
          <w:tcPr>
            <w:tcW w:w="28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US$30,000,000</w:t>
            </w:r>
          </w:p>
        </w:tc>
        <w:tc>
          <w:tcPr>
            <w:tcW w:w="0" w:type="dxa"/>
            <w:vAlign w:val="bottom"/>
          </w:tcPr>
          <w:p>
            <w:pPr>
              <w:spacing w:after="0"/>
              <w:rPr>
                <w:sz w:val="1"/>
                <w:szCs w:val="1"/>
                <w:color w:val="auto"/>
              </w:rPr>
            </w:pPr>
          </w:p>
        </w:tc>
      </w:tr>
      <w:tr>
        <w:trPr>
          <w:trHeight w:val="216"/>
        </w:trPr>
        <w:tc>
          <w:tcPr>
            <w:tcW w:w="2680" w:type="dxa"/>
            <w:vAlign w:val="bottom"/>
          </w:tcPr>
          <w:p>
            <w:pPr>
              <w:jc w:val="center"/>
              <w:spacing w:after="0"/>
              <w:rPr>
                <w:sz w:val="20"/>
                <w:szCs w:val="20"/>
                <w:color w:val="auto"/>
              </w:rPr>
            </w:pPr>
            <w:r>
              <w:rPr>
                <w:rFonts w:ascii="Arial" w:cs="Arial" w:eastAsia="Arial" w:hAnsi="Arial"/>
                <w:sz w:val="18"/>
                <w:szCs w:val="18"/>
                <w:color w:val="auto"/>
                <w:w w:val="91"/>
              </w:rPr>
              <w:t>US$0.35</w:t>
            </w:r>
          </w:p>
        </w:tc>
        <w:tc>
          <w:tcPr>
            <w:tcW w:w="3000" w:type="dxa"/>
            <w:vAlign w:val="bottom"/>
          </w:tcPr>
          <w:p>
            <w:pPr>
              <w:jc w:val="center"/>
              <w:spacing w:after="0"/>
              <w:rPr>
                <w:sz w:val="20"/>
                <w:szCs w:val="20"/>
                <w:color w:val="auto"/>
              </w:rPr>
            </w:pPr>
            <w:r>
              <w:rPr>
                <w:rFonts w:ascii="Arial" w:cs="Arial" w:eastAsia="Arial" w:hAnsi="Arial"/>
                <w:sz w:val="18"/>
                <w:szCs w:val="18"/>
                <w:color w:val="auto"/>
                <w:w w:val="88"/>
              </w:rPr>
              <w:t>88,253,129</w:t>
            </w: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30.53%</w:t>
            </w:r>
          </w:p>
        </w:tc>
        <w:tc>
          <w:tcPr>
            <w:tcW w:w="2860" w:type="dxa"/>
            <w:vAlign w:val="bottom"/>
          </w:tcPr>
          <w:p>
            <w:pPr>
              <w:jc w:val="center"/>
              <w:spacing w:after="0"/>
              <w:rPr>
                <w:sz w:val="20"/>
                <w:szCs w:val="20"/>
                <w:color w:val="auto"/>
              </w:rPr>
            </w:pPr>
            <w:r>
              <w:rPr>
                <w:rFonts w:ascii="Arial" w:cs="Arial" w:eastAsia="Arial" w:hAnsi="Arial"/>
                <w:sz w:val="18"/>
                <w:szCs w:val="18"/>
                <w:color w:val="auto"/>
                <w:w w:val="91"/>
              </w:rPr>
              <w:t>US$30,000,000</w:t>
            </w:r>
          </w:p>
        </w:tc>
        <w:tc>
          <w:tcPr>
            <w:tcW w:w="0" w:type="dxa"/>
            <w:vAlign w:val="bottom"/>
          </w:tcPr>
          <w:p>
            <w:pPr>
              <w:spacing w:after="0"/>
              <w:rPr>
                <w:sz w:val="1"/>
                <w:szCs w:val="1"/>
                <w:color w:val="auto"/>
              </w:rPr>
            </w:pPr>
          </w:p>
        </w:tc>
      </w:tr>
      <w:tr>
        <w:trPr>
          <w:trHeight w:val="216"/>
        </w:trPr>
        <w:tc>
          <w:tcPr>
            <w:tcW w:w="2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US$0.40</w:t>
            </w:r>
          </w:p>
        </w:tc>
        <w:tc>
          <w:tcPr>
            <w:tcW w:w="30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77,538,844</w:t>
            </w:r>
          </w:p>
        </w:tc>
        <w:tc>
          <w:tcPr>
            <w:tcW w:w="27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27.86%</w:t>
            </w:r>
          </w:p>
        </w:tc>
        <w:tc>
          <w:tcPr>
            <w:tcW w:w="28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US$30,000,000</w:t>
            </w:r>
          </w:p>
        </w:tc>
        <w:tc>
          <w:tcPr>
            <w:tcW w:w="0" w:type="dxa"/>
            <w:vAlign w:val="bottom"/>
          </w:tcPr>
          <w:p>
            <w:pPr>
              <w:spacing w:after="0"/>
              <w:rPr>
                <w:sz w:val="1"/>
                <w:szCs w:val="1"/>
                <w:color w:val="auto"/>
              </w:rPr>
            </w:pPr>
          </w:p>
        </w:tc>
      </w:tr>
      <w:tr>
        <w:trPr>
          <w:trHeight w:val="216"/>
        </w:trPr>
        <w:tc>
          <w:tcPr>
            <w:tcW w:w="2680" w:type="dxa"/>
            <w:vAlign w:val="bottom"/>
          </w:tcPr>
          <w:p>
            <w:pPr>
              <w:jc w:val="center"/>
              <w:spacing w:after="0"/>
              <w:rPr>
                <w:sz w:val="20"/>
                <w:szCs w:val="20"/>
                <w:color w:val="auto"/>
              </w:rPr>
            </w:pPr>
            <w:r>
              <w:rPr>
                <w:rFonts w:ascii="Arial" w:cs="Arial" w:eastAsia="Arial" w:hAnsi="Arial"/>
                <w:sz w:val="18"/>
                <w:szCs w:val="18"/>
                <w:color w:val="auto"/>
                <w:w w:val="91"/>
              </w:rPr>
              <w:t>US$0.45</w:t>
            </w:r>
          </w:p>
        </w:tc>
        <w:tc>
          <w:tcPr>
            <w:tcW w:w="3000" w:type="dxa"/>
            <w:vAlign w:val="bottom"/>
          </w:tcPr>
          <w:p>
            <w:pPr>
              <w:jc w:val="center"/>
              <w:spacing w:after="0"/>
              <w:rPr>
                <w:sz w:val="20"/>
                <w:szCs w:val="20"/>
                <w:color w:val="auto"/>
              </w:rPr>
            </w:pPr>
            <w:r>
              <w:rPr>
                <w:rFonts w:ascii="Arial" w:cs="Arial" w:eastAsia="Arial" w:hAnsi="Arial"/>
                <w:sz w:val="18"/>
                <w:szCs w:val="18"/>
                <w:color w:val="auto"/>
                <w:w w:val="88"/>
              </w:rPr>
              <w:t>69,205,510</w:t>
            </w: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25.63%</w:t>
            </w:r>
          </w:p>
        </w:tc>
        <w:tc>
          <w:tcPr>
            <w:tcW w:w="2860" w:type="dxa"/>
            <w:vAlign w:val="bottom"/>
          </w:tcPr>
          <w:p>
            <w:pPr>
              <w:jc w:val="center"/>
              <w:spacing w:after="0"/>
              <w:rPr>
                <w:sz w:val="20"/>
                <w:szCs w:val="20"/>
                <w:color w:val="auto"/>
              </w:rPr>
            </w:pPr>
            <w:r>
              <w:rPr>
                <w:rFonts w:ascii="Arial" w:cs="Arial" w:eastAsia="Arial" w:hAnsi="Arial"/>
                <w:sz w:val="18"/>
                <w:szCs w:val="18"/>
                <w:color w:val="auto"/>
                <w:w w:val="91"/>
              </w:rPr>
              <w:t>US$30,000,000</w:t>
            </w:r>
          </w:p>
        </w:tc>
        <w:tc>
          <w:tcPr>
            <w:tcW w:w="0" w:type="dxa"/>
            <w:vAlign w:val="bottom"/>
          </w:tcPr>
          <w:p>
            <w:pPr>
              <w:spacing w:after="0"/>
              <w:rPr>
                <w:sz w:val="1"/>
                <w:szCs w:val="1"/>
                <w:color w:val="auto"/>
              </w:rPr>
            </w:pPr>
          </w:p>
        </w:tc>
      </w:tr>
      <w:tr>
        <w:trPr>
          <w:trHeight w:val="216"/>
        </w:trPr>
        <w:tc>
          <w:tcPr>
            <w:tcW w:w="2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US$0.50</w:t>
            </w:r>
          </w:p>
        </w:tc>
        <w:tc>
          <w:tcPr>
            <w:tcW w:w="30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62,538,844</w:t>
            </w:r>
          </w:p>
        </w:tc>
        <w:tc>
          <w:tcPr>
            <w:tcW w:w="27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23.75%</w:t>
            </w:r>
          </w:p>
        </w:tc>
        <w:tc>
          <w:tcPr>
            <w:tcW w:w="28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US$30,000,000</w:t>
            </w:r>
          </w:p>
        </w:tc>
        <w:tc>
          <w:tcPr>
            <w:tcW w:w="0" w:type="dxa"/>
            <w:vAlign w:val="bottom"/>
          </w:tcPr>
          <w:p>
            <w:pPr>
              <w:spacing w:after="0"/>
              <w:rPr>
                <w:sz w:val="1"/>
                <w:szCs w:val="1"/>
                <w:color w:val="auto"/>
              </w:rPr>
            </w:pPr>
          </w:p>
        </w:tc>
      </w:tr>
      <w:tr>
        <w:trPr>
          <w:trHeight w:val="230"/>
        </w:trPr>
        <w:tc>
          <w:tcPr>
            <w:tcW w:w="2680" w:type="dxa"/>
            <w:vAlign w:val="bottom"/>
          </w:tcPr>
          <w:p>
            <w:pPr>
              <w:jc w:val="center"/>
              <w:spacing w:after="0"/>
              <w:rPr>
                <w:sz w:val="20"/>
                <w:szCs w:val="20"/>
                <w:color w:val="auto"/>
              </w:rPr>
            </w:pPr>
            <w:r>
              <w:rPr>
                <w:rFonts w:ascii="Arial" w:cs="Arial" w:eastAsia="Arial" w:hAnsi="Arial"/>
                <w:sz w:val="18"/>
                <w:szCs w:val="18"/>
                <w:color w:val="auto"/>
                <w:w w:val="91"/>
              </w:rPr>
              <w:t>US$0.70</w:t>
            </w:r>
          </w:p>
        </w:tc>
        <w:tc>
          <w:tcPr>
            <w:tcW w:w="3000" w:type="dxa"/>
            <w:vAlign w:val="bottom"/>
          </w:tcPr>
          <w:p>
            <w:pPr>
              <w:jc w:val="center"/>
              <w:spacing w:after="0"/>
              <w:rPr>
                <w:sz w:val="20"/>
                <w:szCs w:val="20"/>
                <w:color w:val="auto"/>
              </w:rPr>
            </w:pPr>
            <w:r>
              <w:rPr>
                <w:rFonts w:ascii="Arial" w:cs="Arial" w:eastAsia="Arial" w:hAnsi="Arial"/>
                <w:sz w:val="18"/>
                <w:szCs w:val="18"/>
                <w:color w:val="auto"/>
                <w:w w:val="88"/>
              </w:rPr>
              <w:t>45,395,986</w:t>
            </w: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18.44%</w:t>
            </w:r>
          </w:p>
        </w:tc>
        <w:tc>
          <w:tcPr>
            <w:tcW w:w="2860" w:type="dxa"/>
            <w:vAlign w:val="bottom"/>
          </w:tcPr>
          <w:p>
            <w:pPr>
              <w:jc w:val="center"/>
              <w:spacing w:after="0"/>
              <w:rPr>
                <w:sz w:val="20"/>
                <w:szCs w:val="20"/>
                <w:color w:val="auto"/>
              </w:rPr>
            </w:pPr>
            <w:r>
              <w:rPr>
                <w:rFonts w:ascii="Arial" w:cs="Arial" w:eastAsia="Arial" w:hAnsi="Arial"/>
                <w:sz w:val="18"/>
                <w:szCs w:val="18"/>
                <w:color w:val="auto"/>
                <w:w w:val="91"/>
              </w:rPr>
              <w:t>US$30,000,000</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"Suspension Events" under the Purchase Agreement include the following:</w:t>
      </w:r>
    </w:p>
    <w:p>
      <w:pPr>
        <w:spacing w:after="0" w:line="206" w:lineRule="exact"/>
        <w:rPr>
          <w:sz w:val="20"/>
          <w:szCs w:val="20"/>
          <w:color w:val="auto"/>
        </w:rPr>
      </w:pPr>
    </w:p>
    <w:p>
      <w:pPr>
        <w:jc w:val="both"/>
        <w:ind w:left="660"/>
        <w:spacing w:after="0" w:line="233" w:lineRule="auto"/>
        <w:rPr>
          <w:sz w:val="20"/>
          <w:szCs w:val="20"/>
          <w:color w:val="auto"/>
        </w:rPr>
      </w:pPr>
      <w:r>
        <w:rPr>
          <w:rFonts w:ascii="Arial" w:cs="Arial" w:eastAsia="Arial" w:hAnsi="Arial"/>
          <w:sz w:val="22"/>
          <w:szCs w:val="22"/>
          <w:color w:val="auto"/>
        </w:rPr>
        <w:t>the effectiveness of the Registration Statement lapses for any reason (including, without limitation, the issuance of a stop order or similar order), or this Prospectus Supplement and accompanying Base Shelf Prospectus related to the Offering hereby are unavailable for sale by the Corporation to the Investor for the Common Shares offered hereby and such lapse or unavailability continues for a period of 10 consecutive trading days or for more than an aggregate of 30 trading days in any 365-day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-718185</wp:posOffset>
            </wp:positionV>
            <wp:extent cx="68580"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right="1840"/>
        <w:spacing w:after="0" w:line="241" w:lineRule="auto"/>
        <w:rPr>
          <w:sz w:val="20"/>
          <w:szCs w:val="20"/>
          <w:color w:val="auto"/>
        </w:rPr>
      </w:pPr>
      <w:r>
        <w:rPr>
          <w:rFonts w:ascii="Arial" w:cs="Arial" w:eastAsia="Arial" w:hAnsi="Arial"/>
          <w:sz w:val="21"/>
          <w:szCs w:val="21"/>
          <w:color w:val="auto"/>
        </w:rPr>
        <w:t>the Common Shares cease to be DTC authorized and participating in the D.W.A.C./F.A.S.T. systems; suspension of the Common Shares from trading for a period of one trading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-257810</wp:posOffset>
            </wp:positionV>
            <wp:extent cx="68580" cy="68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-103505</wp:posOffset>
            </wp:positionV>
            <wp:extent cx="68580" cy="68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660"/>
        <w:spacing w:after="0" w:line="230" w:lineRule="auto"/>
        <w:rPr>
          <w:sz w:val="20"/>
          <w:szCs w:val="20"/>
          <w:color w:val="auto"/>
        </w:rPr>
      </w:pPr>
      <w:r>
        <w:rPr>
          <w:rFonts w:ascii="Arial" w:cs="Arial" w:eastAsia="Arial" w:hAnsi="Arial"/>
          <w:sz w:val="22"/>
          <w:szCs w:val="22"/>
          <w:color w:val="auto"/>
        </w:rPr>
        <w:t>if the Common Shares cease to be eligible for trading on the NYSE American and are not immediately thereafter trading on the NASDAQ Global Select Market, NASDAQ Global Market, the NASDAQ Capital Market, the New York Stock Exchange, or the OTC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-411480</wp:posOffset>
            </wp:positionV>
            <wp:extent cx="68580" cy="685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660"/>
        <w:spacing w:after="0" w:line="230" w:lineRule="auto"/>
        <w:rPr>
          <w:sz w:val="20"/>
          <w:szCs w:val="20"/>
          <w:color w:val="auto"/>
        </w:rPr>
      </w:pPr>
      <w:r>
        <w:rPr>
          <w:rFonts w:ascii="Arial" w:cs="Arial" w:eastAsia="Arial" w:hAnsi="Arial"/>
          <w:sz w:val="22"/>
          <w:szCs w:val="22"/>
          <w:color w:val="auto"/>
        </w:rPr>
        <w:t>any breach of the representations or warranties or covenants contained in the Purchase Agreement or any related agreements which has or which could have a material adverse effect on the Investor, subject to a cure period of five (5) Business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-411480</wp:posOffset>
            </wp:positionV>
            <wp:extent cx="68580" cy="685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color w:val="auto"/>
        </w:rPr>
        <w:t>any participation or threatened participation in insolvency or bankruptcy proceedings by or against the Corporation;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-88900</wp:posOffset>
            </wp:positionV>
            <wp:extent cx="68580" cy="685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5" w:lineRule="exact"/>
        <w:rPr>
          <w:sz w:val="20"/>
          <w:szCs w:val="20"/>
          <w:color w:val="auto"/>
        </w:rPr>
      </w:pPr>
    </w:p>
    <w:p>
      <w:pPr>
        <w:jc w:val="both"/>
        <w:ind w:left="660"/>
        <w:spacing w:after="0" w:line="233" w:lineRule="auto"/>
        <w:rPr>
          <w:sz w:val="20"/>
          <w:szCs w:val="20"/>
          <w:color w:val="auto"/>
        </w:rPr>
      </w:pPr>
      <w:r>
        <w:rPr>
          <w:rFonts w:ascii="Arial" w:cs="Arial" w:eastAsia="Arial" w:hAnsi="Arial"/>
          <w:sz w:val="22"/>
          <w:szCs w:val="22"/>
          <w:color w:val="auto"/>
        </w:rPr>
        <w:t>if at any time the Corporation has issued an aggregate number of Common Shares with respect to which the Exchange Cap applies under the applicable rules of the NEO equal to the Exchange Cap, and the Corporation has not then obtained shareholder approval to issue and sell Common Shares in excess of the Exchange Cap in accordance with the applicable rules of the 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-573405</wp:posOffset>
            </wp:positionV>
            <wp:extent cx="68580" cy="685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Investor does not have the right to terminate the Purchase Agreement upon any of the Suspension Events set forth above; however, so long as a Suspension Event has occurred and is continuing, or if any event which, after notice and/or lapse of time, would become a Suspension Event has occurred and is continuing, the Corporation is prohibited from delivering to any Regular Purchase Notice or Accelerated Purchase Notice to the Investor directing the Investor to purchase Common Shares from the Corporation under the Purchase Agreement.</w:t>
      </w:r>
    </w:p>
    <w:p>
      <w:pPr>
        <w:spacing w:after="0" w:line="18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Offering will terminate on the date that all Common Shares offered by this Prospectus Supplement have been sold by the Corporation to the Investor pursuant to the Purchase Agreement, and all of such Common Shares have been resold by the Investor to the public, or, if earlier, on the date of expiration or termination of the Purchase Agreement in accordance with its terms.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 w:name="page16"/>
    <w:bookmarkEnd w:id="15"/>
    <w:p>
      <w:pPr>
        <w:spacing w:after="0"/>
        <w:rPr>
          <w:sz w:val="20"/>
          <w:szCs w:val="20"/>
          <w:color w:val="auto"/>
        </w:rPr>
      </w:pPr>
      <w:r>
        <w:rPr>
          <w:rFonts w:ascii="Arial" w:cs="Arial" w:eastAsia="Arial" w:hAnsi="Arial"/>
          <w:sz w:val="22"/>
          <w:szCs w:val="22"/>
          <w:b w:val="1"/>
          <w:bCs w:val="1"/>
          <w:color w:val="auto"/>
        </w:rPr>
        <w:t>Intercorporate Relationship</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As at the date of this Prospectus Supplement, the Corporation's corporate structure includes the following material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124460</wp:posOffset>
            </wp:positionV>
            <wp:extent cx="3686175" cy="39001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86175" cy="390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900"/>
        <w:spacing w:after="0"/>
        <w:rPr>
          <w:sz w:val="20"/>
          <w:szCs w:val="20"/>
          <w:color w:val="auto"/>
        </w:rPr>
      </w:pPr>
      <w:r>
        <w:rPr>
          <w:rFonts w:ascii="Arial" w:cs="Arial" w:eastAsia="Arial" w:hAnsi="Arial"/>
          <w:sz w:val="22"/>
          <w:szCs w:val="22"/>
          <w:b w:val="1"/>
          <w:bCs w:val="1"/>
          <w:color w:val="auto"/>
        </w:rPr>
        <w:t>Note:</w:t>
      </w:r>
    </w:p>
    <w:p>
      <w:pPr>
        <w:spacing w:after="0" w:line="206" w:lineRule="exact"/>
        <w:rPr>
          <w:sz w:val="20"/>
          <w:szCs w:val="20"/>
          <w:color w:val="auto"/>
        </w:rPr>
      </w:pPr>
    </w:p>
    <w:p>
      <w:pPr>
        <w:jc w:val="both"/>
        <w:ind w:left="1420" w:hanging="263"/>
        <w:spacing w:after="0" w:line="239" w:lineRule="auto"/>
        <w:tabs>
          <w:tab w:leader="none" w:pos="1468"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shareholders of Adelia Therapeutics Inc. ("</w:t>
      </w:r>
      <w:r>
        <w:rPr>
          <w:rFonts w:ascii="Arial" w:cs="Arial" w:eastAsia="Arial" w:hAnsi="Arial"/>
          <w:sz w:val="22"/>
          <w:szCs w:val="22"/>
          <w:b w:val="1"/>
          <w:bCs w:val="1"/>
          <w:color w:val="auto"/>
        </w:rPr>
        <w:t>Adelia</w:t>
      </w:r>
      <w:r>
        <w:rPr>
          <w:rFonts w:ascii="Arial" w:cs="Arial" w:eastAsia="Arial" w:hAnsi="Arial"/>
          <w:sz w:val="22"/>
          <w:szCs w:val="22"/>
          <w:color w:val="auto"/>
        </w:rPr>
        <w:t>") hold certain non-voting securities of Cybin U.S. issued in connection with the acquisition of Adelia on December 14, 2020 (the "</w:t>
      </w:r>
      <w:r>
        <w:rPr>
          <w:rFonts w:ascii="Arial" w:cs="Arial" w:eastAsia="Arial" w:hAnsi="Arial"/>
          <w:sz w:val="22"/>
          <w:szCs w:val="22"/>
          <w:b w:val="1"/>
          <w:bCs w:val="1"/>
          <w:color w:val="auto"/>
        </w:rPr>
        <w:t>Adelia Transaction</w:t>
      </w:r>
      <w:r>
        <w:rPr>
          <w:rFonts w:ascii="Arial" w:cs="Arial" w:eastAsia="Arial" w:hAnsi="Arial"/>
          <w:sz w:val="22"/>
          <w:szCs w:val="22"/>
          <w:color w:val="auto"/>
        </w:rPr>
        <w:t>"). For additional information in respect of the Adelia Transaction, please see the Annual Information Form incorporated by reference in this Prospectus Supplement.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THE COMMON SHARES</w:t>
      </w:r>
    </w:p>
    <w:p>
      <w:pPr>
        <w:spacing w:after="0" w:line="21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The Corporation is authorized to issue an unlimited number of Common Shares and an unlimited number of preferred shares. As of May 29</w:t>
      </w:r>
      <w:r>
        <w:rPr>
          <w:rFonts w:ascii="Arial" w:cs="Arial" w:eastAsia="Arial" w:hAnsi="Arial"/>
          <w:sz w:val="19"/>
          <w:szCs w:val="19"/>
          <w:b w:val="1"/>
          <w:bCs w:val="1"/>
          <w:color w:val="auto"/>
        </w:rPr>
        <w:t>,</w:t>
      </w:r>
      <w:r>
        <w:rPr>
          <w:rFonts w:ascii="Arial" w:cs="Arial" w:eastAsia="Arial" w:hAnsi="Arial"/>
          <w:sz w:val="19"/>
          <w:szCs w:val="19"/>
          <w:color w:val="auto"/>
        </w:rPr>
        <w:t xml:space="preserve"> 2023, the Corporation had 201,113,169 Common Shares and nil preferred shares issued and outstanding.</w:t>
      </w:r>
    </w:p>
    <w:p>
      <w:pPr>
        <w:spacing w:after="0" w:line="10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Each Common Share entitles the holder thereof to one vote at meetings of shareholders of the Corporation other than meetings of the holders of another class of shares. Each holder of Common Shares is also entitled to receive dividends if, as and when declared by the board of directors of the Corporation. Holders of Common Shares are entitled to participate in any distribution of the Corporation's net assets upon liquidation, dissolution or winding-up on an equal basis per share. There are no pre-emptive, redemption, retraction, purchase or conversion rights attaching to the Common Shares.</w:t>
      </w:r>
    </w:p>
    <w:p>
      <w:pPr>
        <w:spacing w:after="0" w:line="147" w:lineRule="exact"/>
        <w:rPr>
          <w:sz w:val="20"/>
          <w:szCs w:val="20"/>
          <w:color w:val="auto"/>
        </w:rPr>
      </w:pPr>
    </w:p>
    <w:p>
      <w:pPr>
        <w:jc w:val="both"/>
        <w:spacing w:after="0"/>
        <w:rPr>
          <w:sz w:val="20"/>
          <w:szCs w:val="20"/>
          <w:color w:val="auto"/>
        </w:rPr>
      </w:pPr>
      <w:r>
        <w:rPr>
          <w:rFonts w:ascii="Arial" w:cs="Arial" w:eastAsia="Arial" w:hAnsi="Arial"/>
          <w:sz w:val="22"/>
          <w:szCs w:val="22"/>
          <w:color w:val="auto"/>
        </w:rPr>
        <w:t>Common Shares may be sold separately or together with certain other Securities under this Prospectus Supplement. Common Shares may also be issuable on conversion, exchange, exercise or maturity of certain other Securities qualified for issuance under this Prospectus Supplement.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USE OF PROCEEDS</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As it is uncertain how many Common Shares will be sold or the prices at which the Common Shares will be sold, the net proceeds to the Corporation from the sale of Common Shares to the Investor pursuant to this Prospectus Supplement cannot be determined at this time. Assuming the Corporation sells Common Shares and issues the related Commitment Shares for no cash consideration such that the full US$30,000,000 of Common Shares (excluding the Commitment Shares) qualified by this Prospectus Supplement are issued, the estimated net proceeds of the Offering will be approximately US$29,700,000 after estimated expenses of US$300,000 payable by the Corporation.</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Assuming estimated net proceeds of approximately US$29,700,000, the Corporation intends to use the net proceeds from the Offering for: (i) growth opportunities, and (ii) working capital initiatives. The Corporation believes it is prudent, particularly at the Corporation's stage of development and the competitive industry landscape, to secure capital for general corporate and working capital purposes to ensure that the Corporation maintains sufficient liquidity and capital resources in the near to medium term. At any given time, the Corporation may be engaged in discussions and activities in respect of potential growth initiatives and other strategic opportunities that are complementary or accretive to the Corporation's business, which may include acquisitions or other investments. As of the date of this Prospectus Supplement, the Corporation has not identified any specific investments or projects, nor any probable or significant acquisitions it wishes to undertake; however, it is important for the Corporation to have supplemental funds available to quickly and opportunistically pursue such opportunities as they arise. Given uncertain market conditions, the Corporation believes it is prudent to complete the Offering in order to further increase the Corporation's access to supplemental funds.</w:t>
      </w:r>
    </w:p>
    <w:p>
      <w:pPr>
        <w:spacing w:after="0" w:line="200" w:lineRule="exact"/>
        <w:rPr>
          <w:sz w:val="20"/>
          <w:szCs w:val="20"/>
          <w:color w:val="auto"/>
        </w:rPr>
      </w:pP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 xml:space="preserve">The use of the net proceeds of the Offering to fund the Corporation's on-going clinical trials, potential growth initiatives and other strategic opportunities is subject to change due to the influence of many evolving variables, including those as described under </w:t>
      </w:r>
      <w:r>
        <w:rPr>
          <w:rFonts w:ascii="Arial" w:cs="Arial" w:eastAsia="Arial" w:hAnsi="Arial"/>
          <w:sz w:val="19"/>
          <w:szCs w:val="19"/>
          <w:i w:val="1"/>
          <w:iCs w:val="1"/>
          <w:color w:val="auto"/>
        </w:rPr>
        <w:t>"Stage of Development of Principal Products"</w:t>
      </w:r>
      <w:r>
        <w:rPr>
          <w:rFonts w:ascii="Arial" w:cs="Arial" w:eastAsia="Arial" w:hAnsi="Arial"/>
          <w:sz w:val="19"/>
          <w:szCs w:val="19"/>
          <w:color w:val="auto"/>
        </w:rPr>
        <w:t xml:space="preserve"> in the Interim MD&amp;A and in the Annual Information Form, any changes in legislation and regulations, applications for licenses and the receipt of required licenses, renewals and other regulatory approvals. As a result, the Corporation cannot provide definitive details with respect to timing or specific uses of the net proceeds of the Offering. Such decisions will depend on market and competitive factors, as described herein, as they evolve over time. See </w:t>
      </w:r>
      <w:r>
        <w:rPr>
          <w:rFonts w:ascii="Arial" w:cs="Arial" w:eastAsia="Arial" w:hAnsi="Arial"/>
          <w:sz w:val="19"/>
          <w:szCs w:val="19"/>
          <w:i w:val="1"/>
          <w:iCs w:val="1"/>
          <w:color w:val="auto"/>
        </w:rPr>
        <w:t xml:space="preserve">"Cautionary Statement Regarding Forward-Looking Statements" </w:t>
      </w:r>
      <w:r>
        <w:rPr>
          <w:rFonts w:ascii="Arial" w:cs="Arial" w:eastAsia="Arial" w:hAnsi="Arial"/>
          <w:sz w:val="19"/>
          <w:szCs w:val="19"/>
          <w:color w:val="auto"/>
        </w:rPr>
        <w:t>and</w:t>
      </w:r>
      <w:r>
        <w:rPr>
          <w:rFonts w:ascii="Arial" w:cs="Arial" w:eastAsia="Arial" w:hAnsi="Arial"/>
          <w:sz w:val="19"/>
          <w:szCs w:val="19"/>
          <w:i w:val="1"/>
          <w:iCs w:val="1"/>
          <w:color w:val="auto"/>
        </w:rPr>
        <w:t xml:space="preserve"> "Risk Factors"</w:t>
      </w:r>
      <w:r>
        <w:rPr>
          <w:rFonts w:ascii="Arial" w:cs="Arial" w:eastAsia="Arial" w:hAnsi="Arial"/>
          <w:sz w:val="19"/>
          <w:szCs w:val="19"/>
          <w:color w:val="auto"/>
        </w:rPr>
        <w:t>.</w:t>
      </w:r>
    </w:p>
    <w:p>
      <w:pPr>
        <w:spacing w:after="0" w:line="15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There may be circumstances where for sound business reasons, the Corporation reallocates the use of proceeds depending on the amount of proceeds raised, the time periods in which the proceeds are raised, developments in relation to potential growth initiatives and other strategic opportunities or unforeseen events, see </w:t>
      </w:r>
      <w:r>
        <w:rPr>
          <w:rFonts w:ascii="Arial" w:cs="Arial" w:eastAsia="Arial" w:hAnsi="Arial"/>
          <w:sz w:val="22"/>
          <w:szCs w:val="22"/>
          <w:i w:val="1"/>
          <w:iCs w:val="1"/>
          <w:color w:val="auto"/>
        </w:rPr>
        <w:t>"Risk Factors - Risks Related to the Offering - Discretion in</w:t>
      </w:r>
      <w:r>
        <w:rPr>
          <w:rFonts w:ascii="Arial" w:cs="Arial" w:eastAsia="Arial" w:hAnsi="Arial"/>
          <w:sz w:val="22"/>
          <w:szCs w:val="22"/>
          <w:color w:val="auto"/>
        </w:rPr>
        <w:t xml:space="preserve"> </w:t>
      </w:r>
      <w:r>
        <w:rPr>
          <w:rFonts w:ascii="Arial" w:cs="Arial" w:eastAsia="Arial" w:hAnsi="Arial"/>
          <w:sz w:val="22"/>
          <w:szCs w:val="22"/>
          <w:i w:val="1"/>
          <w:iCs w:val="1"/>
          <w:color w:val="auto"/>
        </w:rPr>
        <w:t>the Use of Proceeds"</w:t>
      </w:r>
      <w:r>
        <w:rPr>
          <w:rFonts w:ascii="Arial" w:cs="Arial" w:eastAsia="Arial" w:hAnsi="Arial"/>
          <w:sz w:val="22"/>
          <w:szCs w:val="22"/>
          <w:color w:val="auto"/>
        </w:rPr>
        <w:t>.</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Since inception, the Corporation has financed its operations primarily from the issuance of equity and interest income on funds available for investment. To date, the Corporation has raised approximately C$133,000,000 in gross proceeds through private placement and prospectus offerings. The Corporation has experienced operating losses and cash outflows from operations since incorporation and will require ongoing financing to continue its research and development activates. As the Corporation has not yet achieved profitability, there are uncertainties regarding its ability to continue as a going concern.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rFonts w:ascii="Arial" w:cs="Arial" w:eastAsia="Arial" w:hAnsi="Arial"/>
          <w:sz w:val="19"/>
          <w:szCs w:val="19"/>
          <w:i w:val="1"/>
          <w:iCs w:val="1"/>
          <w:color w:val="auto"/>
        </w:rPr>
        <w:t>"Risk Factors - Risks Related to an Offering - Negative Operating Cash Flow and</w:t>
      </w:r>
      <w:r>
        <w:rPr>
          <w:rFonts w:ascii="Arial" w:cs="Arial" w:eastAsia="Arial" w:hAnsi="Arial"/>
          <w:sz w:val="19"/>
          <w:szCs w:val="19"/>
          <w:color w:val="auto"/>
        </w:rPr>
        <w:t xml:space="preserve"> </w:t>
      </w:r>
      <w:r>
        <w:rPr>
          <w:rFonts w:ascii="Arial" w:cs="Arial" w:eastAsia="Arial" w:hAnsi="Arial"/>
          <w:sz w:val="19"/>
          <w:szCs w:val="19"/>
          <w:i w:val="1"/>
          <w:iCs w:val="1"/>
          <w:color w:val="auto"/>
        </w:rPr>
        <w:t>Going Concern".</w:t>
      </w:r>
    </w:p>
    <w:p>
      <w:pPr>
        <w:spacing w:after="0" w:line="200" w:lineRule="exact"/>
        <w:rPr>
          <w:sz w:val="20"/>
          <w:szCs w:val="20"/>
          <w:color w:val="auto"/>
        </w:rPr>
      </w:pPr>
    </w:p>
    <w:p>
      <w:pPr>
        <w:spacing w:after="0" w:line="207" w:lineRule="exact"/>
        <w:rPr>
          <w:sz w:val="20"/>
          <w:szCs w:val="20"/>
          <w:color w:val="auto"/>
        </w:rPr>
      </w:pPr>
    </w:p>
    <w:p>
      <w:pPr>
        <w:jc w:val="both"/>
        <w:spacing w:after="0"/>
        <w:rPr>
          <w:sz w:val="20"/>
          <w:szCs w:val="20"/>
          <w:color w:val="auto"/>
        </w:rPr>
      </w:pPr>
      <w:r>
        <w:rPr>
          <w:rFonts w:ascii="Arial" w:cs="Arial" w:eastAsia="Arial" w:hAnsi="Arial"/>
          <w:sz w:val="22"/>
          <w:szCs w:val="22"/>
          <w:color w:val="auto"/>
        </w:rPr>
        <w:t>Until applied, the net proceeds will be held as cash balances in the Corporation's bank account or invested in certificates of deposit and other instruments issued by banks or obligations of or guaranteed by the Government of Canada or any province thereof in accordance with the Corporation's investment policies.</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21"/>
          <w:szCs w:val="21"/>
          <w:b w:val="1"/>
          <w:bCs w:val="1"/>
          <w:color w:val="auto"/>
        </w:rPr>
        <w:t>For detailed information in respect of the Corporation's business objectives and milestones, sources and use of capital, and the application of proceeds from prior offerings by the Corporation, prospective purchasers should carefully consider the information described in the Base Shelf Prospectus, the Annual Information Form and the Interim MD&amp;A, to which there has been no material changes since the date of the applicable document.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22"/>
          <w:szCs w:val="22"/>
          <w:b w:val="1"/>
          <w:bCs w:val="1"/>
          <w:color w:val="auto"/>
        </w:rPr>
        <w:t>CONSOLIDATED CAPITALIZATION</w:t>
      </w:r>
    </w:p>
    <w:p>
      <w:pPr>
        <w:spacing w:after="0" w:line="212" w:lineRule="exact"/>
        <w:rPr>
          <w:sz w:val="20"/>
          <w:szCs w:val="20"/>
          <w:color w:val="auto"/>
        </w:rPr>
      </w:pPr>
    </w:p>
    <w:p>
      <w:pPr>
        <w:jc w:val="both"/>
        <w:ind w:left="80"/>
        <w:spacing w:after="0" w:line="250" w:lineRule="auto"/>
        <w:rPr>
          <w:sz w:val="20"/>
          <w:szCs w:val="20"/>
          <w:color w:val="auto"/>
        </w:rPr>
      </w:pPr>
      <w:r>
        <w:rPr>
          <w:rFonts w:ascii="Arial" w:cs="Arial" w:eastAsia="Arial" w:hAnsi="Arial"/>
          <w:sz w:val="22"/>
          <w:szCs w:val="22"/>
          <w:color w:val="auto"/>
        </w:rPr>
        <w:t>There have been no material changes in the Corporation's share or loan capitalization on a consolidated basis since the date of the Interim Financial Statements.</w:t>
      </w:r>
    </w:p>
    <w:p>
      <w:pPr>
        <w:spacing w:after="0" w:line="175" w:lineRule="exact"/>
        <w:rPr>
          <w:sz w:val="20"/>
          <w:szCs w:val="20"/>
          <w:color w:val="auto"/>
        </w:rPr>
      </w:pPr>
    </w:p>
    <w:p>
      <w:pPr>
        <w:jc w:val="both"/>
        <w:ind w:left="80"/>
        <w:spacing w:after="0" w:line="297" w:lineRule="auto"/>
        <w:rPr>
          <w:sz w:val="20"/>
          <w:szCs w:val="20"/>
          <w:color w:val="auto"/>
        </w:rPr>
      </w:pPr>
      <w:r>
        <w:rPr>
          <w:rFonts w:ascii="Arial" w:cs="Arial" w:eastAsia="Arial" w:hAnsi="Arial"/>
          <w:sz w:val="19"/>
          <w:szCs w:val="19"/>
          <w:color w:val="auto"/>
        </w:rPr>
        <w:t>The following table sets forth the Corporation's cash, indebtedness and shareholders' equity as of December 31, 2022: (a) on an actual basis; (b) after giving effect to the Offering; and (c) after giving effect to the Offering assuming the issuance of the Commitment Shares. This table should be read in conjunction with the Interim Financial Statements and the Interim MD&amp;A.</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20" w:type="dxa"/>
            <w:vAlign w:val="bottom"/>
            <w:gridSpan w:val="4"/>
          </w:tcPr>
          <w:p>
            <w:pPr>
              <w:spacing w:after="0"/>
              <w:rPr>
                <w:sz w:val="20"/>
                <w:szCs w:val="20"/>
                <w:color w:val="auto"/>
              </w:rPr>
            </w:pPr>
            <w:r>
              <w:rPr>
                <w:rFonts w:ascii="Arial" w:cs="Arial" w:eastAsia="Arial" w:hAnsi="Arial"/>
                <w:sz w:val="18"/>
                <w:szCs w:val="18"/>
                <w:b w:val="1"/>
                <w:bCs w:val="1"/>
                <w:color w:val="auto"/>
              </w:rPr>
              <w:t>As at December 31, 2022</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After giving effect to</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0"/>
              </w:rPr>
              <w:t>After giving effect</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the Offering and</w:t>
            </w:r>
          </w:p>
        </w:tc>
        <w:tc>
          <w:tcPr>
            <w:tcW w:w="0" w:type="dxa"/>
            <w:vAlign w:val="bottom"/>
          </w:tcPr>
          <w:p>
            <w:pPr>
              <w:spacing w:after="0"/>
              <w:rPr>
                <w:sz w:val="1"/>
                <w:szCs w:val="1"/>
                <w:color w:val="auto"/>
              </w:rPr>
            </w:pPr>
          </w:p>
        </w:tc>
      </w:tr>
      <w:tr>
        <w:trPr>
          <w:trHeight w:val="180"/>
        </w:trPr>
        <w:tc>
          <w:tcPr>
            <w:tcW w:w="5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1920" w:type="dxa"/>
            <w:vAlign w:val="bottom"/>
            <w:gridSpan w:val="2"/>
          </w:tcPr>
          <w:p>
            <w:pPr>
              <w:jc w:val="center"/>
              <w:ind w:right="120"/>
              <w:spacing w:after="0" w:line="181" w:lineRule="exact"/>
              <w:rPr>
                <w:sz w:val="20"/>
                <w:szCs w:val="20"/>
                <w:color w:val="auto"/>
              </w:rPr>
            </w:pPr>
            <w:r>
              <w:rPr>
                <w:rFonts w:ascii="Arial" w:cs="Arial" w:eastAsia="Arial" w:hAnsi="Arial"/>
                <w:sz w:val="18"/>
                <w:szCs w:val="18"/>
                <w:b w:val="1"/>
                <w:bCs w:val="1"/>
                <w:color w:val="auto"/>
                <w:w w:val="85"/>
              </w:rPr>
              <w:t>issuance of the</w:t>
            </w:r>
          </w:p>
        </w:tc>
        <w:tc>
          <w:tcPr>
            <w:tcW w:w="0" w:type="dxa"/>
            <w:vAlign w:val="bottom"/>
          </w:tcPr>
          <w:p>
            <w:pPr>
              <w:spacing w:after="0"/>
              <w:rPr>
                <w:sz w:val="1"/>
                <w:szCs w:val="1"/>
                <w:color w:val="auto"/>
              </w:rPr>
            </w:pPr>
          </w:p>
        </w:tc>
      </w:tr>
      <w:tr>
        <w:trPr>
          <w:trHeight w:val="270"/>
        </w:trPr>
        <w:tc>
          <w:tcPr>
            <w:tcW w:w="57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Description of Capital</w:t>
            </w:r>
          </w:p>
        </w:tc>
        <w:tc>
          <w:tcPr>
            <w:tcW w:w="180" w:type="dxa"/>
            <w:vAlign w:val="bottom"/>
          </w:tcPr>
          <w:p>
            <w:pPr>
              <w:spacing w:after="0"/>
              <w:rPr>
                <w:sz w:val="23"/>
                <w:szCs w:val="23"/>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December 31, 2022</w:t>
            </w:r>
          </w:p>
        </w:tc>
        <w:tc>
          <w:tcPr>
            <w:tcW w:w="220" w:type="dxa"/>
            <w:vAlign w:val="bottom"/>
          </w:tcPr>
          <w:p>
            <w:pPr>
              <w:spacing w:after="0"/>
              <w:rPr>
                <w:sz w:val="23"/>
                <w:szCs w:val="23"/>
                <w:color w:val="auto"/>
              </w:rPr>
            </w:pPr>
          </w:p>
        </w:tc>
        <w:tc>
          <w:tcPr>
            <w:tcW w:w="1500" w:type="dxa"/>
            <w:vAlign w:val="bottom"/>
            <w:tcBorders>
              <w:bottom w:val="single" w:sz="8" w:color="auto"/>
            </w:tcBorders>
            <w:gridSpan w:val="2"/>
          </w:tcPr>
          <w:p>
            <w:pPr>
              <w:jc w:val="center"/>
              <w:ind w:left="10"/>
              <w:spacing w:after="0" w:line="270" w:lineRule="exact"/>
              <w:rPr>
                <w:sz w:val="20"/>
                <w:szCs w:val="20"/>
                <w:color w:val="auto"/>
              </w:rPr>
            </w:pPr>
            <w:r>
              <w:rPr>
                <w:rFonts w:ascii="Arial" w:cs="Arial" w:eastAsia="Arial" w:hAnsi="Arial"/>
                <w:sz w:val="18"/>
                <w:szCs w:val="18"/>
                <w:b w:val="1"/>
                <w:bCs w:val="1"/>
                <w:color w:val="auto"/>
                <w:w w:val="89"/>
              </w:rPr>
              <w:t>to the Offering</w:t>
            </w:r>
            <w:r>
              <w:rPr>
                <w:rFonts w:ascii="Arial" w:cs="Arial" w:eastAsia="Arial" w:hAnsi="Arial"/>
                <w:sz w:val="29"/>
                <w:szCs w:val="29"/>
                <w:b w:val="1"/>
                <w:bCs w:val="1"/>
                <w:color w:val="auto"/>
                <w:w w:val="89"/>
                <w:vertAlign w:val="superscript"/>
              </w:rPr>
              <w:t>(1)</w:t>
            </w:r>
          </w:p>
        </w:tc>
        <w:tc>
          <w:tcPr>
            <w:tcW w:w="220" w:type="dxa"/>
            <w:vAlign w:val="bottom"/>
          </w:tcPr>
          <w:p>
            <w:pPr>
              <w:spacing w:after="0"/>
              <w:rPr>
                <w:sz w:val="23"/>
                <w:szCs w:val="23"/>
                <w:color w:val="auto"/>
              </w:rPr>
            </w:pPr>
          </w:p>
        </w:tc>
        <w:tc>
          <w:tcPr>
            <w:tcW w:w="19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0"/>
              </w:rPr>
              <w:t>Commitment Shares</w:t>
            </w:r>
          </w:p>
        </w:tc>
        <w:tc>
          <w:tcPr>
            <w:tcW w:w="0" w:type="dxa"/>
            <w:vAlign w:val="bottom"/>
          </w:tcPr>
          <w:p>
            <w:pPr>
              <w:spacing w:after="0"/>
              <w:rPr>
                <w:sz w:val="1"/>
                <w:szCs w:val="1"/>
                <w:color w:val="auto"/>
              </w:rPr>
            </w:pPr>
          </w:p>
        </w:tc>
      </w:tr>
      <w:tr>
        <w:trPr>
          <w:trHeight w:val="250"/>
        </w:trPr>
        <w:tc>
          <w:tcPr>
            <w:tcW w:w="5740" w:type="dxa"/>
            <w:vAlign w:val="bottom"/>
            <w:shd w:val="clear" w:color="auto" w:fill="E6EFFF"/>
          </w:tcPr>
          <w:p>
            <w:pPr>
              <w:ind w:left="100"/>
              <w:spacing w:after="0" w:line="250" w:lineRule="exact"/>
              <w:rPr>
                <w:sz w:val="20"/>
                <w:szCs w:val="20"/>
                <w:color w:val="auto"/>
              </w:rPr>
            </w:pPr>
            <w:r>
              <w:rPr>
                <w:rFonts w:ascii="Arial" w:cs="Arial" w:eastAsia="Arial" w:hAnsi="Arial"/>
                <w:sz w:val="17"/>
                <w:szCs w:val="17"/>
                <w:color w:val="auto"/>
              </w:rPr>
              <w:t>Cash and Cash Equivalents</w:t>
            </w:r>
            <w:r>
              <w:rPr>
                <w:rFonts w:ascii="Arial" w:cs="Arial" w:eastAsia="Arial" w:hAnsi="Arial"/>
                <w:sz w:val="28"/>
                <w:szCs w:val="28"/>
                <w:color w:val="auto"/>
                <w:vertAlign w:val="superscript"/>
              </w:rPr>
              <w:t>(1)</w:t>
            </w:r>
          </w:p>
        </w:tc>
        <w:tc>
          <w:tcPr>
            <w:tcW w:w="1640" w:type="dxa"/>
            <w:vAlign w:val="bottom"/>
            <w:gridSpan w:val="2"/>
            <w:shd w:val="clear" w:color="auto" w:fill="E6EFFF"/>
          </w:tcPr>
          <w:p>
            <w:pPr>
              <w:jc w:val="center"/>
              <w:ind w:left="90"/>
              <w:spacing w:after="0"/>
              <w:rPr>
                <w:sz w:val="20"/>
                <w:szCs w:val="20"/>
                <w:color w:val="auto"/>
              </w:rPr>
            </w:pPr>
            <w:r>
              <w:rPr>
                <w:rFonts w:ascii="Arial" w:cs="Arial" w:eastAsia="Arial" w:hAnsi="Arial"/>
                <w:sz w:val="18"/>
                <w:szCs w:val="18"/>
                <w:color w:val="auto"/>
                <w:w w:val="89"/>
              </w:rPr>
              <w:t>$22,511,000</w:t>
            </w:r>
          </w:p>
        </w:tc>
        <w:tc>
          <w:tcPr>
            <w:tcW w:w="1720" w:type="dxa"/>
            <w:vAlign w:val="bottom"/>
            <w:gridSpan w:val="3"/>
            <w:shd w:val="clear" w:color="auto" w:fill="E6EFFF"/>
          </w:tcPr>
          <w:p>
            <w:pPr>
              <w:jc w:val="center"/>
              <w:ind w:left="250"/>
              <w:spacing w:after="0"/>
              <w:rPr>
                <w:sz w:val="20"/>
                <w:szCs w:val="20"/>
                <w:color w:val="auto"/>
              </w:rPr>
            </w:pPr>
            <w:r>
              <w:rPr>
                <w:rFonts w:ascii="Arial" w:cs="Arial" w:eastAsia="Arial" w:hAnsi="Arial"/>
                <w:sz w:val="18"/>
                <w:szCs w:val="18"/>
                <w:color w:val="auto"/>
                <w:w w:val="89"/>
              </w:rPr>
              <w:t>$52,511,000</w:t>
            </w:r>
          </w:p>
        </w:tc>
        <w:tc>
          <w:tcPr>
            <w:tcW w:w="220" w:type="dxa"/>
            <w:vAlign w:val="bottom"/>
            <w:shd w:val="clear" w:color="auto" w:fill="E6EFFF"/>
          </w:tcPr>
          <w:p>
            <w:pPr>
              <w:spacing w:after="0"/>
              <w:rPr>
                <w:sz w:val="21"/>
                <w:szCs w:val="21"/>
                <w:color w:val="auto"/>
              </w:rPr>
            </w:pPr>
          </w:p>
        </w:tc>
        <w:tc>
          <w:tcPr>
            <w:tcW w:w="1920" w:type="dxa"/>
            <w:vAlign w:val="bottom"/>
            <w:gridSpan w:val="2"/>
            <w:shd w:val="clear" w:color="auto" w:fill="E6EFFF"/>
          </w:tcPr>
          <w:p>
            <w:pPr>
              <w:jc w:val="center"/>
              <w:ind w:right="100"/>
              <w:spacing w:after="0"/>
              <w:rPr>
                <w:sz w:val="20"/>
                <w:szCs w:val="20"/>
                <w:color w:val="auto"/>
              </w:rPr>
            </w:pPr>
            <w:r>
              <w:rPr>
                <w:rFonts w:ascii="Arial" w:cs="Arial" w:eastAsia="Arial" w:hAnsi="Arial"/>
                <w:sz w:val="18"/>
                <w:szCs w:val="18"/>
                <w:color w:val="auto"/>
                <w:w w:val="89"/>
              </w:rPr>
              <w:t>$52,511,000</w:t>
            </w:r>
          </w:p>
        </w:tc>
        <w:tc>
          <w:tcPr>
            <w:tcW w:w="0" w:type="dxa"/>
            <w:vAlign w:val="bottom"/>
          </w:tcPr>
          <w:p>
            <w:pPr>
              <w:spacing w:after="0"/>
              <w:rPr>
                <w:sz w:val="1"/>
                <w:szCs w:val="1"/>
                <w:color w:val="auto"/>
              </w:rPr>
            </w:pPr>
          </w:p>
        </w:tc>
      </w:tr>
      <w:tr>
        <w:trPr>
          <w:trHeight w:val="216"/>
        </w:trPr>
        <w:tc>
          <w:tcPr>
            <w:tcW w:w="5740" w:type="dxa"/>
            <w:vAlign w:val="bottom"/>
          </w:tcPr>
          <w:p>
            <w:pPr>
              <w:ind w:left="100"/>
              <w:spacing w:after="0"/>
              <w:rPr>
                <w:sz w:val="20"/>
                <w:szCs w:val="20"/>
                <w:color w:val="auto"/>
              </w:rPr>
            </w:pPr>
            <w:r>
              <w:rPr>
                <w:rFonts w:ascii="Arial" w:cs="Arial" w:eastAsia="Arial" w:hAnsi="Arial"/>
                <w:sz w:val="18"/>
                <w:szCs w:val="18"/>
                <w:color w:val="auto"/>
              </w:rPr>
              <w:t>Loans and Borrowings</w:t>
            </w:r>
          </w:p>
        </w:tc>
        <w:tc>
          <w:tcPr>
            <w:tcW w:w="1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Nil</w:t>
            </w:r>
          </w:p>
        </w:tc>
        <w:tc>
          <w:tcPr>
            <w:tcW w:w="220" w:type="dxa"/>
            <w:vAlign w:val="bottom"/>
          </w:tcPr>
          <w:p>
            <w:pPr>
              <w:spacing w:after="0"/>
              <w:rPr>
                <w:sz w:val="18"/>
                <w:szCs w:val="18"/>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8"/>
                <w:szCs w:val="18"/>
                <w:color w:val="auto"/>
              </w:rPr>
              <w:t>Nil</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270"/>
        </w:trPr>
        <w:tc>
          <w:tcPr>
            <w:tcW w:w="5740" w:type="dxa"/>
            <w:vAlign w:val="bottom"/>
            <w:shd w:val="clear" w:color="auto" w:fill="E6EFFF"/>
          </w:tcPr>
          <w:p>
            <w:pPr>
              <w:ind w:left="100"/>
              <w:spacing w:after="0"/>
              <w:rPr>
                <w:sz w:val="20"/>
                <w:szCs w:val="20"/>
                <w:color w:val="auto"/>
              </w:rPr>
            </w:pPr>
            <w:r>
              <w:rPr>
                <w:rFonts w:ascii="Arial" w:cs="Arial" w:eastAsia="Arial" w:hAnsi="Arial"/>
                <w:sz w:val="18"/>
                <w:szCs w:val="18"/>
                <w:color w:val="auto"/>
              </w:rPr>
              <w:t>Common Shares</w:t>
            </w:r>
          </w:p>
        </w:tc>
        <w:tc>
          <w:tcPr>
            <w:tcW w:w="1640" w:type="dxa"/>
            <w:vAlign w:val="bottom"/>
            <w:gridSpan w:val="2"/>
            <w:shd w:val="clear" w:color="auto" w:fill="E6EFFF"/>
          </w:tcPr>
          <w:p>
            <w:pPr>
              <w:jc w:val="center"/>
              <w:ind w:left="90"/>
              <w:spacing w:after="0"/>
              <w:rPr>
                <w:sz w:val="20"/>
                <w:szCs w:val="20"/>
                <w:color w:val="auto"/>
              </w:rPr>
            </w:pPr>
            <w:r>
              <w:rPr>
                <w:rFonts w:ascii="Arial" w:cs="Arial" w:eastAsia="Arial" w:hAnsi="Arial"/>
                <w:sz w:val="18"/>
                <w:szCs w:val="18"/>
                <w:color w:val="auto"/>
                <w:w w:val="89"/>
              </w:rPr>
              <w:t>191,138,717</w:t>
            </w:r>
          </w:p>
        </w:tc>
        <w:tc>
          <w:tcPr>
            <w:tcW w:w="1720" w:type="dxa"/>
            <w:vAlign w:val="bottom"/>
            <w:gridSpan w:val="3"/>
            <w:shd w:val="clear" w:color="auto" w:fill="E6EFFF"/>
          </w:tcPr>
          <w:p>
            <w:pPr>
              <w:jc w:val="center"/>
              <w:ind w:left="230"/>
              <w:spacing w:after="0" w:line="270" w:lineRule="exact"/>
              <w:rPr>
                <w:sz w:val="20"/>
                <w:szCs w:val="20"/>
                <w:color w:val="auto"/>
              </w:rPr>
            </w:pPr>
            <w:r>
              <w:rPr>
                <w:rFonts w:ascii="Arial" w:cs="Arial" w:eastAsia="Arial" w:hAnsi="Arial"/>
                <w:sz w:val="18"/>
                <w:szCs w:val="18"/>
                <w:color w:val="auto"/>
                <w:w w:val="87"/>
              </w:rPr>
              <w:t>293,702,819</w:t>
            </w:r>
            <w:r>
              <w:rPr>
                <w:rFonts w:ascii="Arial" w:cs="Arial" w:eastAsia="Arial" w:hAnsi="Arial"/>
                <w:sz w:val="29"/>
                <w:szCs w:val="29"/>
                <w:color w:val="auto"/>
                <w:w w:val="87"/>
                <w:vertAlign w:val="superscript"/>
              </w:rPr>
              <w:t>(2)</w:t>
            </w:r>
          </w:p>
        </w:tc>
        <w:tc>
          <w:tcPr>
            <w:tcW w:w="220" w:type="dxa"/>
            <w:vAlign w:val="bottom"/>
            <w:shd w:val="clear" w:color="auto" w:fill="E6EFFF"/>
          </w:tcPr>
          <w:p>
            <w:pPr>
              <w:spacing w:after="0"/>
              <w:rPr>
                <w:sz w:val="23"/>
                <w:szCs w:val="23"/>
                <w:color w:val="auto"/>
              </w:rPr>
            </w:pPr>
          </w:p>
        </w:tc>
        <w:tc>
          <w:tcPr>
            <w:tcW w:w="1920" w:type="dxa"/>
            <w:vAlign w:val="bottom"/>
            <w:gridSpan w:val="2"/>
            <w:shd w:val="clear" w:color="auto" w:fill="E6EFFF"/>
          </w:tcPr>
          <w:p>
            <w:pPr>
              <w:jc w:val="center"/>
              <w:ind w:right="100"/>
              <w:spacing w:after="0"/>
              <w:rPr>
                <w:sz w:val="20"/>
                <w:szCs w:val="20"/>
                <w:color w:val="auto"/>
              </w:rPr>
            </w:pPr>
            <w:r>
              <w:rPr>
                <w:rFonts w:ascii="Arial" w:cs="Arial" w:eastAsia="Arial" w:hAnsi="Arial"/>
                <w:sz w:val="18"/>
                <w:szCs w:val="18"/>
                <w:color w:val="auto"/>
                <w:w w:val="89"/>
              </w:rPr>
              <w:t>296,241,663</w:t>
            </w:r>
          </w:p>
        </w:tc>
        <w:tc>
          <w:tcPr>
            <w:tcW w:w="0" w:type="dxa"/>
            <w:vAlign w:val="bottom"/>
          </w:tcPr>
          <w:p>
            <w:pPr>
              <w:spacing w:after="0"/>
              <w:rPr>
                <w:sz w:val="1"/>
                <w:szCs w:val="1"/>
                <w:color w:val="auto"/>
              </w:rPr>
            </w:pPr>
          </w:p>
        </w:tc>
      </w:tr>
      <w:tr>
        <w:trPr>
          <w:trHeight w:val="216"/>
        </w:trPr>
        <w:tc>
          <w:tcPr>
            <w:tcW w:w="5740" w:type="dxa"/>
            <w:vAlign w:val="bottom"/>
          </w:tcPr>
          <w:p>
            <w:pPr>
              <w:ind w:left="100"/>
              <w:spacing w:after="0"/>
              <w:rPr>
                <w:sz w:val="20"/>
                <w:szCs w:val="20"/>
                <w:color w:val="auto"/>
              </w:rPr>
            </w:pPr>
            <w:r>
              <w:rPr>
                <w:rFonts w:ascii="Arial" w:cs="Arial" w:eastAsia="Arial" w:hAnsi="Arial"/>
                <w:sz w:val="18"/>
                <w:szCs w:val="18"/>
                <w:color w:val="auto"/>
              </w:rPr>
              <w:t>Stock options</w:t>
            </w:r>
          </w:p>
        </w:tc>
        <w:tc>
          <w:tcPr>
            <w:tcW w:w="164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29,622,300</w:t>
            </w:r>
          </w:p>
        </w:tc>
        <w:tc>
          <w:tcPr>
            <w:tcW w:w="1720" w:type="dxa"/>
            <w:vAlign w:val="bottom"/>
            <w:gridSpan w:val="3"/>
          </w:tcPr>
          <w:p>
            <w:pPr>
              <w:jc w:val="center"/>
              <w:ind w:left="250"/>
              <w:spacing w:after="0"/>
              <w:rPr>
                <w:sz w:val="20"/>
                <w:szCs w:val="20"/>
                <w:color w:val="auto"/>
              </w:rPr>
            </w:pPr>
            <w:r>
              <w:rPr>
                <w:rFonts w:ascii="Arial" w:cs="Arial" w:eastAsia="Arial" w:hAnsi="Arial"/>
                <w:sz w:val="18"/>
                <w:szCs w:val="18"/>
                <w:color w:val="auto"/>
                <w:w w:val="90"/>
              </w:rPr>
              <w:t>29,622,300</w:t>
            </w:r>
          </w:p>
        </w:tc>
        <w:tc>
          <w:tcPr>
            <w:tcW w:w="2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29,622,300</w:t>
            </w:r>
          </w:p>
        </w:tc>
        <w:tc>
          <w:tcPr>
            <w:tcW w:w="0" w:type="dxa"/>
            <w:vAlign w:val="bottom"/>
          </w:tcPr>
          <w:p>
            <w:pPr>
              <w:spacing w:after="0"/>
              <w:rPr>
                <w:sz w:val="1"/>
                <w:szCs w:val="1"/>
                <w:color w:val="auto"/>
              </w:rPr>
            </w:pPr>
          </w:p>
        </w:tc>
      </w:tr>
      <w:tr>
        <w:trPr>
          <w:trHeight w:val="216"/>
        </w:trPr>
        <w:tc>
          <w:tcPr>
            <w:tcW w:w="5740" w:type="dxa"/>
            <w:vAlign w:val="bottom"/>
            <w:shd w:val="clear" w:color="auto" w:fill="E6EFFF"/>
          </w:tcPr>
          <w:p>
            <w:pPr>
              <w:ind w:left="100"/>
              <w:spacing w:after="0"/>
              <w:rPr>
                <w:sz w:val="20"/>
                <w:szCs w:val="20"/>
                <w:color w:val="auto"/>
              </w:rPr>
            </w:pPr>
            <w:r>
              <w:rPr>
                <w:rFonts w:ascii="Arial" w:cs="Arial" w:eastAsia="Arial" w:hAnsi="Arial"/>
                <w:sz w:val="18"/>
                <w:szCs w:val="18"/>
                <w:color w:val="auto"/>
              </w:rPr>
              <w:t>Compensation warrants</w:t>
            </w:r>
          </w:p>
        </w:tc>
        <w:tc>
          <w:tcPr>
            <w:tcW w:w="1640" w:type="dxa"/>
            <w:vAlign w:val="bottom"/>
            <w:gridSpan w:val="2"/>
            <w:shd w:val="clear" w:color="auto" w:fill="E6EFFF"/>
          </w:tcPr>
          <w:p>
            <w:pPr>
              <w:jc w:val="center"/>
              <w:ind w:left="90"/>
              <w:spacing w:after="0"/>
              <w:rPr>
                <w:sz w:val="20"/>
                <w:szCs w:val="20"/>
                <w:color w:val="auto"/>
              </w:rPr>
            </w:pPr>
            <w:r>
              <w:rPr>
                <w:rFonts w:ascii="Arial" w:cs="Arial" w:eastAsia="Arial" w:hAnsi="Arial"/>
                <w:sz w:val="18"/>
                <w:szCs w:val="18"/>
                <w:color w:val="auto"/>
                <w:w w:val="89"/>
              </w:rPr>
              <w:t>868,740</w:t>
            </w:r>
          </w:p>
        </w:tc>
        <w:tc>
          <w:tcPr>
            <w:tcW w:w="1720" w:type="dxa"/>
            <w:vAlign w:val="bottom"/>
            <w:gridSpan w:val="3"/>
            <w:shd w:val="clear" w:color="auto" w:fill="E6EFFF"/>
          </w:tcPr>
          <w:p>
            <w:pPr>
              <w:jc w:val="center"/>
              <w:ind w:left="250"/>
              <w:spacing w:after="0"/>
              <w:rPr>
                <w:sz w:val="20"/>
                <w:szCs w:val="20"/>
                <w:color w:val="auto"/>
              </w:rPr>
            </w:pPr>
            <w:r>
              <w:rPr>
                <w:rFonts w:ascii="Arial" w:cs="Arial" w:eastAsia="Arial" w:hAnsi="Arial"/>
                <w:sz w:val="18"/>
                <w:szCs w:val="18"/>
                <w:color w:val="auto"/>
                <w:w w:val="89"/>
              </w:rPr>
              <w:t>868,740</w:t>
            </w:r>
          </w:p>
        </w:tc>
        <w:tc>
          <w:tcPr>
            <w:tcW w:w="220" w:type="dxa"/>
            <w:vAlign w:val="bottom"/>
            <w:shd w:val="clear" w:color="auto" w:fill="E6EFFF"/>
          </w:tcPr>
          <w:p>
            <w:pPr>
              <w:spacing w:after="0"/>
              <w:rPr>
                <w:sz w:val="18"/>
                <w:szCs w:val="18"/>
                <w:color w:val="auto"/>
              </w:rPr>
            </w:pPr>
          </w:p>
        </w:tc>
        <w:tc>
          <w:tcPr>
            <w:tcW w:w="1920" w:type="dxa"/>
            <w:vAlign w:val="bottom"/>
            <w:gridSpan w:val="2"/>
            <w:shd w:val="clear" w:color="auto" w:fill="E6EFFF"/>
          </w:tcPr>
          <w:p>
            <w:pPr>
              <w:jc w:val="center"/>
              <w:ind w:right="100"/>
              <w:spacing w:after="0"/>
              <w:rPr>
                <w:sz w:val="20"/>
                <w:szCs w:val="20"/>
                <w:color w:val="auto"/>
              </w:rPr>
            </w:pPr>
            <w:r>
              <w:rPr>
                <w:rFonts w:ascii="Arial" w:cs="Arial" w:eastAsia="Arial" w:hAnsi="Arial"/>
                <w:sz w:val="18"/>
                <w:szCs w:val="18"/>
                <w:color w:val="auto"/>
                <w:w w:val="89"/>
              </w:rPr>
              <w:t>868,740</w:t>
            </w:r>
          </w:p>
        </w:tc>
        <w:tc>
          <w:tcPr>
            <w:tcW w:w="0" w:type="dxa"/>
            <w:vAlign w:val="bottom"/>
          </w:tcPr>
          <w:p>
            <w:pPr>
              <w:spacing w:after="0"/>
              <w:rPr>
                <w:sz w:val="1"/>
                <w:szCs w:val="1"/>
                <w:color w:val="auto"/>
              </w:rPr>
            </w:pPr>
          </w:p>
        </w:tc>
      </w:tr>
      <w:tr>
        <w:trPr>
          <w:trHeight w:val="216"/>
        </w:trPr>
        <w:tc>
          <w:tcPr>
            <w:tcW w:w="5740" w:type="dxa"/>
            <w:vAlign w:val="bottom"/>
          </w:tcPr>
          <w:p>
            <w:pPr>
              <w:ind w:left="100"/>
              <w:spacing w:after="0"/>
              <w:rPr>
                <w:sz w:val="20"/>
                <w:szCs w:val="20"/>
                <w:color w:val="auto"/>
              </w:rPr>
            </w:pPr>
            <w:r>
              <w:rPr>
                <w:rFonts w:ascii="Arial" w:cs="Arial" w:eastAsia="Arial" w:hAnsi="Arial"/>
                <w:sz w:val="18"/>
                <w:szCs w:val="18"/>
                <w:color w:val="auto"/>
              </w:rPr>
              <w:t>Common Share purchase warrants</w:t>
            </w:r>
          </w:p>
        </w:tc>
        <w:tc>
          <w:tcPr>
            <w:tcW w:w="164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23,230,485</w:t>
            </w:r>
          </w:p>
        </w:tc>
        <w:tc>
          <w:tcPr>
            <w:tcW w:w="1720" w:type="dxa"/>
            <w:vAlign w:val="bottom"/>
            <w:gridSpan w:val="3"/>
          </w:tcPr>
          <w:p>
            <w:pPr>
              <w:jc w:val="center"/>
              <w:ind w:left="250"/>
              <w:spacing w:after="0"/>
              <w:rPr>
                <w:sz w:val="20"/>
                <w:szCs w:val="20"/>
                <w:color w:val="auto"/>
              </w:rPr>
            </w:pPr>
            <w:r>
              <w:rPr>
                <w:rFonts w:ascii="Arial" w:cs="Arial" w:eastAsia="Arial" w:hAnsi="Arial"/>
                <w:sz w:val="18"/>
                <w:szCs w:val="18"/>
                <w:color w:val="auto"/>
                <w:w w:val="90"/>
              </w:rPr>
              <w:t>23,230,485</w:t>
            </w:r>
          </w:p>
        </w:tc>
        <w:tc>
          <w:tcPr>
            <w:tcW w:w="2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23,230,485</w:t>
            </w:r>
          </w:p>
        </w:tc>
        <w:tc>
          <w:tcPr>
            <w:tcW w:w="0" w:type="dxa"/>
            <w:vAlign w:val="bottom"/>
          </w:tcPr>
          <w:p>
            <w:pPr>
              <w:spacing w:after="0"/>
              <w:rPr>
                <w:sz w:val="1"/>
                <w:szCs w:val="1"/>
                <w:color w:val="auto"/>
              </w:rPr>
            </w:pPr>
          </w:p>
        </w:tc>
      </w:tr>
      <w:tr>
        <w:trPr>
          <w:trHeight w:val="257"/>
        </w:trPr>
        <w:tc>
          <w:tcPr>
            <w:tcW w:w="5740" w:type="dxa"/>
            <w:vAlign w:val="bottom"/>
            <w:shd w:val="clear" w:color="auto" w:fill="E6EFFF"/>
          </w:tcPr>
          <w:p>
            <w:pPr>
              <w:ind w:left="100"/>
              <w:spacing w:after="0" w:line="256" w:lineRule="exact"/>
              <w:rPr>
                <w:sz w:val="20"/>
                <w:szCs w:val="20"/>
                <w:color w:val="auto"/>
              </w:rPr>
            </w:pPr>
            <w:r>
              <w:rPr>
                <w:rFonts w:ascii="Arial" w:cs="Arial" w:eastAsia="Arial" w:hAnsi="Arial"/>
                <w:sz w:val="18"/>
                <w:szCs w:val="18"/>
                <w:color w:val="auto"/>
              </w:rPr>
              <w:t>Class B Shares (as defined below)</w:t>
            </w:r>
            <w:r>
              <w:rPr>
                <w:rFonts w:ascii="Arial" w:cs="Arial" w:eastAsia="Arial" w:hAnsi="Arial"/>
                <w:sz w:val="29"/>
                <w:szCs w:val="29"/>
                <w:color w:val="auto"/>
                <w:vertAlign w:val="superscript"/>
              </w:rPr>
              <w:t>(3)</w:t>
            </w:r>
          </w:p>
        </w:tc>
        <w:tc>
          <w:tcPr>
            <w:tcW w:w="1640" w:type="dxa"/>
            <w:vAlign w:val="bottom"/>
            <w:gridSpan w:val="2"/>
            <w:shd w:val="clear" w:color="auto" w:fill="E6EFFF"/>
          </w:tcPr>
          <w:p>
            <w:pPr>
              <w:jc w:val="center"/>
              <w:ind w:left="90"/>
              <w:spacing w:after="0"/>
              <w:rPr>
                <w:sz w:val="20"/>
                <w:szCs w:val="20"/>
                <w:color w:val="auto"/>
              </w:rPr>
            </w:pPr>
            <w:r>
              <w:rPr>
                <w:rFonts w:ascii="Arial" w:cs="Arial" w:eastAsia="Arial" w:hAnsi="Arial"/>
                <w:sz w:val="18"/>
                <w:szCs w:val="18"/>
                <w:color w:val="auto"/>
                <w:w w:val="90"/>
              </w:rPr>
              <w:t>1,278,229.1</w:t>
            </w:r>
          </w:p>
        </w:tc>
        <w:tc>
          <w:tcPr>
            <w:tcW w:w="1720" w:type="dxa"/>
            <w:vAlign w:val="bottom"/>
            <w:gridSpan w:val="3"/>
            <w:shd w:val="clear" w:color="auto" w:fill="E6EFFF"/>
          </w:tcPr>
          <w:p>
            <w:pPr>
              <w:jc w:val="center"/>
              <w:ind w:left="250"/>
              <w:spacing w:after="0"/>
              <w:rPr>
                <w:sz w:val="20"/>
                <w:szCs w:val="20"/>
                <w:color w:val="auto"/>
              </w:rPr>
            </w:pPr>
            <w:r>
              <w:rPr>
                <w:rFonts w:ascii="Arial" w:cs="Arial" w:eastAsia="Arial" w:hAnsi="Arial"/>
                <w:sz w:val="18"/>
                <w:szCs w:val="18"/>
                <w:color w:val="auto"/>
                <w:w w:val="90"/>
              </w:rPr>
              <w:t>1,278,229.1</w:t>
            </w:r>
          </w:p>
        </w:tc>
        <w:tc>
          <w:tcPr>
            <w:tcW w:w="220" w:type="dxa"/>
            <w:vAlign w:val="bottom"/>
            <w:shd w:val="clear" w:color="auto" w:fill="E6EFFF"/>
          </w:tcPr>
          <w:p>
            <w:pPr>
              <w:spacing w:after="0"/>
              <w:rPr>
                <w:sz w:val="22"/>
                <w:szCs w:val="22"/>
                <w:color w:val="auto"/>
              </w:rPr>
            </w:pPr>
          </w:p>
        </w:tc>
        <w:tc>
          <w:tcPr>
            <w:tcW w:w="1920" w:type="dxa"/>
            <w:vAlign w:val="bottom"/>
            <w:gridSpan w:val="2"/>
            <w:shd w:val="clear" w:color="auto" w:fill="E6EFFF"/>
          </w:tcPr>
          <w:p>
            <w:pPr>
              <w:jc w:val="center"/>
              <w:ind w:right="100"/>
              <w:spacing w:after="0"/>
              <w:rPr>
                <w:sz w:val="20"/>
                <w:szCs w:val="20"/>
                <w:color w:val="auto"/>
              </w:rPr>
            </w:pPr>
            <w:r>
              <w:rPr>
                <w:rFonts w:ascii="Arial" w:cs="Arial" w:eastAsia="Arial" w:hAnsi="Arial"/>
                <w:sz w:val="18"/>
                <w:szCs w:val="18"/>
                <w:color w:val="auto"/>
                <w:w w:val="90"/>
              </w:rPr>
              <w:t>1,278,229.1</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auto"/>
        </w:rPr>
        <w:t>Notes:</w:t>
      </w:r>
    </w:p>
    <w:p>
      <w:pPr>
        <w:spacing w:after="0" w:line="212" w:lineRule="exact"/>
        <w:rPr>
          <w:sz w:val="20"/>
          <w:szCs w:val="20"/>
          <w:color w:val="auto"/>
        </w:rPr>
      </w:pPr>
    </w:p>
    <w:p>
      <w:pPr>
        <w:ind w:left="900" w:hanging="460"/>
        <w:spacing w:after="0"/>
        <w:tabs>
          <w:tab w:leader="none" w:pos="9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Proceeds from the Offering are before deducting expenses.</w:t>
      </w:r>
    </w:p>
    <w:p>
      <w:pPr>
        <w:spacing w:after="0" w:line="8" w:lineRule="exact"/>
        <w:rPr>
          <w:rFonts w:ascii="Arial" w:cs="Arial" w:eastAsia="Arial" w:hAnsi="Arial"/>
          <w:sz w:val="22"/>
          <w:szCs w:val="22"/>
          <w:color w:val="auto"/>
        </w:rPr>
      </w:pPr>
    </w:p>
    <w:p>
      <w:pPr>
        <w:ind w:left="880" w:hanging="440"/>
        <w:spacing w:after="0" w:line="241" w:lineRule="auto"/>
        <w:tabs>
          <w:tab w:leader="none" w:pos="916" w:val="left"/>
        </w:tabs>
        <w:numPr>
          <w:ilvl w:val="0"/>
          <w:numId w:val="11"/>
        </w:numPr>
        <w:rPr>
          <w:rFonts w:ascii="Arial" w:cs="Arial" w:eastAsia="Arial" w:hAnsi="Arial"/>
          <w:sz w:val="21"/>
          <w:szCs w:val="21"/>
          <w:color w:val="auto"/>
        </w:rPr>
      </w:pPr>
      <w:r>
        <w:rPr>
          <w:rFonts w:ascii="Arial" w:cs="Arial" w:eastAsia="Arial" w:hAnsi="Arial"/>
          <w:sz w:val="21"/>
          <w:szCs w:val="21"/>
          <w:color w:val="auto"/>
        </w:rPr>
        <w:t>The number of Common Shares issued pursuant to the Offering assumes a closing price on May 26, 2023, the last trading day on the NYSE American prior to the announcement of the Offering, of US$0.2925.</w:t>
      </w:r>
    </w:p>
    <w:p>
      <w:pPr>
        <w:spacing w:after="0" w:line="1" w:lineRule="exact"/>
        <w:rPr>
          <w:rFonts w:ascii="Arial" w:cs="Arial" w:eastAsia="Arial" w:hAnsi="Arial"/>
          <w:sz w:val="21"/>
          <w:szCs w:val="21"/>
          <w:color w:val="auto"/>
        </w:rPr>
      </w:pPr>
    </w:p>
    <w:p>
      <w:pPr>
        <w:jc w:val="both"/>
        <w:ind w:left="880" w:hanging="440"/>
        <w:spacing w:after="0" w:line="234" w:lineRule="auto"/>
        <w:tabs>
          <w:tab w:leader="none" w:pos="916"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non-voting Class B common shares in the capital of Cybin U.S. Holdings Inc. (the "</w:t>
      </w:r>
      <w:r>
        <w:rPr>
          <w:rFonts w:ascii="Arial" w:cs="Arial" w:eastAsia="Arial" w:hAnsi="Arial"/>
          <w:sz w:val="22"/>
          <w:szCs w:val="22"/>
          <w:b w:val="1"/>
          <w:bCs w:val="1"/>
          <w:color w:val="auto"/>
        </w:rPr>
        <w:t>Class B Shares</w:t>
      </w:r>
      <w:r>
        <w:rPr>
          <w:rFonts w:ascii="Arial" w:cs="Arial" w:eastAsia="Arial" w:hAnsi="Arial"/>
          <w:sz w:val="22"/>
          <w:szCs w:val="22"/>
          <w:color w:val="auto"/>
        </w:rPr>
        <w:t>") are exchangeable for Common Shares on the basis of 10 Common Shares for each Class B Share, at the option of the holder thereof, subject to customary adjustments.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PLAN OF DISTRIBUTION</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Corporation and the Investor have entered into a Purchase Agreement dated May 30, 2023, pursuant to which the Investor has agreed to purchase from the Corporation, at the Corporation's direction from time to time, in the Corporation's sole discretion, from and after the Commencement Date and over a period of up to 36 months thereafter, Common Shares having a total maximum aggregate purchase price to the Investor of US$30,000,000 (subject to certain limitations contained in the Purchase Agreement), upon the terms and subject to the conditions contained in the Purchase Agreement, as described below</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Pursuant to this Prospectus Supplement, the Corporation is qualifying the distribution and sale of (i) up to US$30,000,000 of Common Shares, which the Corporation may issue and sell to the Investor, in the Corporation's sole discretion, from time to time during the 36-month term of the Purchase Agreement commencing on the Commencement Date, upon the terms and subject to the conditions and limitations contained in the Purchase Agreement, and (ii) 2,538,844 Common Shares to be issued by the Corporation to the Investor as Commitment Shares on May 30, 2023; however, the Corporation will not receive any cash proceeds for the Commitment Shares to be issued to the Investor pursuant to the Purchase Agreement. This Prospectus Supplement also qualifies for distribution the resale of these Common Shares by the Investor to the public.</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Purchase Agreement provides that, from time-to-time over the term of the Purchase Agreement, on any Business Day and as often as every Business Day over the 36-month term of the Purchase Agreement, on which (i) the Closing Price is not below US$0.15, (ii) the Closing Price less the Maximum Discounted Price on such Business Day is not less than the applicable Regular Purchase Price, (iii) all Common Shares subject to all prior Regular Purchases have been received by the Investor in accordance with the Purchase Agreement, and (iv) there is not more than one (1) outstanding Accelerated Purchase for which Common Shares have not been received by the Investor, and the Corporation is not in breach of any obligation under the Purchase Agreement to deliver to the Investor Common Shares subject to such outstanding Accelerated Purchase, the Corporation may, in its sole discretion, subject to the conditions and limitations in the Purchase Agreement, direct the Investor to purchase up 275,000 Common Shares in a Regular Purchase. Such amount of the Regular Purchase may be increased to up to 300,000 Common Shares, provided that the Closing Price of the Common Shares on the applicable Regular Purchase Date is not below US$0.40, up to 500,000 Common Shares, provided that the Closing Price of the Common Shares on the applicable Regular Purchase Date is not below US$0.50, and up to 750,000 Common Shares, provided that the Closing Price of the Common Shares on the applicable Regular Purchase Date is not below US$0.70; however, the Investor's obligation under each Regular Purchase shall not exceed $1,000,000, which may be increased upon the mutual agreement of the Corporation and the Investor.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28" w:right="339" w:bottom="1066" w:gutter="0" w:footer="0" w:header="0"/>
        </w:sectPr>
      </w:pPr>
    </w:p>
    <w:bookmarkStart w:id="18" w:name="page19"/>
    <w:bookmarkEnd w:id="18"/>
    <w:p>
      <w:pPr>
        <w:jc w:val="both"/>
        <w:spacing w:after="0" w:line="271" w:lineRule="auto"/>
        <w:rPr>
          <w:sz w:val="20"/>
          <w:szCs w:val="20"/>
          <w:color w:val="auto"/>
        </w:rPr>
      </w:pPr>
      <w:r>
        <w:rPr>
          <w:rFonts w:ascii="Arial" w:cs="Arial" w:eastAsia="Arial" w:hAnsi="Arial"/>
          <w:sz w:val="19"/>
          <w:szCs w:val="19"/>
          <w:color w:val="auto"/>
        </w:rPr>
        <w:t xml:space="preserve">In addition to Regular Purchases described above, on any Regular Purchase Date on which (i) the Corporation has properly submitted a Regular Purchase Notice directing the Investor to purchase the maximum number of Common Shares that the Corporation is then permitted to include in a single Regular Purchase Notice, (ii) all Common Shares subject to all prior Accelerated Purchases have been received by the Investor as in accordance with the Purchase Agreement, and (iii) there is not more than one (1) outstanding Regular Purchase for which Common Shares have not been received by the Investor and the Corporation is not in breach of any obligation under the Purchase Agreement to deliver to the Investor Common Shares subject to such outstanding Regular Purchase, the Corporation may, in its sole discretion, also direct the Investor by providing an Accelerated Purchase Notice on such Regular Purchase Date to make an Accelerated Purchase on the Accelerated Purchase Date. The purchase price for the Common Shares in an Accelerated Purchase shall be subject to a per Common Share purchase price equal to the </w:t>
      </w:r>
      <w:r>
        <w:rPr>
          <w:rFonts w:ascii="Arial" w:cs="Arial" w:eastAsia="Arial" w:hAnsi="Arial"/>
          <w:sz w:val="19"/>
          <w:szCs w:val="19"/>
          <w:u w:val="single" w:color="auto"/>
          <w:color w:val="auto"/>
        </w:rPr>
        <w:t>greater</w:t>
      </w:r>
      <w:r>
        <w:rPr>
          <w:rFonts w:ascii="Arial" w:cs="Arial" w:eastAsia="Arial" w:hAnsi="Arial"/>
          <w:sz w:val="19"/>
          <w:szCs w:val="19"/>
          <w:color w:val="auto"/>
        </w:rPr>
        <w:t xml:space="preserve"> of: (A) 97% of the </w:t>
      </w:r>
      <w:r>
        <w:rPr>
          <w:rFonts w:ascii="Arial" w:cs="Arial" w:eastAsia="Arial" w:hAnsi="Arial"/>
          <w:sz w:val="19"/>
          <w:szCs w:val="19"/>
          <w:u w:val="single" w:color="auto"/>
          <w:color w:val="auto"/>
        </w:rPr>
        <w:t>lower</w:t>
      </w:r>
      <w:r>
        <w:rPr>
          <w:rFonts w:ascii="Arial" w:cs="Arial" w:eastAsia="Arial" w:hAnsi="Arial"/>
          <w:sz w:val="19"/>
          <w:szCs w:val="19"/>
          <w:color w:val="auto"/>
        </w:rPr>
        <w:t xml:space="preserve"> of (i) the VWAP of the Common Shares sold on the NYSE American during the Accelerated Purchase Measurement Period on the applicable Accelerated Purchase Date, and (ii) the Closing Price of the Common Shares on such applicable Accelerated Purchase Date; and (B) the Maximum Discounted Price as of the close of trading on the NYSE American on the Business Day immediately preceding the Accelerated Purchase Date for such Accelerated Purchase.</w:t>
      </w:r>
    </w:p>
    <w:p>
      <w:pPr>
        <w:spacing w:after="0" w:line="200" w:lineRule="exact"/>
        <w:rPr>
          <w:sz w:val="20"/>
          <w:szCs w:val="20"/>
          <w:color w:val="auto"/>
        </w:rPr>
      </w:pPr>
    </w:p>
    <w:p>
      <w:pPr>
        <w:spacing w:after="0" w:line="211"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There is no upper limit on the price per Common Share that the Investor must pay for the Common Shares under the Purchase Agreement, but in no event will shares be sold to the Investor at a price per Common Share that is less than the Maximum Discounted Price.</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Other than the limitations on the number of Common Shares that the Corporation can direct the Investor to purchase in any Regular Purchase and Accelerated Purchase described above, there are no trading volume requirements or restrictions applicable to any such purchases under the Purchase Agreement. The Corporation will control the timing and amount of any sales of Common Shares to the Investor pursuant to any Regular Purchase and Accelerated Purchase under the Purchase Agreement. The Corporation may not assign or transfer any of its rights or obligations under the Purchase Agreement without the prior written consent of the Investor, including by consolidation or merger. The Investor may not assign or transfer any of its rights or obligations under the Purchase Agreement.</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Purchase Agreement limits sales of Common Shares to the Investor to the Exchange Cap, unless and until the Corporation has obtained shareholder approval to issue Common Shares in excess of the Exchange Cap in accordance with applicable NEO rules.</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Corporation may suspend the sale of Common Shares to the Investor pursuant to this Prospectus Supplement for certain periods of time for certain reasons, including if this Prospectus Supplement is required to be supplemented or amended to include additional material information.</w:t>
      </w:r>
    </w:p>
    <w:p>
      <w:pPr>
        <w:spacing w:after="0" w:line="18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Moreover, the Corporation may not issue or sell any Common Shares to the Investor under the Purchase Agreement which, when aggregated with all other Common Shares then beneficially owned by the Investor and its affiliates (as calculated pursuant to Section 13(d) of the U.S. Securities Exchange Act of 1934, as amended (the "</w:t>
      </w:r>
      <w:r>
        <w:rPr>
          <w:rFonts w:ascii="Arial" w:cs="Arial" w:eastAsia="Arial" w:hAnsi="Arial"/>
          <w:sz w:val="22"/>
          <w:szCs w:val="22"/>
          <w:b w:val="1"/>
          <w:bCs w:val="1"/>
          <w:color w:val="auto"/>
        </w:rPr>
        <w:t>Exchange Act</w:t>
      </w:r>
      <w:r>
        <w:rPr>
          <w:rFonts w:ascii="Arial" w:cs="Arial" w:eastAsia="Arial" w:hAnsi="Arial"/>
          <w:sz w:val="22"/>
          <w:szCs w:val="22"/>
          <w:color w:val="auto"/>
        </w:rPr>
        <w:t>"), and Rule 13d-3 thereunder), would result in the Investor beneficially owning more than 4.99% of the outstanding Common Shares (the "</w:t>
      </w:r>
      <w:r>
        <w:rPr>
          <w:rFonts w:ascii="Arial" w:cs="Arial" w:eastAsia="Arial" w:hAnsi="Arial"/>
          <w:sz w:val="22"/>
          <w:szCs w:val="22"/>
          <w:b w:val="1"/>
          <w:bCs w:val="1"/>
          <w:color w:val="auto"/>
        </w:rPr>
        <w:t>Beneficial</w:t>
      </w:r>
      <w:r>
        <w:rPr>
          <w:rFonts w:ascii="Arial" w:cs="Arial" w:eastAsia="Arial" w:hAnsi="Arial"/>
          <w:sz w:val="22"/>
          <w:szCs w:val="22"/>
          <w:color w:val="auto"/>
        </w:rPr>
        <w:t xml:space="preserve"> </w:t>
      </w:r>
      <w:r>
        <w:rPr>
          <w:rFonts w:ascii="Arial" w:cs="Arial" w:eastAsia="Arial" w:hAnsi="Arial"/>
          <w:sz w:val="22"/>
          <w:szCs w:val="22"/>
          <w:b w:val="1"/>
          <w:bCs w:val="1"/>
          <w:color w:val="auto"/>
        </w:rPr>
        <w:t>Ownership Limitation</w:t>
      </w:r>
      <w:r>
        <w:rPr>
          <w:rFonts w:ascii="Arial" w:cs="Arial" w:eastAsia="Arial" w:hAnsi="Arial"/>
          <w:sz w:val="22"/>
          <w:szCs w:val="22"/>
          <w:color w:val="auto"/>
        </w:rPr>
        <w:t>").</w:t>
      </w:r>
    </w:p>
    <w:p>
      <w:pPr>
        <w:spacing w:after="0" w:line="187"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Offering will terminate on the date that all Common Shares offered by this Prospectus Supplement have been sold by the Corporation to the Investor pursuant to the Purchase Agreement, and all of such Common Shares have been resold by the Investor to the public, or, if earlier, on the date of expiration or termination of the Purchase Agreement in accordance with its terms. The Corporation has the right to terminate the Purchase Agreement at any time, at no cost to the Corporation. In the event of bankruptcy proceedings by or against the Corporation, the Purchase Agreement will automatically terminate without action of any party thereto.</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Offering has been authorized by the NYSE American and approved by the NEO.</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Immediately prior to the date of the Purchase Agreement, the Investor beneficially owned none of the Common Shares. Josh Scheinfeld and Jonathan Cope, the principals of the Investor, are deemed to be beneficial owners of all of the Common Shares owned by the Investor. Messrs. Scheinfeld and Cope have shared voting and investment power over the Common Shares being offered under this Prospectus Supplement filed with the SEC in connection with the transactions contemplated under the Purchase Agreement. The Investor is not a licensed broker dealer or an affiliate of a licensed broker dealer.</w:t>
      </w:r>
    </w:p>
    <w:p>
      <w:pPr>
        <w:spacing w:after="0" w:line="147"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Investor is an "underwriter" within the meaning of Section 2(a)(11) of the Securities Act. The Investor has informed the Corporation that it will use a broker-dealer unaffiliated with the Investor to effectuate all sales, if any, of the Common Shares that it may purchase from the Corporation pursuant to the Purchase Agreement. Such sales will be made on the NYSE at prices and at terms then prevailing or at prices related to the then current market price. Each such unaffiliated broker-dealer will be an underwriter within the meaning of Section 2(a)(11) of the Exchange Act.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890" w:gutter="0" w:footer="0" w:header="0"/>
        </w:sectPr>
      </w:pPr>
    </w:p>
    <w:bookmarkStart w:id="19" w:name="page20"/>
    <w:bookmarkEnd w:id="19"/>
    <w:p>
      <w:pPr>
        <w:jc w:val="both"/>
        <w:spacing w:after="0" w:line="250" w:lineRule="auto"/>
        <w:rPr>
          <w:sz w:val="20"/>
          <w:szCs w:val="20"/>
          <w:color w:val="auto"/>
        </w:rPr>
      </w:pPr>
      <w:r>
        <w:rPr>
          <w:rFonts w:ascii="Arial" w:cs="Arial" w:eastAsia="Arial" w:hAnsi="Arial"/>
          <w:sz w:val="22"/>
          <w:szCs w:val="22"/>
          <w:color w:val="auto"/>
        </w:rPr>
        <w:t>The Investor has informed the Corporation that each such broker-dealer will receive commissions from the Investor that will not exceed customary brokerage commissions.</w:t>
      </w:r>
    </w:p>
    <w:p>
      <w:pPr>
        <w:spacing w:after="0" w:line="17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Corporation is not aware of any existing arrangements between the Investor and any other shareholder, broker, dealer, underwriter, or agent relating to the sale or distribution of the Common Shares offered by this Prospectus Supplement. At the time a particular offer of the Common Shares is made, a Prospectus Supplement, if required, will be distributed that will set forth the names of any agents, underwriters, or dealers and any compensation from the selling shareholder, and any other required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color w:val="auto"/>
        </w:rPr>
        <w:t>The Corporation will pay all of the expenses incident to the registration, Offering, and sale of the Common Shares to the Investor.</w:t>
      </w:r>
    </w:p>
    <w:p>
      <w:pPr>
        <w:spacing w:after="0" w:line="241"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Corporation has agreed to indemnify the Investor against certain liabilities in connection with the Offering of the Common Shares offered hereby, including liabilities arising under the Securities Act to the extent permissible by law or, if such indemnity is unavailable, to contribute amounts required to be paid in respect of such liabilities.</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Insofar as indemnification for liabilities arising under the Securities Act may be permitted to the Corporation's directors, officers, and controlling persons, the Corporation has been advised that in the opinion of the SEC this indemnification is against public policy as expressed in the Securities Act and is therefore, unenforceable.</w:t>
      </w:r>
    </w:p>
    <w:p>
      <w:pPr>
        <w:spacing w:after="0" w:line="18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Investor represented to us that at no time prior to the date of the Purchase Agreement has the Investor or its agents, representatives or affiliates engaged in or effected, in any manner whatsoever, directly or indirectly, any short sale (as such term is defined in Rule 200 of Regulation SHO of the Exchange Act) of the Corporation's Common Shares or any hedging transaction. The Investor agreed that during the term of the Purchase Agreement, it and its agents, representatives and affiliates will not enter into or effect, directly or indirectly, any of the foregoing transactions.</w:t>
      </w:r>
    </w:p>
    <w:p>
      <w:pPr>
        <w:spacing w:after="0" w:line="172" w:lineRule="exact"/>
        <w:rPr>
          <w:sz w:val="20"/>
          <w:szCs w:val="20"/>
          <w:color w:val="auto"/>
        </w:rPr>
      </w:pPr>
    </w:p>
    <w:p>
      <w:pPr>
        <w:jc w:val="both"/>
        <w:spacing w:after="0" w:line="278" w:lineRule="auto"/>
        <w:rPr>
          <w:sz w:val="20"/>
          <w:szCs w:val="20"/>
          <w:color w:val="auto"/>
        </w:rPr>
      </w:pPr>
      <w:r>
        <w:rPr>
          <w:rFonts w:ascii="Arial" w:cs="Arial" w:eastAsia="Arial" w:hAnsi="Arial"/>
          <w:sz w:val="19"/>
          <w:szCs w:val="19"/>
          <w:b w:val="1"/>
          <w:bCs w:val="1"/>
          <w:color w:val="auto"/>
        </w:rPr>
        <w:t>The Corporation has advised the Investor that it is required to comply with Regulation M promulgated under the Exchange Act, to the extent applicable to the Offering. With certain exceptions, Regulation M precludes the selling shareholder,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shares offered by this Prospectus Supplement.</w:t>
      </w:r>
    </w:p>
    <w:p>
      <w:pPr>
        <w:spacing w:after="0" w:line="151"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NEO has approved the listing of up to US$30,000,000 worth of Common Shares in connection with the Purchase Agreement and the Commitment Shares. The issuance of any Common Shares under the Purchase Agreement in excess of this amount will be subject to the approval of the NEO.</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TRADING PRICE AND VOLUME</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Common Shares are listed for trading on the NEO and the NYSE under the symbol "CYBN". The following table sets forth the reported monthly range of high and low prices per Common Share and total monthly volumes traded on the NEO and the NYSE for each of the months indicated during the 12-month period prior to the date of this Prospectus Supplement.</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420" w:type="dxa"/>
            <w:vAlign w:val="bottom"/>
            <w:gridSpan w:val="3"/>
          </w:tcPr>
          <w:p>
            <w:pPr>
              <w:ind w:left="20"/>
              <w:spacing w:after="0"/>
              <w:rPr>
                <w:sz w:val="20"/>
                <w:szCs w:val="20"/>
                <w:color w:val="auto"/>
              </w:rPr>
            </w:pPr>
            <w:r>
              <w:rPr>
                <w:rFonts w:ascii="Arial" w:cs="Arial" w:eastAsia="Arial" w:hAnsi="Arial"/>
                <w:sz w:val="18"/>
                <w:szCs w:val="18"/>
                <w:b w:val="1"/>
                <w:bCs w:val="1"/>
                <w:color w:val="auto"/>
              </w:rPr>
              <w:t>NEO Price Range</w:t>
            </w:r>
          </w:p>
        </w:tc>
        <w:tc>
          <w:tcPr>
            <w:tcW w:w="40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472"/>
        </w:trPr>
        <w:tc>
          <w:tcPr>
            <w:tcW w:w="2940" w:type="dxa"/>
            <w:vAlign w:val="bottom"/>
            <w:tcBorders>
              <w:bottom w:val="single" w:sz="8" w:color="auto"/>
            </w:tcBorders>
          </w:tcPr>
          <w:p>
            <w:pPr>
              <w:ind w:left="1260"/>
              <w:spacing w:after="0"/>
              <w:rPr>
                <w:sz w:val="20"/>
                <w:szCs w:val="20"/>
                <w:color w:val="auto"/>
              </w:rPr>
            </w:pPr>
            <w:r>
              <w:rPr>
                <w:rFonts w:ascii="Arial" w:cs="Arial" w:eastAsia="Arial" w:hAnsi="Arial"/>
                <w:sz w:val="18"/>
                <w:szCs w:val="18"/>
                <w:b w:val="1"/>
                <w:bCs w:val="1"/>
                <w:color w:val="auto"/>
              </w:rPr>
              <w:t>Month</w:t>
            </w:r>
          </w:p>
        </w:tc>
        <w:tc>
          <w:tcPr>
            <w:tcW w:w="400" w:type="dxa"/>
            <w:vAlign w:val="bottom"/>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xml:space="preserve">High </w:t>
            </w:r>
            <w:r>
              <w:rPr>
                <w:rFonts w:ascii="Arial" w:cs="Arial" w:eastAsia="Arial" w:hAnsi="Arial"/>
                <w:sz w:val="18"/>
                <w:szCs w:val="18"/>
                <w:color w:val="auto"/>
              </w:rPr>
              <w:t>($)</w:t>
            </w:r>
            <w:r>
              <w:rPr>
                <w:rFonts w:ascii="Arial" w:cs="Arial" w:eastAsia="Arial" w:hAnsi="Arial"/>
                <w:sz w:val="29"/>
                <w:szCs w:val="29"/>
                <w:b w:val="1"/>
                <w:bCs w:val="1"/>
                <w:color w:val="auto"/>
                <w:vertAlign w:val="superscript"/>
              </w:rPr>
              <w:t>(1)</w:t>
            </w:r>
          </w:p>
        </w:tc>
        <w:tc>
          <w:tcPr>
            <w:tcW w:w="70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32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 xml:space="preserve">Low </w:t>
            </w:r>
            <w:r>
              <w:rPr>
                <w:rFonts w:ascii="Arial" w:cs="Arial" w:eastAsia="Arial" w:hAnsi="Arial"/>
                <w:sz w:val="18"/>
                <w:szCs w:val="18"/>
                <w:color w:val="auto"/>
              </w:rPr>
              <w:t>($)</w:t>
            </w:r>
            <w:r>
              <w:rPr>
                <w:rFonts w:ascii="Arial" w:cs="Arial" w:eastAsia="Arial" w:hAnsi="Arial"/>
                <w:sz w:val="29"/>
                <w:szCs w:val="29"/>
                <w:b w:val="1"/>
                <w:bCs w:val="1"/>
                <w:color w:val="auto"/>
                <w:vertAlign w:val="superscript"/>
              </w:rPr>
              <w:t>(1)</w:t>
            </w:r>
          </w:p>
        </w:tc>
        <w:tc>
          <w:tcPr>
            <w:tcW w:w="400" w:type="dxa"/>
            <w:vAlign w:val="bottom"/>
          </w:tcPr>
          <w:p>
            <w:pPr>
              <w:spacing w:after="0"/>
              <w:rPr>
                <w:sz w:val="24"/>
                <w:szCs w:val="24"/>
                <w:color w:val="auto"/>
              </w:rPr>
            </w:pPr>
          </w:p>
        </w:tc>
        <w:tc>
          <w:tcPr>
            <w:tcW w:w="2460" w:type="dxa"/>
            <w:vAlign w:val="bottom"/>
            <w:tcBorders>
              <w:bottom w:val="single" w:sz="8" w:color="auto"/>
            </w:tcBorders>
          </w:tcPr>
          <w:p>
            <w:pPr>
              <w:ind w:left="880"/>
              <w:spacing w:after="0"/>
              <w:rPr>
                <w:sz w:val="20"/>
                <w:szCs w:val="20"/>
                <w:color w:val="auto"/>
              </w:rPr>
            </w:pPr>
            <w:r>
              <w:rPr>
                <w:rFonts w:ascii="Arial" w:cs="Arial" w:eastAsia="Arial" w:hAnsi="Arial"/>
                <w:sz w:val="18"/>
                <w:szCs w:val="18"/>
                <w:b w:val="1"/>
                <w:bCs w:val="1"/>
                <w:color w:val="auto"/>
              </w:rPr>
              <w:t>Volume</w:t>
            </w:r>
            <w:r>
              <w:rPr>
                <w:rFonts w:ascii="Arial" w:cs="Arial" w:eastAsia="Arial" w:hAnsi="Arial"/>
                <w:sz w:val="29"/>
                <w:szCs w:val="29"/>
                <w:b w:val="1"/>
                <w:bCs w:val="1"/>
                <w:color w:val="auto"/>
                <w:vertAlign w:val="superscript"/>
              </w:rPr>
              <w:t>(1)</w:t>
            </w:r>
          </w:p>
        </w:tc>
      </w:tr>
      <w:tr>
        <w:trPr>
          <w:trHeight w:val="210"/>
        </w:trPr>
        <w:tc>
          <w:tcPr>
            <w:tcW w:w="2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2940" w:type="dxa"/>
            <w:vAlign w:val="bottom"/>
            <w:shd w:val="clear" w:color="auto" w:fill="E6EFFF"/>
          </w:tcPr>
          <w:p>
            <w:pPr>
              <w:spacing w:after="0"/>
              <w:rPr>
                <w:sz w:val="20"/>
                <w:szCs w:val="20"/>
                <w:color w:val="auto"/>
              </w:rPr>
            </w:pPr>
            <w:r>
              <w:rPr>
                <w:rFonts w:ascii="Arial" w:cs="Arial" w:eastAsia="Arial" w:hAnsi="Arial"/>
                <w:sz w:val="18"/>
                <w:szCs w:val="18"/>
                <w:color w:val="auto"/>
              </w:rPr>
              <w:t>May 2022</w:t>
            </w:r>
          </w:p>
        </w:tc>
        <w:tc>
          <w:tcPr>
            <w:tcW w:w="2020" w:type="dxa"/>
            <w:vAlign w:val="bottom"/>
            <w:gridSpan w:val="2"/>
            <w:shd w:val="clear" w:color="auto" w:fill="E6EFFF"/>
          </w:tcPr>
          <w:p>
            <w:pPr>
              <w:jc w:val="right"/>
              <w:ind w:right="210"/>
              <w:spacing w:after="0"/>
              <w:rPr>
                <w:sz w:val="20"/>
                <w:szCs w:val="20"/>
                <w:color w:val="auto"/>
              </w:rPr>
            </w:pPr>
            <w:r>
              <w:rPr>
                <w:rFonts w:ascii="Arial" w:cs="Arial" w:eastAsia="Arial" w:hAnsi="Arial"/>
                <w:sz w:val="18"/>
                <w:szCs w:val="18"/>
                <w:color w:val="auto"/>
              </w:rPr>
              <w:t>0.88</w:t>
            </w:r>
          </w:p>
        </w:tc>
        <w:tc>
          <w:tcPr>
            <w:tcW w:w="3420" w:type="dxa"/>
            <w:vAlign w:val="bottom"/>
            <w:gridSpan w:val="3"/>
            <w:shd w:val="clear" w:color="auto" w:fill="E6EFFF"/>
          </w:tcPr>
          <w:p>
            <w:pPr>
              <w:jc w:val="center"/>
              <w:ind w:left="1010"/>
              <w:spacing w:after="0"/>
              <w:rPr>
                <w:sz w:val="20"/>
                <w:szCs w:val="20"/>
                <w:color w:val="auto"/>
              </w:rPr>
            </w:pPr>
            <w:r>
              <w:rPr>
                <w:rFonts w:ascii="Arial" w:cs="Arial" w:eastAsia="Arial" w:hAnsi="Arial"/>
                <w:sz w:val="18"/>
                <w:szCs w:val="18"/>
                <w:color w:val="auto"/>
                <w:w w:val="91"/>
              </w:rPr>
              <w:t>0.50</w:t>
            </w:r>
          </w:p>
        </w:tc>
        <w:tc>
          <w:tcPr>
            <w:tcW w:w="2860" w:type="dxa"/>
            <w:vAlign w:val="bottom"/>
            <w:gridSpan w:val="2"/>
            <w:shd w:val="clear" w:color="auto" w:fill="E6EFFF"/>
          </w:tcPr>
          <w:p>
            <w:pPr>
              <w:ind w:left="1280"/>
              <w:spacing w:after="0"/>
              <w:rPr>
                <w:sz w:val="20"/>
                <w:szCs w:val="20"/>
                <w:color w:val="auto"/>
              </w:rPr>
            </w:pPr>
            <w:r>
              <w:rPr>
                <w:rFonts w:ascii="Arial" w:cs="Arial" w:eastAsia="Arial" w:hAnsi="Arial"/>
                <w:sz w:val="18"/>
                <w:szCs w:val="18"/>
                <w:color w:val="auto"/>
              </w:rPr>
              <w:t>3,017,959</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June 2022</w:t>
            </w:r>
          </w:p>
        </w:tc>
        <w:tc>
          <w:tcPr>
            <w:tcW w:w="2020" w:type="dxa"/>
            <w:vAlign w:val="bottom"/>
            <w:gridSpan w:val="2"/>
          </w:tcPr>
          <w:p>
            <w:pPr>
              <w:jc w:val="right"/>
              <w:ind w:right="210"/>
              <w:spacing w:after="0"/>
              <w:rPr>
                <w:sz w:val="20"/>
                <w:szCs w:val="20"/>
                <w:color w:val="auto"/>
              </w:rPr>
            </w:pPr>
            <w:r>
              <w:rPr>
                <w:rFonts w:ascii="Arial" w:cs="Arial" w:eastAsia="Arial" w:hAnsi="Arial"/>
                <w:sz w:val="18"/>
                <w:szCs w:val="18"/>
                <w:color w:val="auto"/>
              </w:rPr>
              <w:t>1.06</w:t>
            </w:r>
          </w:p>
        </w:tc>
        <w:tc>
          <w:tcPr>
            <w:tcW w:w="3420" w:type="dxa"/>
            <w:vAlign w:val="bottom"/>
            <w:gridSpan w:val="3"/>
          </w:tcPr>
          <w:p>
            <w:pPr>
              <w:jc w:val="center"/>
              <w:ind w:left="1010"/>
              <w:spacing w:after="0"/>
              <w:rPr>
                <w:sz w:val="20"/>
                <w:szCs w:val="20"/>
                <w:color w:val="auto"/>
              </w:rPr>
            </w:pPr>
            <w:r>
              <w:rPr>
                <w:rFonts w:ascii="Arial" w:cs="Arial" w:eastAsia="Arial" w:hAnsi="Arial"/>
                <w:sz w:val="18"/>
                <w:szCs w:val="18"/>
                <w:color w:val="auto"/>
                <w:w w:val="91"/>
              </w:rPr>
              <w:t>0.67</w:t>
            </w:r>
          </w:p>
        </w:tc>
        <w:tc>
          <w:tcPr>
            <w:tcW w:w="2860" w:type="dxa"/>
            <w:vAlign w:val="bottom"/>
            <w:gridSpan w:val="2"/>
          </w:tcPr>
          <w:p>
            <w:pPr>
              <w:ind w:left="1280"/>
              <w:spacing w:after="0"/>
              <w:rPr>
                <w:sz w:val="20"/>
                <w:szCs w:val="20"/>
                <w:color w:val="auto"/>
              </w:rPr>
            </w:pPr>
            <w:r>
              <w:rPr>
                <w:rFonts w:ascii="Arial" w:cs="Arial" w:eastAsia="Arial" w:hAnsi="Arial"/>
                <w:sz w:val="18"/>
                <w:szCs w:val="18"/>
                <w:color w:val="auto"/>
              </w:rPr>
              <w:t>2,662,940</w:t>
            </w:r>
          </w:p>
        </w:tc>
      </w:tr>
      <w:tr>
        <w:trPr>
          <w:trHeight w:val="216"/>
        </w:trPr>
        <w:tc>
          <w:tcPr>
            <w:tcW w:w="2940" w:type="dxa"/>
            <w:vAlign w:val="bottom"/>
            <w:shd w:val="clear" w:color="auto" w:fill="E6EFFF"/>
          </w:tcPr>
          <w:p>
            <w:pPr>
              <w:spacing w:after="0"/>
              <w:rPr>
                <w:sz w:val="20"/>
                <w:szCs w:val="20"/>
                <w:color w:val="auto"/>
              </w:rPr>
            </w:pPr>
            <w:r>
              <w:rPr>
                <w:rFonts w:ascii="Arial" w:cs="Arial" w:eastAsia="Arial" w:hAnsi="Arial"/>
                <w:sz w:val="18"/>
                <w:szCs w:val="18"/>
                <w:color w:val="auto"/>
              </w:rPr>
              <w:t>July 2022</w:t>
            </w:r>
          </w:p>
        </w:tc>
        <w:tc>
          <w:tcPr>
            <w:tcW w:w="2020" w:type="dxa"/>
            <w:vAlign w:val="bottom"/>
            <w:gridSpan w:val="2"/>
            <w:shd w:val="clear" w:color="auto" w:fill="E6EFFF"/>
          </w:tcPr>
          <w:p>
            <w:pPr>
              <w:jc w:val="right"/>
              <w:ind w:right="210"/>
              <w:spacing w:after="0"/>
              <w:rPr>
                <w:sz w:val="20"/>
                <w:szCs w:val="20"/>
                <w:color w:val="auto"/>
              </w:rPr>
            </w:pPr>
            <w:r>
              <w:rPr>
                <w:rFonts w:ascii="Arial" w:cs="Arial" w:eastAsia="Arial" w:hAnsi="Arial"/>
                <w:sz w:val="18"/>
                <w:szCs w:val="18"/>
                <w:color w:val="auto"/>
              </w:rPr>
              <w:t>0.83</w:t>
            </w:r>
          </w:p>
        </w:tc>
        <w:tc>
          <w:tcPr>
            <w:tcW w:w="3420" w:type="dxa"/>
            <w:vAlign w:val="bottom"/>
            <w:gridSpan w:val="3"/>
            <w:shd w:val="clear" w:color="auto" w:fill="E6EFFF"/>
          </w:tcPr>
          <w:p>
            <w:pPr>
              <w:jc w:val="center"/>
              <w:ind w:left="1010"/>
              <w:spacing w:after="0"/>
              <w:rPr>
                <w:sz w:val="20"/>
                <w:szCs w:val="20"/>
                <w:color w:val="auto"/>
              </w:rPr>
            </w:pPr>
            <w:r>
              <w:rPr>
                <w:rFonts w:ascii="Arial" w:cs="Arial" w:eastAsia="Arial" w:hAnsi="Arial"/>
                <w:sz w:val="18"/>
                <w:szCs w:val="18"/>
                <w:color w:val="auto"/>
                <w:w w:val="91"/>
              </w:rPr>
              <w:t>0.65</w:t>
            </w:r>
          </w:p>
        </w:tc>
        <w:tc>
          <w:tcPr>
            <w:tcW w:w="2860" w:type="dxa"/>
            <w:vAlign w:val="bottom"/>
            <w:gridSpan w:val="2"/>
            <w:shd w:val="clear" w:color="auto" w:fill="E6EFFF"/>
          </w:tcPr>
          <w:p>
            <w:pPr>
              <w:ind w:left="1280"/>
              <w:spacing w:after="0"/>
              <w:rPr>
                <w:sz w:val="20"/>
                <w:szCs w:val="20"/>
                <w:color w:val="auto"/>
              </w:rPr>
            </w:pPr>
            <w:r>
              <w:rPr>
                <w:rFonts w:ascii="Arial" w:cs="Arial" w:eastAsia="Arial" w:hAnsi="Arial"/>
                <w:sz w:val="18"/>
                <w:szCs w:val="18"/>
                <w:color w:val="auto"/>
              </w:rPr>
              <w:t>1,697,807</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August 2022</w:t>
            </w:r>
          </w:p>
        </w:tc>
        <w:tc>
          <w:tcPr>
            <w:tcW w:w="2020" w:type="dxa"/>
            <w:vAlign w:val="bottom"/>
            <w:gridSpan w:val="2"/>
          </w:tcPr>
          <w:p>
            <w:pPr>
              <w:jc w:val="right"/>
              <w:ind w:right="210"/>
              <w:spacing w:after="0"/>
              <w:rPr>
                <w:sz w:val="20"/>
                <w:szCs w:val="20"/>
                <w:color w:val="auto"/>
              </w:rPr>
            </w:pPr>
            <w:r>
              <w:rPr>
                <w:rFonts w:ascii="Arial" w:cs="Arial" w:eastAsia="Arial" w:hAnsi="Arial"/>
                <w:sz w:val="18"/>
                <w:szCs w:val="18"/>
                <w:color w:val="auto"/>
              </w:rPr>
              <w:t>1.50</w:t>
            </w:r>
          </w:p>
        </w:tc>
        <w:tc>
          <w:tcPr>
            <w:tcW w:w="3420" w:type="dxa"/>
            <w:vAlign w:val="bottom"/>
            <w:gridSpan w:val="3"/>
          </w:tcPr>
          <w:p>
            <w:pPr>
              <w:jc w:val="center"/>
              <w:ind w:left="1010"/>
              <w:spacing w:after="0"/>
              <w:rPr>
                <w:sz w:val="20"/>
                <w:szCs w:val="20"/>
                <w:color w:val="auto"/>
              </w:rPr>
            </w:pPr>
            <w:r>
              <w:rPr>
                <w:rFonts w:ascii="Arial" w:cs="Arial" w:eastAsia="Arial" w:hAnsi="Arial"/>
                <w:sz w:val="18"/>
                <w:szCs w:val="18"/>
                <w:color w:val="auto"/>
                <w:w w:val="91"/>
              </w:rPr>
              <w:t>0.75</w:t>
            </w:r>
          </w:p>
        </w:tc>
        <w:tc>
          <w:tcPr>
            <w:tcW w:w="2860" w:type="dxa"/>
            <w:vAlign w:val="bottom"/>
            <w:gridSpan w:val="2"/>
          </w:tcPr>
          <w:p>
            <w:pPr>
              <w:ind w:left="1280"/>
              <w:spacing w:after="0"/>
              <w:rPr>
                <w:sz w:val="20"/>
                <w:szCs w:val="20"/>
                <w:color w:val="auto"/>
              </w:rPr>
            </w:pPr>
            <w:r>
              <w:rPr>
                <w:rFonts w:ascii="Arial" w:cs="Arial" w:eastAsia="Arial" w:hAnsi="Arial"/>
                <w:sz w:val="18"/>
                <w:szCs w:val="18"/>
                <w:color w:val="auto"/>
              </w:rPr>
              <w:t>4,557,716</w:t>
            </w:r>
          </w:p>
        </w:tc>
      </w:tr>
      <w:tr>
        <w:trPr>
          <w:trHeight w:val="216"/>
        </w:trPr>
        <w:tc>
          <w:tcPr>
            <w:tcW w:w="2940" w:type="dxa"/>
            <w:vAlign w:val="bottom"/>
            <w:shd w:val="clear" w:color="auto" w:fill="E6EFFF"/>
          </w:tcPr>
          <w:p>
            <w:pPr>
              <w:spacing w:after="0"/>
              <w:rPr>
                <w:sz w:val="20"/>
                <w:szCs w:val="20"/>
                <w:color w:val="auto"/>
              </w:rPr>
            </w:pPr>
            <w:r>
              <w:rPr>
                <w:rFonts w:ascii="Arial" w:cs="Arial" w:eastAsia="Arial" w:hAnsi="Arial"/>
                <w:sz w:val="18"/>
                <w:szCs w:val="18"/>
                <w:color w:val="auto"/>
              </w:rPr>
              <w:t>September 2022</w:t>
            </w:r>
          </w:p>
        </w:tc>
        <w:tc>
          <w:tcPr>
            <w:tcW w:w="2020" w:type="dxa"/>
            <w:vAlign w:val="bottom"/>
            <w:gridSpan w:val="2"/>
            <w:shd w:val="clear" w:color="auto" w:fill="E6EFFF"/>
          </w:tcPr>
          <w:p>
            <w:pPr>
              <w:jc w:val="right"/>
              <w:ind w:right="210"/>
              <w:spacing w:after="0"/>
              <w:rPr>
                <w:sz w:val="20"/>
                <w:szCs w:val="20"/>
                <w:color w:val="auto"/>
              </w:rPr>
            </w:pPr>
            <w:r>
              <w:rPr>
                <w:rFonts w:ascii="Arial" w:cs="Arial" w:eastAsia="Arial" w:hAnsi="Arial"/>
                <w:sz w:val="18"/>
                <w:szCs w:val="18"/>
                <w:color w:val="auto"/>
              </w:rPr>
              <w:t>1.49</w:t>
            </w:r>
          </w:p>
        </w:tc>
        <w:tc>
          <w:tcPr>
            <w:tcW w:w="3420" w:type="dxa"/>
            <w:vAlign w:val="bottom"/>
            <w:gridSpan w:val="3"/>
            <w:shd w:val="clear" w:color="auto" w:fill="E6EFFF"/>
          </w:tcPr>
          <w:p>
            <w:pPr>
              <w:jc w:val="center"/>
              <w:ind w:left="1010"/>
              <w:spacing w:after="0"/>
              <w:rPr>
                <w:sz w:val="20"/>
                <w:szCs w:val="20"/>
                <w:color w:val="auto"/>
              </w:rPr>
            </w:pPr>
            <w:r>
              <w:rPr>
                <w:rFonts w:ascii="Arial" w:cs="Arial" w:eastAsia="Arial" w:hAnsi="Arial"/>
                <w:sz w:val="18"/>
                <w:szCs w:val="18"/>
                <w:color w:val="auto"/>
                <w:w w:val="91"/>
              </w:rPr>
              <w:t>0.64</w:t>
            </w:r>
          </w:p>
        </w:tc>
        <w:tc>
          <w:tcPr>
            <w:tcW w:w="2860" w:type="dxa"/>
            <w:vAlign w:val="bottom"/>
            <w:gridSpan w:val="2"/>
            <w:shd w:val="clear" w:color="auto" w:fill="E6EFFF"/>
          </w:tcPr>
          <w:p>
            <w:pPr>
              <w:ind w:left="1280"/>
              <w:spacing w:after="0"/>
              <w:rPr>
                <w:sz w:val="20"/>
                <w:szCs w:val="20"/>
                <w:color w:val="auto"/>
              </w:rPr>
            </w:pPr>
            <w:r>
              <w:rPr>
                <w:rFonts w:ascii="Arial" w:cs="Arial" w:eastAsia="Arial" w:hAnsi="Arial"/>
                <w:sz w:val="18"/>
                <w:szCs w:val="18"/>
                <w:color w:val="auto"/>
              </w:rPr>
              <w:t>3,061,741</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October 2022</w:t>
            </w:r>
          </w:p>
        </w:tc>
        <w:tc>
          <w:tcPr>
            <w:tcW w:w="2020" w:type="dxa"/>
            <w:vAlign w:val="bottom"/>
            <w:gridSpan w:val="2"/>
          </w:tcPr>
          <w:p>
            <w:pPr>
              <w:jc w:val="right"/>
              <w:ind w:right="210"/>
              <w:spacing w:after="0"/>
              <w:rPr>
                <w:sz w:val="20"/>
                <w:szCs w:val="20"/>
                <w:color w:val="auto"/>
              </w:rPr>
            </w:pPr>
            <w:r>
              <w:rPr>
                <w:rFonts w:ascii="Arial" w:cs="Arial" w:eastAsia="Arial" w:hAnsi="Arial"/>
                <w:sz w:val="18"/>
                <w:szCs w:val="18"/>
                <w:color w:val="auto"/>
              </w:rPr>
              <w:t>0.89</w:t>
            </w:r>
          </w:p>
        </w:tc>
        <w:tc>
          <w:tcPr>
            <w:tcW w:w="3420" w:type="dxa"/>
            <w:vAlign w:val="bottom"/>
            <w:gridSpan w:val="3"/>
          </w:tcPr>
          <w:p>
            <w:pPr>
              <w:jc w:val="center"/>
              <w:ind w:left="1010"/>
              <w:spacing w:after="0"/>
              <w:rPr>
                <w:sz w:val="20"/>
                <w:szCs w:val="20"/>
                <w:color w:val="auto"/>
              </w:rPr>
            </w:pPr>
            <w:r>
              <w:rPr>
                <w:rFonts w:ascii="Arial" w:cs="Arial" w:eastAsia="Arial" w:hAnsi="Arial"/>
                <w:sz w:val="18"/>
                <w:szCs w:val="18"/>
                <w:color w:val="auto"/>
                <w:w w:val="91"/>
              </w:rPr>
              <w:t>0.61</w:t>
            </w:r>
          </w:p>
        </w:tc>
        <w:tc>
          <w:tcPr>
            <w:tcW w:w="2860" w:type="dxa"/>
            <w:vAlign w:val="bottom"/>
            <w:gridSpan w:val="2"/>
          </w:tcPr>
          <w:p>
            <w:pPr>
              <w:ind w:left="1280"/>
              <w:spacing w:after="0"/>
              <w:rPr>
                <w:sz w:val="20"/>
                <w:szCs w:val="20"/>
                <w:color w:val="auto"/>
              </w:rPr>
            </w:pPr>
            <w:r>
              <w:rPr>
                <w:rFonts w:ascii="Arial" w:cs="Arial" w:eastAsia="Arial" w:hAnsi="Arial"/>
                <w:sz w:val="18"/>
                <w:szCs w:val="18"/>
                <w:color w:val="auto"/>
              </w:rPr>
              <w:t>2,200,569</w:t>
            </w:r>
          </w:p>
        </w:tc>
      </w:tr>
      <w:tr>
        <w:trPr>
          <w:trHeight w:val="216"/>
        </w:trPr>
        <w:tc>
          <w:tcPr>
            <w:tcW w:w="2940" w:type="dxa"/>
            <w:vAlign w:val="bottom"/>
            <w:shd w:val="clear" w:color="auto" w:fill="E6EFFF"/>
          </w:tcPr>
          <w:p>
            <w:pPr>
              <w:spacing w:after="0"/>
              <w:rPr>
                <w:sz w:val="20"/>
                <w:szCs w:val="20"/>
                <w:color w:val="auto"/>
              </w:rPr>
            </w:pPr>
            <w:r>
              <w:rPr>
                <w:rFonts w:ascii="Arial" w:cs="Arial" w:eastAsia="Arial" w:hAnsi="Arial"/>
                <w:sz w:val="18"/>
                <w:szCs w:val="18"/>
                <w:color w:val="auto"/>
              </w:rPr>
              <w:t>November 2022</w:t>
            </w:r>
          </w:p>
        </w:tc>
        <w:tc>
          <w:tcPr>
            <w:tcW w:w="2020" w:type="dxa"/>
            <w:vAlign w:val="bottom"/>
            <w:gridSpan w:val="2"/>
            <w:shd w:val="clear" w:color="auto" w:fill="E6EFFF"/>
          </w:tcPr>
          <w:p>
            <w:pPr>
              <w:jc w:val="right"/>
              <w:ind w:right="210"/>
              <w:spacing w:after="0"/>
              <w:rPr>
                <w:sz w:val="20"/>
                <w:szCs w:val="20"/>
                <w:color w:val="auto"/>
              </w:rPr>
            </w:pPr>
            <w:r>
              <w:rPr>
                <w:rFonts w:ascii="Arial" w:cs="Arial" w:eastAsia="Arial" w:hAnsi="Arial"/>
                <w:sz w:val="18"/>
                <w:szCs w:val="18"/>
                <w:color w:val="auto"/>
              </w:rPr>
              <w:t>0.67</w:t>
            </w:r>
          </w:p>
        </w:tc>
        <w:tc>
          <w:tcPr>
            <w:tcW w:w="3420" w:type="dxa"/>
            <w:vAlign w:val="bottom"/>
            <w:gridSpan w:val="3"/>
            <w:shd w:val="clear" w:color="auto" w:fill="E6EFFF"/>
          </w:tcPr>
          <w:p>
            <w:pPr>
              <w:jc w:val="center"/>
              <w:ind w:left="1010"/>
              <w:spacing w:after="0"/>
              <w:rPr>
                <w:sz w:val="20"/>
                <w:szCs w:val="20"/>
                <w:color w:val="auto"/>
              </w:rPr>
            </w:pPr>
            <w:r>
              <w:rPr>
                <w:rFonts w:ascii="Arial" w:cs="Arial" w:eastAsia="Arial" w:hAnsi="Arial"/>
                <w:sz w:val="18"/>
                <w:szCs w:val="18"/>
                <w:color w:val="auto"/>
                <w:w w:val="91"/>
              </w:rPr>
              <w:t>0.49</w:t>
            </w:r>
          </w:p>
        </w:tc>
        <w:tc>
          <w:tcPr>
            <w:tcW w:w="2860" w:type="dxa"/>
            <w:vAlign w:val="bottom"/>
            <w:gridSpan w:val="2"/>
            <w:shd w:val="clear" w:color="auto" w:fill="E6EFFF"/>
          </w:tcPr>
          <w:p>
            <w:pPr>
              <w:ind w:left="1280"/>
              <w:spacing w:after="0"/>
              <w:rPr>
                <w:sz w:val="20"/>
                <w:szCs w:val="20"/>
                <w:color w:val="auto"/>
              </w:rPr>
            </w:pPr>
            <w:r>
              <w:rPr>
                <w:rFonts w:ascii="Arial" w:cs="Arial" w:eastAsia="Arial" w:hAnsi="Arial"/>
                <w:sz w:val="18"/>
                <w:szCs w:val="18"/>
                <w:color w:val="auto"/>
              </w:rPr>
              <w:t>2,706,993</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December 2022</w:t>
            </w:r>
          </w:p>
        </w:tc>
        <w:tc>
          <w:tcPr>
            <w:tcW w:w="2020" w:type="dxa"/>
            <w:vAlign w:val="bottom"/>
            <w:gridSpan w:val="2"/>
          </w:tcPr>
          <w:p>
            <w:pPr>
              <w:jc w:val="right"/>
              <w:ind w:right="210"/>
              <w:spacing w:after="0"/>
              <w:rPr>
                <w:sz w:val="20"/>
                <w:szCs w:val="20"/>
                <w:color w:val="auto"/>
              </w:rPr>
            </w:pPr>
            <w:r>
              <w:rPr>
                <w:rFonts w:ascii="Arial" w:cs="Arial" w:eastAsia="Arial" w:hAnsi="Arial"/>
                <w:sz w:val="18"/>
                <w:szCs w:val="18"/>
                <w:color w:val="auto"/>
              </w:rPr>
              <w:t>0.51</w:t>
            </w:r>
          </w:p>
        </w:tc>
        <w:tc>
          <w:tcPr>
            <w:tcW w:w="3420" w:type="dxa"/>
            <w:vAlign w:val="bottom"/>
            <w:gridSpan w:val="3"/>
          </w:tcPr>
          <w:p>
            <w:pPr>
              <w:jc w:val="center"/>
              <w:ind w:left="1010"/>
              <w:spacing w:after="0"/>
              <w:rPr>
                <w:sz w:val="20"/>
                <w:szCs w:val="20"/>
                <w:color w:val="auto"/>
              </w:rPr>
            </w:pPr>
            <w:r>
              <w:rPr>
                <w:rFonts w:ascii="Arial" w:cs="Arial" w:eastAsia="Arial" w:hAnsi="Arial"/>
                <w:sz w:val="18"/>
                <w:szCs w:val="18"/>
                <w:color w:val="auto"/>
                <w:w w:val="88"/>
              </w:rPr>
              <w:t>0.375</w:t>
            </w:r>
          </w:p>
        </w:tc>
        <w:tc>
          <w:tcPr>
            <w:tcW w:w="2860" w:type="dxa"/>
            <w:vAlign w:val="bottom"/>
            <w:gridSpan w:val="2"/>
          </w:tcPr>
          <w:p>
            <w:pPr>
              <w:ind w:left="1280"/>
              <w:spacing w:after="0"/>
              <w:rPr>
                <w:sz w:val="20"/>
                <w:szCs w:val="20"/>
                <w:color w:val="auto"/>
              </w:rPr>
            </w:pPr>
            <w:r>
              <w:rPr>
                <w:rFonts w:ascii="Arial" w:cs="Arial" w:eastAsia="Arial" w:hAnsi="Arial"/>
                <w:sz w:val="18"/>
                <w:szCs w:val="18"/>
                <w:color w:val="auto"/>
              </w:rPr>
              <w:t>3,307,124</w:t>
            </w:r>
          </w:p>
        </w:tc>
      </w:tr>
      <w:tr>
        <w:trPr>
          <w:trHeight w:val="216"/>
        </w:trPr>
        <w:tc>
          <w:tcPr>
            <w:tcW w:w="2940" w:type="dxa"/>
            <w:vAlign w:val="bottom"/>
            <w:shd w:val="clear" w:color="auto" w:fill="E6EFFF"/>
          </w:tcPr>
          <w:p>
            <w:pPr>
              <w:spacing w:after="0"/>
              <w:rPr>
                <w:sz w:val="20"/>
                <w:szCs w:val="20"/>
                <w:color w:val="auto"/>
              </w:rPr>
            </w:pPr>
            <w:r>
              <w:rPr>
                <w:rFonts w:ascii="Arial" w:cs="Arial" w:eastAsia="Arial" w:hAnsi="Arial"/>
                <w:sz w:val="18"/>
                <w:szCs w:val="18"/>
                <w:color w:val="auto"/>
              </w:rPr>
              <w:t>January 2023</w:t>
            </w:r>
          </w:p>
        </w:tc>
        <w:tc>
          <w:tcPr>
            <w:tcW w:w="2020" w:type="dxa"/>
            <w:vAlign w:val="bottom"/>
            <w:gridSpan w:val="2"/>
            <w:shd w:val="clear" w:color="auto" w:fill="E6EFFF"/>
          </w:tcPr>
          <w:p>
            <w:pPr>
              <w:jc w:val="right"/>
              <w:ind w:right="210"/>
              <w:spacing w:after="0"/>
              <w:rPr>
                <w:sz w:val="20"/>
                <w:szCs w:val="20"/>
                <w:color w:val="auto"/>
              </w:rPr>
            </w:pPr>
            <w:r>
              <w:rPr>
                <w:rFonts w:ascii="Arial" w:cs="Arial" w:eastAsia="Arial" w:hAnsi="Arial"/>
                <w:sz w:val="18"/>
                <w:szCs w:val="18"/>
                <w:color w:val="auto"/>
              </w:rPr>
              <w:t>0.83</w:t>
            </w:r>
          </w:p>
        </w:tc>
        <w:tc>
          <w:tcPr>
            <w:tcW w:w="3420" w:type="dxa"/>
            <w:vAlign w:val="bottom"/>
            <w:gridSpan w:val="3"/>
            <w:shd w:val="clear" w:color="auto" w:fill="E6EFFF"/>
          </w:tcPr>
          <w:p>
            <w:pPr>
              <w:jc w:val="center"/>
              <w:ind w:left="1010"/>
              <w:spacing w:after="0"/>
              <w:rPr>
                <w:sz w:val="20"/>
                <w:szCs w:val="20"/>
                <w:color w:val="auto"/>
              </w:rPr>
            </w:pPr>
            <w:r>
              <w:rPr>
                <w:rFonts w:ascii="Arial" w:cs="Arial" w:eastAsia="Arial" w:hAnsi="Arial"/>
                <w:sz w:val="18"/>
                <w:szCs w:val="18"/>
                <w:color w:val="auto"/>
                <w:w w:val="91"/>
              </w:rPr>
              <w:t>0.40</w:t>
            </w:r>
          </w:p>
        </w:tc>
        <w:tc>
          <w:tcPr>
            <w:tcW w:w="2860" w:type="dxa"/>
            <w:vAlign w:val="bottom"/>
            <w:gridSpan w:val="2"/>
            <w:shd w:val="clear" w:color="auto" w:fill="E6EFFF"/>
          </w:tcPr>
          <w:p>
            <w:pPr>
              <w:ind w:left="1280"/>
              <w:spacing w:after="0"/>
              <w:rPr>
                <w:sz w:val="20"/>
                <w:szCs w:val="20"/>
                <w:color w:val="auto"/>
              </w:rPr>
            </w:pPr>
            <w:r>
              <w:rPr>
                <w:rFonts w:ascii="Arial" w:cs="Arial" w:eastAsia="Arial" w:hAnsi="Arial"/>
                <w:sz w:val="18"/>
                <w:szCs w:val="18"/>
                <w:color w:val="auto"/>
              </w:rPr>
              <w:t>4,313,804</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February 2023</w:t>
            </w:r>
          </w:p>
        </w:tc>
        <w:tc>
          <w:tcPr>
            <w:tcW w:w="2020" w:type="dxa"/>
            <w:vAlign w:val="bottom"/>
            <w:gridSpan w:val="2"/>
          </w:tcPr>
          <w:p>
            <w:pPr>
              <w:jc w:val="right"/>
              <w:ind w:right="210"/>
              <w:spacing w:after="0"/>
              <w:rPr>
                <w:sz w:val="20"/>
                <w:szCs w:val="20"/>
                <w:color w:val="auto"/>
              </w:rPr>
            </w:pPr>
            <w:r>
              <w:rPr>
                <w:rFonts w:ascii="Arial" w:cs="Arial" w:eastAsia="Arial" w:hAnsi="Arial"/>
                <w:sz w:val="18"/>
                <w:szCs w:val="18"/>
                <w:color w:val="auto"/>
              </w:rPr>
              <w:t>0.82</w:t>
            </w:r>
          </w:p>
        </w:tc>
        <w:tc>
          <w:tcPr>
            <w:tcW w:w="3420" w:type="dxa"/>
            <w:vAlign w:val="bottom"/>
            <w:gridSpan w:val="3"/>
          </w:tcPr>
          <w:p>
            <w:pPr>
              <w:jc w:val="center"/>
              <w:ind w:left="1010"/>
              <w:spacing w:after="0"/>
              <w:rPr>
                <w:sz w:val="20"/>
                <w:szCs w:val="20"/>
                <w:color w:val="auto"/>
              </w:rPr>
            </w:pPr>
            <w:r>
              <w:rPr>
                <w:rFonts w:ascii="Arial" w:cs="Arial" w:eastAsia="Arial" w:hAnsi="Arial"/>
                <w:sz w:val="18"/>
                <w:szCs w:val="18"/>
                <w:color w:val="auto"/>
                <w:w w:val="91"/>
              </w:rPr>
              <w:t>0.52</w:t>
            </w:r>
          </w:p>
        </w:tc>
        <w:tc>
          <w:tcPr>
            <w:tcW w:w="2860" w:type="dxa"/>
            <w:vAlign w:val="bottom"/>
            <w:gridSpan w:val="2"/>
          </w:tcPr>
          <w:p>
            <w:pPr>
              <w:ind w:left="1280"/>
              <w:spacing w:after="0"/>
              <w:rPr>
                <w:sz w:val="20"/>
                <w:szCs w:val="20"/>
                <w:color w:val="auto"/>
              </w:rPr>
            </w:pPr>
            <w:r>
              <w:rPr>
                <w:rFonts w:ascii="Arial" w:cs="Arial" w:eastAsia="Arial" w:hAnsi="Arial"/>
                <w:sz w:val="18"/>
                <w:szCs w:val="18"/>
                <w:color w:val="auto"/>
              </w:rPr>
              <w:t>4,039,711</w:t>
            </w:r>
          </w:p>
        </w:tc>
      </w:tr>
      <w:tr>
        <w:trPr>
          <w:trHeight w:val="216"/>
        </w:trPr>
        <w:tc>
          <w:tcPr>
            <w:tcW w:w="2940" w:type="dxa"/>
            <w:vAlign w:val="bottom"/>
            <w:shd w:val="clear" w:color="auto" w:fill="E6EFFF"/>
          </w:tcPr>
          <w:p>
            <w:pPr>
              <w:spacing w:after="0"/>
              <w:rPr>
                <w:sz w:val="20"/>
                <w:szCs w:val="20"/>
                <w:color w:val="auto"/>
              </w:rPr>
            </w:pPr>
            <w:r>
              <w:rPr>
                <w:rFonts w:ascii="Arial" w:cs="Arial" w:eastAsia="Arial" w:hAnsi="Arial"/>
                <w:sz w:val="18"/>
                <w:szCs w:val="18"/>
                <w:color w:val="auto"/>
              </w:rPr>
              <w:t>March 2023</w:t>
            </w:r>
          </w:p>
        </w:tc>
        <w:tc>
          <w:tcPr>
            <w:tcW w:w="2020" w:type="dxa"/>
            <w:vAlign w:val="bottom"/>
            <w:gridSpan w:val="2"/>
            <w:shd w:val="clear" w:color="auto" w:fill="E6EFFF"/>
          </w:tcPr>
          <w:p>
            <w:pPr>
              <w:jc w:val="right"/>
              <w:ind w:right="210"/>
              <w:spacing w:after="0"/>
              <w:rPr>
                <w:sz w:val="20"/>
                <w:szCs w:val="20"/>
                <w:color w:val="auto"/>
              </w:rPr>
            </w:pPr>
            <w:r>
              <w:rPr>
                <w:rFonts w:ascii="Arial" w:cs="Arial" w:eastAsia="Arial" w:hAnsi="Arial"/>
                <w:sz w:val="18"/>
                <w:szCs w:val="18"/>
                <w:color w:val="auto"/>
              </w:rPr>
              <w:t>0.69</w:t>
            </w:r>
          </w:p>
        </w:tc>
        <w:tc>
          <w:tcPr>
            <w:tcW w:w="3420" w:type="dxa"/>
            <w:vAlign w:val="bottom"/>
            <w:gridSpan w:val="3"/>
            <w:shd w:val="clear" w:color="auto" w:fill="E6EFFF"/>
          </w:tcPr>
          <w:p>
            <w:pPr>
              <w:jc w:val="center"/>
              <w:ind w:left="1010"/>
              <w:spacing w:after="0"/>
              <w:rPr>
                <w:sz w:val="20"/>
                <w:szCs w:val="20"/>
                <w:color w:val="auto"/>
              </w:rPr>
            </w:pPr>
            <w:r>
              <w:rPr>
                <w:rFonts w:ascii="Arial" w:cs="Arial" w:eastAsia="Arial" w:hAnsi="Arial"/>
                <w:sz w:val="18"/>
                <w:szCs w:val="18"/>
                <w:color w:val="auto"/>
                <w:w w:val="91"/>
              </w:rPr>
              <w:t>0.48</w:t>
            </w:r>
          </w:p>
        </w:tc>
        <w:tc>
          <w:tcPr>
            <w:tcW w:w="2860" w:type="dxa"/>
            <w:vAlign w:val="bottom"/>
            <w:gridSpan w:val="2"/>
            <w:shd w:val="clear" w:color="auto" w:fill="E6EFFF"/>
          </w:tcPr>
          <w:p>
            <w:pPr>
              <w:ind w:left="1280"/>
              <w:spacing w:after="0"/>
              <w:rPr>
                <w:sz w:val="20"/>
                <w:szCs w:val="20"/>
                <w:color w:val="auto"/>
              </w:rPr>
            </w:pPr>
            <w:r>
              <w:rPr>
                <w:rFonts w:ascii="Arial" w:cs="Arial" w:eastAsia="Arial" w:hAnsi="Arial"/>
                <w:sz w:val="18"/>
                <w:szCs w:val="18"/>
                <w:color w:val="auto"/>
              </w:rPr>
              <w:t>3,147,215</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April 2023</w:t>
            </w:r>
          </w:p>
        </w:tc>
        <w:tc>
          <w:tcPr>
            <w:tcW w:w="2020" w:type="dxa"/>
            <w:vAlign w:val="bottom"/>
            <w:gridSpan w:val="2"/>
          </w:tcPr>
          <w:p>
            <w:pPr>
              <w:jc w:val="right"/>
              <w:ind w:right="210"/>
              <w:spacing w:after="0"/>
              <w:rPr>
                <w:sz w:val="20"/>
                <w:szCs w:val="20"/>
                <w:color w:val="auto"/>
              </w:rPr>
            </w:pPr>
            <w:r>
              <w:rPr>
                <w:rFonts w:ascii="Arial" w:cs="Arial" w:eastAsia="Arial" w:hAnsi="Arial"/>
                <w:sz w:val="18"/>
                <w:szCs w:val="18"/>
                <w:color w:val="auto"/>
              </w:rPr>
              <w:t>0.55</w:t>
            </w:r>
          </w:p>
        </w:tc>
        <w:tc>
          <w:tcPr>
            <w:tcW w:w="3420" w:type="dxa"/>
            <w:vAlign w:val="bottom"/>
            <w:gridSpan w:val="3"/>
          </w:tcPr>
          <w:p>
            <w:pPr>
              <w:jc w:val="center"/>
              <w:ind w:left="1010"/>
              <w:spacing w:after="0"/>
              <w:rPr>
                <w:sz w:val="20"/>
                <w:szCs w:val="20"/>
                <w:color w:val="auto"/>
              </w:rPr>
            </w:pPr>
            <w:r>
              <w:rPr>
                <w:rFonts w:ascii="Arial" w:cs="Arial" w:eastAsia="Arial" w:hAnsi="Arial"/>
                <w:sz w:val="18"/>
                <w:szCs w:val="18"/>
                <w:color w:val="auto"/>
                <w:w w:val="91"/>
              </w:rPr>
              <w:t>0.40</w:t>
            </w:r>
          </w:p>
        </w:tc>
        <w:tc>
          <w:tcPr>
            <w:tcW w:w="2860" w:type="dxa"/>
            <w:vAlign w:val="bottom"/>
            <w:gridSpan w:val="2"/>
          </w:tcPr>
          <w:p>
            <w:pPr>
              <w:ind w:left="1280"/>
              <w:spacing w:after="0"/>
              <w:rPr>
                <w:sz w:val="20"/>
                <w:szCs w:val="20"/>
                <w:color w:val="auto"/>
              </w:rPr>
            </w:pPr>
            <w:r>
              <w:rPr>
                <w:rFonts w:ascii="Arial" w:cs="Arial" w:eastAsia="Arial" w:hAnsi="Arial"/>
                <w:sz w:val="18"/>
                <w:szCs w:val="18"/>
                <w:color w:val="auto"/>
              </w:rPr>
              <w:t>1,906,116</w:t>
            </w:r>
          </w:p>
        </w:tc>
      </w:tr>
      <w:tr>
        <w:trPr>
          <w:trHeight w:val="216"/>
        </w:trPr>
        <w:tc>
          <w:tcPr>
            <w:tcW w:w="2940" w:type="dxa"/>
            <w:vAlign w:val="bottom"/>
            <w:shd w:val="clear" w:color="auto" w:fill="E6EFFF"/>
          </w:tcPr>
          <w:p>
            <w:pPr>
              <w:spacing w:after="0"/>
              <w:rPr>
                <w:sz w:val="20"/>
                <w:szCs w:val="20"/>
                <w:color w:val="auto"/>
              </w:rPr>
            </w:pPr>
            <w:r>
              <w:rPr>
                <w:rFonts w:ascii="Arial" w:cs="Arial" w:eastAsia="Arial" w:hAnsi="Arial"/>
                <w:sz w:val="18"/>
                <w:szCs w:val="18"/>
                <w:color w:val="auto"/>
              </w:rPr>
              <w:t>May (1 - 29) 2023</w:t>
            </w:r>
          </w:p>
        </w:tc>
        <w:tc>
          <w:tcPr>
            <w:tcW w:w="2020" w:type="dxa"/>
            <w:vAlign w:val="bottom"/>
            <w:gridSpan w:val="2"/>
            <w:shd w:val="clear" w:color="auto" w:fill="E6EFFF"/>
          </w:tcPr>
          <w:p>
            <w:pPr>
              <w:jc w:val="right"/>
              <w:ind w:right="210"/>
              <w:spacing w:after="0"/>
              <w:rPr>
                <w:sz w:val="20"/>
                <w:szCs w:val="20"/>
                <w:color w:val="auto"/>
              </w:rPr>
            </w:pPr>
            <w:r>
              <w:rPr>
                <w:rFonts w:ascii="Arial" w:cs="Arial" w:eastAsia="Arial" w:hAnsi="Arial"/>
                <w:sz w:val="18"/>
                <w:szCs w:val="18"/>
                <w:color w:val="auto"/>
              </w:rPr>
              <w:t>0.46</w:t>
            </w:r>
          </w:p>
        </w:tc>
        <w:tc>
          <w:tcPr>
            <w:tcW w:w="3420" w:type="dxa"/>
            <w:vAlign w:val="bottom"/>
            <w:gridSpan w:val="3"/>
            <w:shd w:val="clear" w:color="auto" w:fill="E6EFFF"/>
          </w:tcPr>
          <w:p>
            <w:pPr>
              <w:jc w:val="center"/>
              <w:ind w:left="1010"/>
              <w:spacing w:after="0"/>
              <w:rPr>
                <w:sz w:val="20"/>
                <w:szCs w:val="20"/>
                <w:color w:val="auto"/>
              </w:rPr>
            </w:pPr>
            <w:r>
              <w:rPr>
                <w:rFonts w:ascii="Arial" w:cs="Arial" w:eastAsia="Arial" w:hAnsi="Arial"/>
                <w:sz w:val="18"/>
                <w:szCs w:val="18"/>
                <w:color w:val="auto"/>
                <w:w w:val="91"/>
              </w:rPr>
              <w:t>0.35</w:t>
            </w:r>
          </w:p>
        </w:tc>
        <w:tc>
          <w:tcPr>
            <w:tcW w:w="2860" w:type="dxa"/>
            <w:vAlign w:val="bottom"/>
            <w:gridSpan w:val="2"/>
            <w:shd w:val="clear" w:color="auto" w:fill="E6EFFF"/>
          </w:tcPr>
          <w:p>
            <w:pPr>
              <w:ind w:left="1280"/>
              <w:spacing w:after="0"/>
              <w:rPr>
                <w:sz w:val="20"/>
                <w:szCs w:val="20"/>
                <w:color w:val="auto"/>
              </w:rPr>
            </w:pPr>
            <w:r>
              <w:rPr>
                <w:rFonts w:ascii="Arial" w:cs="Arial" w:eastAsia="Arial" w:hAnsi="Arial"/>
                <w:sz w:val="18"/>
                <w:szCs w:val="18"/>
                <w:color w:val="auto"/>
              </w:rPr>
              <w:t>1,473,431</w:t>
            </w:r>
          </w:p>
        </w:tc>
      </w:tr>
    </w:tbl>
    <w:p>
      <w:pPr>
        <w:spacing w:after="0" w:line="189" w:lineRule="exact"/>
        <w:rPr>
          <w:sz w:val="20"/>
          <w:szCs w:val="20"/>
          <w:color w:val="auto"/>
        </w:rPr>
      </w:pPr>
    </w:p>
    <w:p>
      <w:pPr>
        <w:ind w:left="400"/>
        <w:spacing w:after="0"/>
        <w:rPr>
          <w:sz w:val="20"/>
          <w:szCs w:val="20"/>
          <w:color w:val="auto"/>
        </w:rPr>
      </w:pPr>
      <w:r>
        <w:rPr>
          <w:rFonts w:ascii="Arial" w:cs="Arial" w:eastAsia="Arial" w:hAnsi="Arial"/>
          <w:sz w:val="22"/>
          <w:szCs w:val="22"/>
          <w:b w:val="1"/>
          <w:bCs w:val="1"/>
          <w:u w:val="single" w:color="auto"/>
          <w:color w:val="auto"/>
        </w:rPr>
        <w:t>Notes</w:t>
      </w:r>
      <w:r>
        <w:rPr>
          <w:rFonts w:ascii="Arial" w:cs="Arial" w:eastAsia="Arial" w:hAnsi="Arial"/>
          <w:sz w:val="22"/>
          <w:szCs w:val="22"/>
          <w:color w:val="auto"/>
        </w:rPr>
        <w:t>:</w:t>
      </w:r>
    </w:p>
    <w:p>
      <w:pPr>
        <w:spacing w:after="0" w:line="212" w:lineRule="exact"/>
        <w:rPr>
          <w:sz w:val="20"/>
          <w:szCs w:val="20"/>
          <w:color w:val="auto"/>
        </w:rPr>
      </w:pPr>
    </w:p>
    <w:p>
      <w:pPr>
        <w:ind w:left="900" w:hanging="460"/>
        <w:spacing w:after="0"/>
        <w:tabs>
          <w:tab w:leader="none" w:pos="9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Source: TMX Money as of the date of this Prospectus Supplement.</w:t>
      </w:r>
    </w:p>
    <w:p>
      <w:pPr>
        <w:spacing w:after="0" w:line="206"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On May 29, 2023, being the last day on which the Common Shares traded prior to the date of this Prospectus Supplement, the closing price of the Common Shares as reported on the NEO was $0.395.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40" w:type="dxa"/>
            <w:vAlign w:val="bottom"/>
            <w:gridSpan w:val="3"/>
          </w:tcPr>
          <w:p>
            <w:pPr>
              <w:ind w:left="1580"/>
              <w:spacing w:after="0"/>
              <w:rPr>
                <w:sz w:val="20"/>
                <w:szCs w:val="20"/>
                <w:color w:val="auto"/>
              </w:rPr>
            </w:pPr>
            <w:r>
              <w:rPr>
                <w:rFonts w:ascii="Arial" w:cs="Arial" w:eastAsia="Arial" w:hAnsi="Arial"/>
                <w:sz w:val="18"/>
                <w:szCs w:val="18"/>
                <w:b w:val="1"/>
                <w:bCs w:val="1"/>
                <w:color w:val="auto"/>
              </w:rPr>
              <w:t>NYSE Price Range</w:t>
            </w:r>
          </w:p>
        </w:tc>
        <w:tc>
          <w:tcPr>
            <w:tcW w:w="1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486"/>
        </w:trPr>
        <w:tc>
          <w:tcPr>
            <w:tcW w:w="2940" w:type="dxa"/>
            <w:vAlign w:val="bottom"/>
          </w:tcPr>
          <w:p>
            <w:pPr>
              <w:ind w:left="1260"/>
              <w:spacing w:after="0"/>
              <w:rPr>
                <w:sz w:val="20"/>
                <w:szCs w:val="20"/>
                <w:color w:val="auto"/>
              </w:rPr>
            </w:pPr>
            <w:r>
              <w:rPr>
                <w:rFonts w:ascii="Arial" w:cs="Arial" w:eastAsia="Arial" w:hAnsi="Arial"/>
                <w:sz w:val="18"/>
                <w:szCs w:val="18"/>
                <w:b w:val="1"/>
                <w:bCs w:val="1"/>
                <w:color w:val="auto"/>
              </w:rPr>
              <w:t>Month</w:t>
            </w:r>
          </w:p>
        </w:tc>
        <w:tc>
          <w:tcPr>
            <w:tcW w:w="400" w:type="dxa"/>
            <w:vAlign w:val="bottom"/>
          </w:tcPr>
          <w:p>
            <w:pPr>
              <w:spacing w:after="0"/>
              <w:rPr>
                <w:sz w:val="24"/>
                <w:szCs w:val="24"/>
                <w:color w:val="auto"/>
              </w:rPr>
            </w:pPr>
          </w:p>
        </w:tc>
        <w:tc>
          <w:tcPr>
            <w:tcW w:w="3240" w:type="dxa"/>
            <w:vAlign w:val="bottom"/>
            <w:gridSpan w:val="3"/>
          </w:tcPr>
          <w:p>
            <w:pPr>
              <w:ind w:left="680"/>
              <w:spacing w:after="0"/>
              <w:rPr>
                <w:sz w:val="20"/>
                <w:szCs w:val="20"/>
                <w:color w:val="auto"/>
              </w:rPr>
            </w:pPr>
            <w:r>
              <w:rPr>
                <w:rFonts w:ascii="Arial" w:cs="Arial" w:eastAsia="Arial" w:hAnsi="Arial"/>
                <w:sz w:val="18"/>
                <w:szCs w:val="18"/>
                <w:b w:val="1"/>
                <w:bCs w:val="1"/>
                <w:color w:val="auto"/>
              </w:rPr>
              <w:t xml:space="preserve">High </w:t>
            </w:r>
            <w:r>
              <w:rPr>
                <w:rFonts w:ascii="Arial" w:cs="Arial" w:eastAsia="Arial" w:hAnsi="Arial"/>
                <w:sz w:val="18"/>
                <w:szCs w:val="18"/>
                <w:color w:val="auto"/>
              </w:rPr>
              <w:t>(US$)</w:t>
            </w:r>
            <w:r>
              <w:rPr>
                <w:rFonts w:ascii="Arial" w:cs="Arial" w:eastAsia="Arial" w:hAnsi="Arial"/>
                <w:sz w:val="29"/>
                <w:szCs w:val="29"/>
                <w:b w:val="1"/>
                <w:bCs w:val="1"/>
                <w:color w:val="auto"/>
                <w:vertAlign w:val="superscript"/>
              </w:rPr>
              <w:t>(1)</w:t>
            </w:r>
          </w:p>
        </w:tc>
        <w:tc>
          <w:tcPr>
            <w:tcW w:w="1800" w:type="dxa"/>
            <w:vAlign w:val="bottom"/>
          </w:tcPr>
          <w:p>
            <w:pPr>
              <w:ind w:left="180"/>
              <w:spacing w:after="0"/>
              <w:rPr>
                <w:sz w:val="20"/>
                <w:szCs w:val="20"/>
                <w:color w:val="auto"/>
              </w:rPr>
            </w:pPr>
            <w:r>
              <w:rPr>
                <w:rFonts w:ascii="Arial" w:cs="Arial" w:eastAsia="Arial" w:hAnsi="Arial"/>
                <w:sz w:val="18"/>
                <w:szCs w:val="18"/>
                <w:b w:val="1"/>
                <w:bCs w:val="1"/>
                <w:color w:val="auto"/>
              </w:rPr>
              <w:t xml:space="preserve">Low </w:t>
            </w:r>
            <w:r>
              <w:rPr>
                <w:rFonts w:ascii="Arial" w:cs="Arial" w:eastAsia="Arial" w:hAnsi="Arial"/>
                <w:sz w:val="18"/>
                <w:szCs w:val="18"/>
                <w:color w:val="auto"/>
              </w:rPr>
              <w:t>(US$)</w:t>
            </w:r>
            <w:r>
              <w:rPr>
                <w:rFonts w:ascii="Arial" w:cs="Arial" w:eastAsia="Arial" w:hAnsi="Arial"/>
                <w:sz w:val="29"/>
                <w:szCs w:val="29"/>
                <w:b w:val="1"/>
                <w:bCs w:val="1"/>
                <w:color w:val="auto"/>
                <w:vertAlign w:val="superscript"/>
              </w:rPr>
              <w:t>(1)</w:t>
            </w:r>
          </w:p>
        </w:tc>
        <w:tc>
          <w:tcPr>
            <w:tcW w:w="400" w:type="dxa"/>
            <w:vAlign w:val="bottom"/>
          </w:tcPr>
          <w:p>
            <w:pPr>
              <w:spacing w:after="0"/>
              <w:rPr>
                <w:sz w:val="24"/>
                <w:szCs w:val="24"/>
                <w:color w:val="auto"/>
              </w:rPr>
            </w:pPr>
          </w:p>
        </w:tc>
        <w:tc>
          <w:tcPr>
            <w:tcW w:w="2460" w:type="dxa"/>
            <w:vAlign w:val="bottom"/>
          </w:tcPr>
          <w:p>
            <w:pPr>
              <w:jc w:val="right"/>
              <w:ind w:right="730"/>
              <w:spacing w:after="0"/>
              <w:rPr>
                <w:sz w:val="20"/>
                <w:szCs w:val="20"/>
                <w:color w:val="auto"/>
              </w:rPr>
            </w:pPr>
            <w:r>
              <w:rPr>
                <w:rFonts w:ascii="Arial" w:cs="Arial" w:eastAsia="Arial" w:hAnsi="Arial"/>
                <w:sz w:val="18"/>
                <w:szCs w:val="18"/>
                <w:b w:val="1"/>
                <w:bCs w:val="1"/>
                <w:color w:val="auto"/>
              </w:rPr>
              <w:t>Volume</w:t>
            </w:r>
            <w:r>
              <w:rPr>
                <w:rFonts w:ascii="Arial" w:cs="Arial" w:eastAsia="Arial" w:hAnsi="Arial"/>
                <w:sz w:val="29"/>
                <w:szCs w:val="29"/>
                <w:b w:val="1"/>
                <w:bCs w:val="1"/>
                <w:color w:val="auto"/>
                <w:vertAlign w:val="superscript"/>
              </w:rPr>
              <w:t>(1)</w:t>
            </w:r>
          </w:p>
        </w:tc>
      </w:tr>
      <w:tr>
        <w:trPr>
          <w:trHeight w:val="210"/>
        </w:trPr>
        <w:tc>
          <w:tcPr>
            <w:tcW w:w="29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3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r>
      <w:tr>
        <w:trPr>
          <w:trHeight w:val="216"/>
        </w:trPr>
        <w:tc>
          <w:tcPr>
            <w:tcW w:w="2940" w:type="dxa"/>
            <w:vAlign w:val="bottom"/>
            <w:shd w:val="clear" w:color="auto" w:fill="E6EFFF"/>
          </w:tcPr>
          <w:p>
            <w:pPr>
              <w:spacing w:after="0"/>
              <w:rPr>
                <w:sz w:val="20"/>
                <w:szCs w:val="20"/>
                <w:color w:val="auto"/>
              </w:rPr>
            </w:pPr>
            <w:r>
              <w:rPr>
                <w:rFonts w:ascii="Arial" w:cs="Arial" w:eastAsia="Arial" w:hAnsi="Arial"/>
                <w:sz w:val="18"/>
                <w:szCs w:val="18"/>
                <w:color w:val="auto"/>
              </w:rPr>
              <w:t>May 2022</w:t>
            </w:r>
          </w:p>
        </w:tc>
        <w:tc>
          <w:tcPr>
            <w:tcW w:w="2720" w:type="dxa"/>
            <w:vAlign w:val="bottom"/>
            <w:gridSpan w:val="2"/>
            <w:shd w:val="clear" w:color="auto" w:fill="E6EFFF"/>
          </w:tcPr>
          <w:p>
            <w:pPr>
              <w:jc w:val="center"/>
              <w:ind w:left="310"/>
              <w:spacing w:after="0"/>
              <w:rPr>
                <w:sz w:val="20"/>
                <w:szCs w:val="20"/>
                <w:color w:val="auto"/>
              </w:rPr>
            </w:pPr>
            <w:r>
              <w:rPr>
                <w:rFonts w:ascii="Arial" w:cs="Arial" w:eastAsia="Arial" w:hAnsi="Arial"/>
                <w:sz w:val="18"/>
                <w:szCs w:val="18"/>
                <w:color w:val="auto"/>
                <w:w w:val="91"/>
              </w:rPr>
              <w:t>0.71</w:t>
            </w:r>
          </w:p>
        </w:tc>
        <w:tc>
          <w:tcPr>
            <w:tcW w:w="400" w:type="dxa"/>
            <w:vAlign w:val="bottom"/>
            <w:shd w:val="clear" w:color="auto" w:fill="E6EFFF"/>
          </w:tcPr>
          <w:p>
            <w:pPr>
              <w:spacing w:after="0"/>
              <w:rPr>
                <w:sz w:val="18"/>
                <w:szCs w:val="18"/>
                <w:color w:val="auto"/>
              </w:rPr>
            </w:pPr>
          </w:p>
        </w:tc>
        <w:tc>
          <w:tcPr>
            <w:tcW w:w="520" w:type="dxa"/>
            <w:vAlign w:val="bottom"/>
            <w:shd w:val="clear" w:color="auto" w:fill="E6EFFF"/>
          </w:tcPr>
          <w:p>
            <w:pPr>
              <w:spacing w:after="0"/>
              <w:rPr>
                <w:sz w:val="18"/>
                <w:szCs w:val="18"/>
                <w:color w:val="auto"/>
              </w:rPr>
            </w:pPr>
          </w:p>
        </w:tc>
        <w:tc>
          <w:tcPr>
            <w:tcW w:w="1800" w:type="dxa"/>
            <w:vAlign w:val="bottom"/>
            <w:shd w:val="clear" w:color="auto" w:fill="E6EFFF"/>
          </w:tcPr>
          <w:p>
            <w:pPr>
              <w:jc w:val="center"/>
              <w:ind w:right="430"/>
              <w:spacing w:after="0"/>
              <w:rPr>
                <w:sz w:val="20"/>
                <w:szCs w:val="20"/>
                <w:color w:val="auto"/>
              </w:rPr>
            </w:pPr>
            <w:r>
              <w:rPr>
                <w:rFonts w:ascii="Arial" w:cs="Arial" w:eastAsia="Arial" w:hAnsi="Arial"/>
                <w:sz w:val="18"/>
                <w:szCs w:val="18"/>
                <w:color w:val="auto"/>
                <w:w w:val="87"/>
              </w:rPr>
              <w:t>0.3903</w:t>
            </w:r>
          </w:p>
        </w:tc>
        <w:tc>
          <w:tcPr>
            <w:tcW w:w="2860" w:type="dxa"/>
            <w:vAlign w:val="bottom"/>
            <w:gridSpan w:val="2"/>
            <w:shd w:val="clear" w:color="auto" w:fill="E6EFFF"/>
          </w:tcPr>
          <w:p>
            <w:pPr>
              <w:jc w:val="right"/>
              <w:ind w:right="730"/>
              <w:spacing w:after="0"/>
              <w:rPr>
                <w:sz w:val="20"/>
                <w:szCs w:val="20"/>
                <w:color w:val="auto"/>
              </w:rPr>
            </w:pPr>
            <w:r>
              <w:rPr>
                <w:rFonts w:ascii="Arial" w:cs="Arial" w:eastAsia="Arial" w:hAnsi="Arial"/>
                <w:sz w:val="18"/>
                <w:szCs w:val="18"/>
                <w:color w:val="auto"/>
              </w:rPr>
              <w:t>14,762,190</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June 2022</w:t>
            </w:r>
          </w:p>
        </w:tc>
        <w:tc>
          <w:tcPr>
            <w:tcW w:w="2720" w:type="dxa"/>
            <w:vAlign w:val="bottom"/>
            <w:gridSpan w:val="2"/>
          </w:tcPr>
          <w:p>
            <w:pPr>
              <w:jc w:val="center"/>
              <w:ind w:left="310"/>
              <w:spacing w:after="0"/>
              <w:rPr>
                <w:sz w:val="20"/>
                <w:szCs w:val="20"/>
                <w:color w:val="auto"/>
              </w:rPr>
            </w:pPr>
            <w:r>
              <w:rPr>
                <w:rFonts w:ascii="Arial" w:cs="Arial" w:eastAsia="Arial" w:hAnsi="Arial"/>
                <w:sz w:val="18"/>
                <w:szCs w:val="18"/>
                <w:color w:val="auto"/>
                <w:w w:val="91"/>
              </w:rPr>
              <w:t>0.86</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0" w:type="dxa"/>
            <w:vAlign w:val="bottom"/>
          </w:tcPr>
          <w:p>
            <w:pPr>
              <w:jc w:val="center"/>
              <w:ind w:right="430"/>
              <w:spacing w:after="0"/>
              <w:rPr>
                <w:sz w:val="20"/>
                <w:szCs w:val="20"/>
                <w:color w:val="auto"/>
              </w:rPr>
            </w:pPr>
            <w:r>
              <w:rPr>
                <w:rFonts w:ascii="Arial" w:cs="Arial" w:eastAsia="Arial" w:hAnsi="Arial"/>
                <w:sz w:val="18"/>
                <w:szCs w:val="18"/>
                <w:color w:val="auto"/>
                <w:w w:val="87"/>
              </w:rPr>
              <w:t>0.5301</w:t>
            </w:r>
          </w:p>
        </w:tc>
        <w:tc>
          <w:tcPr>
            <w:tcW w:w="2860" w:type="dxa"/>
            <w:vAlign w:val="bottom"/>
            <w:gridSpan w:val="2"/>
          </w:tcPr>
          <w:p>
            <w:pPr>
              <w:jc w:val="right"/>
              <w:ind w:right="730"/>
              <w:spacing w:after="0"/>
              <w:rPr>
                <w:sz w:val="20"/>
                <w:szCs w:val="20"/>
                <w:color w:val="auto"/>
              </w:rPr>
            </w:pPr>
            <w:r>
              <w:rPr>
                <w:rFonts w:ascii="Arial" w:cs="Arial" w:eastAsia="Arial" w:hAnsi="Arial"/>
                <w:sz w:val="18"/>
                <w:szCs w:val="18"/>
                <w:color w:val="auto"/>
              </w:rPr>
              <w:t>12,694,019</w:t>
            </w:r>
          </w:p>
        </w:tc>
      </w:tr>
      <w:tr>
        <w:trPr>
          <w:trHeight w:val="216"/>
        </w:trPr>
        <w:tc>
          <w:tcPr>
            <w:tcW w:w="2940" w:type="dxa"/>
            <w:vAlign w:val="bottom"/>
            <w:shd w:val="clear" w:color="auto" w:fill="E6EFFF"/>
          </w:tcPr>
          <w:p>
            <w:pPr>
              <w:spacing w:after="0"/>
              <w:rPr>
                <w:sz w:val="20"/>
                <w:szCs w:val="20"/>
                <w:color w:val="auto"/>
              </w:rPr>
            </w:pPr>
            <w:r>
              <w:rPr>
                <w:rFonts w:ascii="Arial" w:cs="Arial" w:eastAsia="Arial" w:hAnsi="Arial"/>
                <w:sz w:val="18"/>
                <w:szCs w:val="18"/>
                <w:color w:val="auto"/>
              </w:rPr>
              <w:t>July 2022</w:t>
            </w:r>
          </w:p>
        </w:tc>
        <w:tc>
          <w:tcPr>
            <w:tcW w:w="2720" w:type="dxa"/>
            <w:vAlign w:val="bottom"/>
            <w:gridSpan w:val="2"/>
            <w:shd w:val="clear" w:color="auto" w:fill="E6EFFF"/>
          </w:tcPr>
          <w:p>
            <w:pPr>
              <w:jc w:val="center"/>
              <w:ind w:left="310"/>
              <w:spacing w:after="0"/>
              <w:rPr>
                <w:sz w:val="20"/>
                <w:szCs w:val="20"/>
                <w:color w:val="auto"/>
              </w:rPr>
            </w:pPr>
            <w:r>
              <w:rPr>
                <w:rFonts w:ascii="Arial" w:cs="Arial" w:eastAsia="Arial" w:hAnsi="Arial"/>
                <w:sz w:val="18"/>
                <w:szCs w:val="18"/>
                <w:color w:val="auto"/>
                <w:w w:val="91"/>
              </w:rPr>
              <w:t>0.65</w:t>
            </w:r>
          </w:p>
        </w:tc>
        <w:tc>
          <w:tcPr>
            <w:tcW w:w="400" w:type="dxa"/>
            <w:vAlign w:val="bottom"/>
            <w:shd w:val="clear" w:color="auto" w:fill="E6EFFF"/>
          </w:tcPr>
          <w:p>
            <w:pPr>
              <w:spacing w:after="0"/>
              <w:rPr>
                <w:sz w:val="18"/>
                <w:szCs w:val="18"/>
                <w:color w:val="auto"/>
              </w:rPr>
            </w:pPr>
          </w:p>
        </w:tc>
        <w:tc>
          <w:tcPr>
            <w:tcW w:w="520" w:type="dxa"/>
            <w:vAlign w:val="bottom"/>
            <w:shd w:val="clear" w:color="auto" w:fill="E6EFFF"/>
          </w:tcPr>
          <w:p>
            <w:pPr>
              <w:spacing w:after="0"/>
              <w:rPr>
                <w:sz w:val="18"/>
                <w:szCs w:val="18"/>
                <w:color w:val="auto"/>
              </w:rPr>
            </w:pPr>
          </w:p>
        </w:tc>
        <w:tc>
          <w:tcPr>
            <w:tcW w:w="1800" w:type="dxa"/>
            <w:vAlign w:val="bottom"/>
            <w:shd w:val="clear" w:color="auto" w:fill="E6EFFF"/>
          </w:tcPr>
          <w:p>
            <w:pPr>
              <w:jc w:val="center"/>
              <w:ind w:right="430"/>
              <w:spacing w:after="0"/>
              <w:rPr>
                <w:sz w:val="20"/>
                <w:szCs w:val="20"/>
                <w:color w:val="auto"/>
              </w:rPr>
            </w:pPr>
            <w:r>
              <w:rPr>
                <w:rFonts w:ascii="Arial" w:cs="Arial" w:eastAsia="Arial" w:hAnsi="Arial"/>
                <w:sz w:val="18"/>
                <w:szCs w:val="18"/>
                <w:color w:val="auto"/>
                <w:w w:val="91"/>
              </w:rPr>
              <w:t>0.50</w:t>
            </w:r>
          </w:p>
        </w:tc>
        <w:tc>
          <w:tcPr>
            <w:tcW w:w="2860" w:type="dxa"/>
            <w:vAlign w:val="bottom"/>
            <w:gridSpan w:val="2"/>
            <w:shd w:val="clear" w:color="auto" w:fill="E6EFFF"/>
          </w:tcPr>
          <w:p>
            <w:pPr>
              <w:jc w:val="right"/>
              <w:ind w:right="730"/>
              <w:spacing w:after="0"/>
              <w:rPr>
                <w:sz w:val="20"/>
                <w:szCs w:val="20"/>
                <w:color w:val="auto"/>
              </w:rPr>
            </w:pPr>
            <w:r>
              <w:rPr>
                <w:rFonts w:ascii="Arial" w:cs="Arial" w:eastAsia="Arial" w:hAnsi="Arial"/>
                <w:sz w:val="18"/>
                <w:szCs w:val="18"/>
                <w:color w:val="auto"/>
              </w:rPr>
              <w:t>11,863,781</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August 2022</w:t>
            </w:r>
          </w:p>
        </w:tc>
        <w:tc>
          <w:tcPr>
            <w:tcW w:w="2720" w:type="dxa"/>
            <w:vAlign w:val="bottom"/>
            <w:gridSpan w:val="2"/>
          </w:tcPr>
          <w:p>
            <w:pPr>
              <w:jc w:val="center"/>
              <w:ind w:left="310"/>
              <w:spacing w:after="0"/>
              <w:rPr>
                <w:sz w:val="20"/>
                <w:szCs w:val="20"/>
                <w:color w:val="auto"/>
              </w:rPr>
            </w:pPr>
            <w:r>
              <w:rPr>
                <w:rFonts w:ascii="Arial" w:cs="Arial" w:eastAsia="Arial" w:hAnsi="Arial"/>
                <w:sz w:val="18"/>
                <w:szCs w:val="18"/>
                <w:color w:val="auto"/>
                <w:w w:val="91"/>
              </w:rPr>
              <w:t>1.14</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0" w:type="dxa"/>
            <w:vAlign w:val="bottom"/>
          </w:tcPr>
          <w:p>
            <w:pPr>
              <w:jc w:val="center"/>
              <w:ind w:right="430"/>
              <w:spacing w:after="0"/>
              <w:rPr>
                <w:sz w:val="20"/>
                <w:szCs w:val="20"/>
                <w:color w:val="auto"/>
              </w:rPr>
            </w:pPr>
            <w:r>
              <w:rPr>
                <w:rFonts w:ascii="Arial" w:cs="Arial" w:eastAsia="Arial" w:hAnsi="Arial"/>
                <w:sz w:val="18"/>
                <w:szCs w:val="18"/>
                <w:color w:val="auto"/>
                <w:w w:val="91"/>
              </w:rPr>
              <w:t>0.58</w:t>
            </w:r>
          </w:p>
        </w:tc>
        <w:tc>
          <w:tcPr>
            <w:tcW w:w="2860" w:type="dxa"/>
            <w:vAlign w:val="bottom"/>
            <w:gridSpan w:val="2"/>
          </w:tcPr>
          <w:p>
            <w:pPr>
              <w:jc w:val="right"/>
              <w:ind w:right="730"/>
              <w:spacing w:after="0"/>
              <w:rPr>
                <w:sz w:val="20"/>
                <w:szCs w:val="20"/>
                <w:color w:val="auto"/>
              </w:rPr>
            </w:pPr>
            <w:r>
              <w:rPr>
                <w:rFonts w:ascii="Arial" w:cs="Arial" w:eastAsia="Arial" w:hAnsi="Arial"/>
                <w:sz w:val="18"/>
                <w:szCs w:val="18"/>
                <w:color w:val="auto"/>
              </w:rPr>
              <w:t>37,402,882</w:t>
            </w:r>
          </w:p>
        </w:tc>
      </w:tr>
      <w:tr>
        <w:trPr>
          <w:trHeight w:val="216"/>
        </w:trPr>
        <w:tc>
          <w:tcPr>
            <w:tcW w:w="2940" w:type="dxa"/>
            <w:vAlign w:val="bottom"/>
            <w:shd w:val="clear" w:color="auto" w:fill="E6EFFF"/>
          </w:tcPr>
          <w:p>
            <w:pPr>
              <w:spacing w:after="0"/>
              <w:rPr>
                <w:sz w:val="20"/>
                <w:szCs w:val="20"/>
                <w:color w:val="auto"/>
              </w:rPr>
            </w:pPr>
            <w:r>
              <w:rPr>
                <w:rFonts w:ascii="Arial" w:cs="Arial" w:eastAsia="Arial" w:hAnsi="Arial"/>
                <w:sz w:val="18"/>
                <w:szCs w:val="18"/>
                <w:color w:val="auto"/>
              </w:rPr>
              <w:t>September 2022</w:t>
            </w:r>
          </w:p>
        </w:tc>
        <w:tc>
          <w:tcPr>
            <w:tcW w:w="2720" w:type="dxa"/>
            <w:vAlign w:val="bottom"/>
            <w:gridSpan w:val="2"/>
            <w:shd w:val="clear" w:color="auto" w:fill="E6EFFF"/>
          </w:tcPr>
          <w:p>
            <w:pPr>
              <w:jc w:val="center"/>
              <w:ind w:left="310"/>
              <w:spacing w:after="0"/>
              <w:rPr>
                <w:sz w:val="20"/>
                <w:szCs w:val="20"/>
                <w:color w:val="auto"/>
              </w:rPr>
            </w:pPr>
            <w:r>
              <w:rPr>
                <w:rFonts w:ascii="Arial" w:cs="Arial" w:eastAsia="Arial" w:hAnsi="Arial"/>
                <w:sz w:val="18"/>
                <w:szCs w:val="18"/>
                <w:color w:val="auto"/>
                <w:w w:val="91"/>
              </w:rPr>
              <w:t>1.14</w:t>
            </w:r>
          </w:p>
        </w:tc>
        <w:tc>
          <w:tcPr>
            <w:tcW w:w="400" w:type="dxa"/>
            <w:vAlign w:val="bottom"/>
            <w:shd w:val="clear" w:color="auto" w:fill="E6EFFF"/>
          </w:tcPr>
          <w:p>
            <w:pPr>
              <w:spacing w:after="0"/>
              <w:rPr>
                <w:sz w:val="18"/>
                <w:szCs w:val="18"/>
                <w:color w:val="auto"/>
              </w:rPr>
            </w:pPr>
          </w:p>
        </w:tc>
        <w:tc>
          <w:tcPr>
            <w:tcW w:w="520" w:type="dxa"/>
            <w:vAlign w:val="bottom"/>
            <w:shd w:val="clear" w:color="auto" w:fill="E6EFFF"/>
          </w:tcPr>
          <w:p>
            <w:pPr>
              <w:spacing w:after="0"/>
              <w:rPr>
                <w:sz w:val="18"/>
                <w:szCs w:val="18"/>
                <w:color w:val="auto"/>
              </w:rPr>
            </w:pPr>
          </w:p>
        </w:tc>
        <w:tc>
          <w:tcPr>
            <w:tcW w:w="1800" w:type="dxa"/>
            <w:vAlign w:val="bottom"/>
            <w:shd w:val="clear" w:color="auto" w:fill="E6EFFF"/>
          </w:tcPr>
          <w:p>
            <w:pPr>
              <w:jc w:val="center"/>
              <w:ind w:right="430"/>
              <w:spacing w:after="0"/>
              <w:rPr>
                <w:sz w:val="20"/>
                <w:szCs w:val="20"/>
                <w:color w:val="auto"/>
              </w:rPr>
            </w:pPr>
            <w:r>
              <w:rPr>
                <w:rFonts w:ascii="Arial" w:cs="Arial" w:eastAsia="Arial" w:hAnsi="Arial"/>
                <w:sz w:val="18"/>
                <w:szCs w:val="18"/>
                <w:color w:val="auto"/>
                <w:w w:val="91"/>
              </w:rPr>
              <w:t>0.47</w:t>
            </w:r>
          </w:p>
        </w:tc>
        <w:tc>
          <w:tcPr>
            <w:tcW w:w="2860" w:type="dxa"/>
            <w:vAlign w:val="bottom"/>
            <w:gridSpan w:val="2"/>
            <w:shd w:val="clear" w:color="auto" w:fill="E6EFFF"/>
          </w:tcPr>
          <w:p>
            <w:pPr>
              <w:jc w:val="right"/>
              <w:ind w:right="730"/>
              <w:spacing w:after="0"/>
              <w:rPr>
                <w:sz w:val="20"/>
                <w:szCs w:val="20"/>
                <w:color w:val="auto"/>
              </w:rPr>
            </w:pPr>
            <w:r>
              <w:rPr>
                <w:rFonts w:ascii="Arial" w:cs="Arial" w:eastAsia="Arial" w:hAnsi="Arial"/>
                <w:sz w:val="18"/>
                <w:szCs w:val="18"/>
                <w:color w:val="auto"/>
              </w:rPr>
              <w:t>25,585,300</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October 2022</w:t>
            </w:r>
          </w:p>
        </w:tc>
        <w:tc>
          <w:tcPr>
            <w:tcW w:w="2720" w:type="dxa"/>
            <w:vAlign w:val="bottom"/>
            <w:gridSpan w:val="2"/>
          </w:tcPr>
          <w:p>
            <w:pPr>
              <w:jc w:val="center"/>
              <w:ind w:left="310"/>
              <w:spacing w:after="0"/>
              <w:rPr>
                <w:sz w:val="20"/>
                <w:szCs w:val="20"/>
                <w:color w:val="auto"/>
              </w:rPr>
            </w:pPr>
            <w:r>
              <w:rPr>
                <w:rFonts w:ascii="Arial" w:cs="Arial" w:eastAsia="Arial" w:hAnsi="Arial"/>
                <w:sz w:val="18"/>
                <w:szCs w:val="18"/>
                <w:color w:val="auto"/>
                <w:w w:val="88"/>
              </w:rPr>
              <w:t>0.655</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0" w:type="dxa"/>
            <w:vAlign w:val="bottom"/>
          </w:tcPr>
          <w:p>
            <w:pPr>
              <w:jc w:val="center"/>
              <w:ind w:right="430"/>
              <w:spacing w:after="0"/>
              <w:rPr>
                <w:sz w:val="20"/>
                <w:szCs w:val="20"/>
                <w:color w:val="auto"/>
              </w:rPr>
            </w:pPr>
            <w:r>
              <w:rPr>
                <w:rFonts w:ascii="Arial" w:cs="Arial" w:eastAsia="Arial" w:hAnsi="Arial"/>
                <w:sz w:val="18"/>
                <w:szCs w:val="18"/>
                <w:color w:val="auto"/>
                <w:w w:val="88"/>
              </w:rPr>
              <w:t>0.445</w:t>
            </w:r>
          </w:p>
        </w:tc>
        <w:tc>
          <w:tcPr>
            <w:tcW w:w="2860" w:type="dxa"/>
            <w:vAlign w:val="bottom"/>
            <w:gridSpan w:val="2"/>
          </w:tcPr>
          <w:p>
            <w:pPr>
              <w:jc w:val="right"/>
              <w:ind w:right="730"/>
              <w:spacing w:after="0"/>
              <w:rPr>
                <w:sz w:val="20"/>
                <w:szCs w:val="20"/>
                <w:color w:val="auto"/>
              </w:rPr>
            </w:pPr>
            <w:r>
              <w:rPr>
                <w:rFonts w:ascii="Arial" w:cs="Arial" w:eastAsia="Arial" w:hAnsi="Arial"/>
                <w:sz w:val="18"/>
                <w:szCs w:val="18"/>
                <w:color w:val="auto"/>
              </w:rPr>
              <w:t>18,602,731</w:t>
            </w:r>
          </w:p>
        </w:tc>
      </w:tr>
      <w:tr>
        <w:trPr>
          <w:trHeight w:val="216"/>
        </w:trPr>
        <w:tc>
          <w:tcPr>
            <w:tcW w:w="2940" w:type="dxa"/>
            <w:vAlign w:val="bottom"/>
            <w:shd w:val="clear" w:color="auto" w:fill="E6EFFF"/>
          </w:tcPr>
          <w:p>
            <w:pPr>
              <w:spacing w:after="0"/>
              <w:rPr>
                <w:sz w:val="20"/>
                <w:szCs w:val="20"/>
                <w:color w:val="auto"/>
              </w:rPr>
            </w:pPr>
            <w:r>
              <w:rPr>
                <w:rFonts w:ascii="Arial" w:cs="Arial" w:eastAsia="Arial" w:hAnsi="Arial"/>
                <w:sz w:val="18"/>
                <w:szCs w:val="18"/>
                <w:color w:val="auto"/>
              </w:rPr>
              <w:t>November 2022</w:t>
            </w:r>
          </w:p>
        </w:tc>
        <w:tc>
          <w:tcPr>
            <w:tcW w:w="2720" w:type="dxa"/>
            <w:vAlign w:val="bottom"/>
            <w:gridSpan w:val="2"/>
            <w:shd w:val="clear" w:color="auto" w:fill="E6EFFF"/>
          </w:tcPr>
          <w:p>
            <w:pPr>
              <w:jc w:val="center"/>
              <w:ind w:left="310"/>
              <w:spacing w:after="0"/>
              <w:rPr>
                <w:sz w:val="20"/>
                <w:szCs w:val="20"/>
                <w:color w:val="auto"/>
              </w:rPr>
            </w:pPr>
            <w:r>
              <w:rPr>
                <w:rFonts w:ascii="Arial" w:cs="Arial" w:eastAsia="Arial" w:hAnsi="Arial"/>
                <w:sz w:val="18"/>
                <w:szCs w:val="18"/>
                <w:color w:val="auto"/>
                <w:w w:val="87"/>
              </w:rPr>
              <w:t>0.4839</w:t>
            </w:r>
          </w:p>
        </w:tc>
        <w:tc>
          <w:tcPr>
            <w:tcW w:w="400" w:type="dxa"/>
            <w:vAlign w:val="bottom"/>
            <w:shd w:val="clear" w:color="auto" w:fill="E6EFFF"/>
          </w:tcPr>
          <w:p>
            <w:pPr>
              <w:spacing w:after="0"/>
              <w:rPr>
                <w:sz w:val="18"/>
                <w:szCs w:val="18"/>
                <w:color w:val="auto"/>
              </w:rPr>
            </w:pPr>
          </w:p>
        </w:tc>
        <w:tc>
          <w:tcPr>
            <w:tcW w:w="520" w:type="dxa"/>
            <w:vAlign w:val="bottom"/>
            <w:shd w:val="clear" w:color="auto" w:fill="E6EFFF"/>
          </w:tcPr>
          <w:p>
            <w:pPr>
              <w:spacing w:after="0"/>
              <w:rPr>
                <w:sz w:val="18"/>
                <w:szCs w:val="18"/>
                <w:color w:val="auto"/>
              </w:rPr>
            </w:pPr>
          </w:p>
        </w:tc>
        <w:tc>
          <w:tcPr>
            <w:tcW w:w="1800" w:type="dxa"/>
            <w:vAlign w:val="bottom"/>
            <w:shd w:val="clear" w:color="auto" w:fill="E6EFFF"/>
          </w:tcPr>
          <w:p>
            <w:pPr>
              <w:jc w:val="center"/>
              <w:ind w:right="430"/>
              <w:spacing w:after="0"/>
              <w:rPr>
                <w:sz w:val="20"/>
                <w:szCs w:val="20"/>
                <w:color w:val="auto"/>
              </w:rPr>
            </w:pPr>
            <w:r>
              <w:rPr>
                <w:rFonts w:ascii="Arial" w:cs="Arial" w:eastAsia="Arial" w:hAnsi="Arial"/>
                <w:sz w:val="18"/>
                <w:szCs w:val="18"/>
                <w:color w:val="auto"/>
                <w:w w:val="91"/>
              </w:rPr>
              <w:t>0.36</w:t>
            </w:r>
          </w:p>
        </w:tc>
        <w:tc>
          <w:tcPr>
            <w:tcW w:w="2860" w:type="dxa"/>
            <w:vAlign w:val="bottom"/>
            <w:gridSpan w:val="2"/>
            <w:shd w:val="clear" w:color="auto" w:fill="E6EFFF"/>
          </w:tcPr>
          <w:p>
            <w:pPr>
              <w:jc w:val="right"/>
              <w:ind w:right="730"/>
              <w:spacing w:after="0"/>
              <w:rPr>
                <w:sz w:val="20"/>
                <w:szCs w:val="20"/>
                <w:color w:val="auto"/>
              </w:rPr>
            </w:pPr>
            <w:r>
              <w:rPr>
                <w:rFonts w:ascii="Arial" w:cs="Arial" w:eastAsia="Arial" w:hAnsi="Arial"/>
                <w:sz w:val="18"/>
                <w:szCs w:val="18"/>
                <w:color w:val="auto"/>
              </w:rPr>
              <w:t>19,969,352</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December 2022</w:t>
            </w:r>
          </w:p>
        </w:tc>
        <w:tc>
          <w:tcPr>
            <w:tcW w:w="2720" w:type="dxa"/>
            <w:vAlign w:val="bottom"/>
            <w:gridSpan w:val="2"/>
          </w:tcPr>
          <w:p>
            <w:pPr>
              <w:jc w:val="center"/>
              <w:ind w:left="310"/>
              <w:spacing w:after="0"/>
              <w:rPr>
                <w:sz w:val="20"/>
                <w:szCs w:val="20"/>
                <w:color w:val="auto"/>
              </w:rPr>
            </w:pPr>
            <w:r>
              <w:rPr>
                <w:rFonts w:ascii="Arial" w:cs="Arial" w:eastAsia="Arial" w:hAnsi="Arial"/>
                <w:sz w:val="18"/>
                <w:szCs w:val="18"/>
                <w:color w:val="auto"/>
                <w:w w:val="87"/>
              </w:rPr>
              <w:t>0.3888</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0" w:type="dxa"/>
            <w:vAlign w:val="bottom"/>
          </w:tcPr>
          <w:p>
            <w:pPr>
              <w:jc w:val="center"/>
              <w:ind w:right="430"/>
              <w:spacing w:after="0"/>
              <w:rPr>
                <w:sz w:val="20"/>
                <w:szCs w:val="20"/>
                <w:color w:val="auto"/>
              </w:rPr>
            </w:pPr>
            <w:r>
              <w:rPr>
                <w:rFonts w:ascii="Arial" w:cs="Arial" w:eastAsia="Arial" w:hAnsi="Arial"/>
                <w:sz w:val="18"/>
                <w:szCs w:val="18"/>
                <w:color w:val="auto"/>
                <w:w w:val="87"/>
              </w:rPr>
              <w:t>0.2649</w:t>
            </w:r>
          </w:p>
        </w:tc>
        <w:tc>
          <w:tcPr>
            <w:tcW w:w="2860" w:type="dxa"/>
            <w:vAlign w:val="bottom"/>
            <w:gridSpan w:val="2"/>
          </w:tcPr>
          <w:p>
            <w:pPr>
              <w:jc w:val="right"/>
              <w:ind w:right="730"/>
              <w:spacing w:after="0"/>
              <w:rPr>
                <w:sz w:val="20"/>
                <w:szCs w:val="20"/>
                <w:color w:val="auto"/>
              </w:rPr>
            </w:pPr>
            <w:r>
              <w:rPr>
                <w:rFonts w:ascii="Arial" w:cs="Arial" w:eastAsia="Arial" w:hAnsi="Arial"/>
                <w:sz w:val="18"/>
                <w:szCs w:val="18"/>
                <w:color w:val="auto"/>
              </w:rPr>
              <w:t>23,739,104</w:t>
            </w:r>
          </w:p>
        </w:tc>
      </w:tr>
      <w:tr>
        <w:trPr>
          <w:trHeight w:val="216"/>
        </w:trPr>
        <w:tc>
          <w:tcPr>
            <w:tcW w:w="2940" w:type="dxa"/>
            <w:vAlign w:val="bottom"/>
            <w:shd w:val="clear" w:color="auto" w:fill="E6EFFF"/>
          </w:tcPr>
          <w:p>
            <w:pPr>
              <w:spacing w:after="0"/>
              <w:rPr>
                <w:sz w:val="20"/>
                <w:szCs w:val="20"/>
                <w:color w:val="auto"/>
              </w:rPr>
            </w:pPr>
            <w:r>
              <w:rPr>
                <w:rFonts w:ascii="Arial" w:cs="Arial" w:eastAsia="Arial" w:hAnsi="Arial"/>
                <w:sz w:val="18"/>
                <w:szCs w:val="18"/>
                <w:color w:val="auto"/>
              </w:rPr>
              <w:t>January 2023</w:t>
            </w:r>
          </w:p>
        </w:tc>
        <w:tc>
          <w:tcPr>
            <w:tcW w:w="2720" w:type="dxa"/>
            <w:vAlign w:val="bottom"/>
            <w:gridSpan w:val="2"/>
            <w:shd w:val="clear" w:color="auto" w:fill="E6EFFF"/>
          </w:tcPr>
          <w:p>
            <w:pPr>
              <w:jc w:val="center"/>
              <w:ind w:left="310"/>
              <w:spacing w:after="0"/>
              <w:rPr>
                <w:sz w:val="20"/>
                <w:szCs w:val="20"/>
                <w:color w:val="auto"/>
              </w:rPr>
            </w:pPr>
            <w:r>
              <w:rPr>
                <w:rFonts w:ascii="Arial" w:cs="Arial" w:eastAsia="Arial" w:hAnsi="Arial"/>
                <w:sz w:val="18"/>
                <w:szCs w:val="18"/>
                <w:color w:val="auto"/>
                <w:w w:val="91"/>
              </w:rPr>
              <w:t>0.62</w:t>
            </w:r>
          </w:p>
        </w:tc>
        <w:tc>
          <w:tcPr>
            <w:tcW w:w="400" w:type="dxa"/>
            <w:vAlign w:val="bottom"/>
            <w:shd w:val="clear" w:color="auto" w:fill="E6EFFF"/>
          </w:tcPr>
          <w:p>
            <w:pPr>
              <w:spacing w:after="0"/>
              <w:rPr>
                <w:sz w:val="18"/>
                <w:szCs w:val="18"/>
                <w:color w:val="auto"/>
              </w:rPr>
            </w:pPr>
          </w:p>
        </w:tc>
        <w:tc>
          <w:tcPr>
            <w:tcW w:w="520" w:type="dxa"/>
            <w:vAlign w:val="bottom"/>
            <w:shd w:val="clear" w:color="auto" w:fill="E6EFFF"/>
          </w:tcPr>
          <w:p>
            <w:pPr>
              <w:spacing w:after="0"/>
              <w:rPr>
                <w:sz w:val="18"/>
                <w:szCs w:val="18"/>
                <w:color w:val="auto"/>
              </w:rPr>
            </w:pPr>
          </w:p>
        </w:tc>
        <w:tc>
          <w:tcPr>
            <w:tcW w:w="1800" w:type="dxa"/>
            <w:vAlign w:val="bottom"/>
            <w:shd w:val="clear" w:color="auto" w:fill="E6EFFF"/>
          </w:tcPr>
          <w:p>
            <w:pPr>
              <w:jc w:val="center"/>
              <w:ind w:right="430"/>
              <w:spacing w:after="0"/>
              <w:rPr>
                <w:sz w:val="20"/>
                <w:szCs w:val="20"/>
                <w:color w:val="auto"/>
              </w:rPr>
            </w:pPr>
            <w:r>
              <w:rPr>
                <w:rFonts w:ascii="Arial" w:cs="Arial" w:eastAsia="Arial" w:hAnsi="Arial"/>
                <w:sz w:val="18"/>
                <w:szCs w:val="18"/>
                <w:color w:val="auto"/>
                <w:w w:val="87"/>
              </w:rPr>
              <w:t>0.2971</w:t>
            </w:r>
          </w:p>
        </w:tc>
        <w:tc>
          <w:tcPr>
            <w:tcW w:w="2860" w:type="dxa"/>
            <w:vAlign w:val="bottom"/>
            <w:gridSpan w:val="2"/>
            <w:shd w:val="clear" w:color="auto" w:fill="E6EFFF"/>
          </w:tcPr>
          <w:p>
            <w:pPr>
              <w:jc w:val="right"/>
              <w:ind w:right="730"/>
              <w:spacing w:after="0"/>
              <w:rPr>
                <w:sz w:val="20"/>
                <w:szCs w:val="20"/>
                <w:color w:val="auto"/>
              </w:rPr>
            </w:pPr>
            <w:r>
              <w:rPr>
                <w:rFonts w:ascii="Arial" w:cs="Arial" w:eastAsia="Arial" w:hAnsi="Arial"/>
                <w:sz w:val="18"/>
                <w:szCs w:val="18"/>
                <w:color w:val="auto"/>
              </w:rPr>
              <w:t>38,677,475</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February 2023</w:t>
            </w:r>
          </w:p>
        </w:tc>
        <w:tc>
          <w:tcPr>
            <w:tcW w:w="2720" w:type="dxa"/>
            <w:vAlign w:val="bottom"/>
            <w:gridSpan w:val="2"/>
          </w:tcPr>
          <w:p>
            <w:pPr>
              <w:jc w:val="center"/>
              <w:ind w:left="310"/>
              <w:spacing w:after="0"/>
              <w:rPr>
                <w:sz w:val="20"/>
                <w:szCs w:val="20"/>
                <w:color w:val="auto"/>
              </w:rPr>
            </w:pPr>
            <w:r>
              <w:rPr>
                <w:rFonts w:ascii="Arial" w:cs="Arial" w:eastAsia="Arial" w:hAnsi="Arial"/>
                <w:sz w:val="18"/>
                <w:szCs w:val="18"/>
                <w:color w:val="auto"/>
                <w:w w:val="91"/>
              </w:rPr>
              <w:t>0.60</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0" w:type="dxa"/>
            <w:vAlign w:val="bottom"/>
          </w:tcPr>
          <w:p>
            <w:pPr>
              <w:jc w:val="center"/>
              <w:ind w:right="430"/>
              <w:spacing w:after="0"/>
              <w:rPr>
                <w:sz w:val="20"/>
                <w:szCs w:val="20"/>
                <w:color w:val="auto"/>
              </w:rPr>
            </w:pPr>
            <w:r>
              <w:rPr>
                <w:rFonts w:ascii="Arial" w:cs="Arial" w:eastAsia="Arial" w:hAnsi="Arial"/>
                <w:sz w:val="18"/>
                <w:szCs w:val="18"/>
                <w:color w:val="auto"/>
                <w:w w:val="88"/>
              </w:rPr>
              <w:t>0.385</w:t>
            </w:r>
          </w:p>
        </w:tc>
        <w:tc>
          <w:tcPr>
            <w:tcW w:w="2860" w:type="dxa"/>
            <w:vAlign w:val="bottom"/>
            <w:gridSpan w:val="2"/>
          </w:tcPr>
          <w:p>
            <w:pPr>
              <w:jc w:val="right"/>
              <w:ind w:right="730"/>
              <w:spacing w:after="0"/>
              <w:rPr>
                <w:sz w:val="20"/>
                <w:szCs w:val="20"/>
                <w:color w:val="auto"/>
              </w:rPr>
            </w:pPr>
            <w:r>
              <w:rPr>
                <w:rFonts w:ascii="Arial" w:cs="Arial" w:eastAsia="Arial" w:hAnsi="Arial"/>
                <w:sz w:val="18"/>
                <w:szCs w:val="18"/>
                <w:color w:val="auto"/>
              </w:rPr>
              <w:t>35,754,753</w:t>
            </w:r>
          </w:p>
        </w:tc>
      </w:tr>
      <w:tr>
        <w:trPr>
          <w:trHeight w:val="216"/>
        </w:trPr>
        <w:tc>
          <w:tcPr>
            <w:tcW w:w="2940" w:type="dxa"/>
            <w:vAlign w:val="bottom"/>
            <w:shd w:val="clear" w:color="auto" w:fill="E6EFFF"/>
          </w:tcPr>
          <w:p>
            <w:pPr>
              <w:spacing w:after="0"/>
              <w:rPr>
                <w:sz w:val="20"/>
                <w:szCs w:val="20"/>
                <w:color w:val="auto"/>
              </w:rPr>
            </w:pPr>
            <w:r>
              <w:rPr>
                <w:rFonts w:ascii="Arial" w:cs="Arial" w:eastAsia="Arial" w:hAnsi="Arial"/>
                <w:sz w:val="18"/>
                <w:szCs w:val="18"/>
                <w:color w:val="auto"/>
              </w:rPr>
              <w:t>March 2023</w:t>
            </w:r>
          </w:p>
        </w:tc>
        <w:tc>
          <w:tcPr>
            <w:tcW w:w="2720" w:type="dxa"/>
            <w:vAlign w:val="bottom"/>
            <w:gridSpan w:val="2"/>
            <w:shd w:val="clear" w:color="auto" w:fill="E6EFFF"/>
          </w:tcPr>
          <w:p>
            <w:pPr>
              <w:jc w:val="center"/>
              <w:ind w:left="310"/>
              <w:spacing w:after="0"/>
              <w:rPr>
                <w:sz w:val="20"/>
                <w:szCs w:val="20"/>
                <w:color w:val="auto"/>
              </w:rPr>
            </w:pPr>
            <w:r>
              <w:rPr>
                <w:rFonts w:ascii="Arial" w:cs="Arial" w:eastAsia="Arial" w:hAnsi="Arial"/>
                <w:sz w:val="18"/>
                <w:szCs w:val="18"/>
                <w:color w:val="auto"/>
                <w:w w:val="91"/>
              </w:rPr>
              <w:t>0.50</w:t>
            </w:r>
          </w:p>
        </w:tc>
        <w:tc>
          <w:tcPr>
            <w:tcW w:w="400" w:type="dxa"/>
            <w:vAlign w:val="bottom"/>
            <w:shd w:val="clear" w:color="auto" w:fill="E6EFFF"/>
          </w:tcPr>
          <w:p>
            <w:pPr>
              <w:spacing w:after="0"/>
              <w:rPr>
                <w:sz w:val="18"/>
                <w:szCs w:val="18"/>
                <w:color w:val="auto"/>
              </w:rPr>
            </w:pPr>
          </w:p>
        </w:tc>
        <w:tc>
          <w:tcPr>
            <w:tcW w:w="520" w:type="dxa"/>
            <w:vAlign w:val="bottom"/>
            <w:shd w:val="clear" w:color="auto" w:fill="E6EFFF"/>
          </w:tcPr>
          <w:p>
            <w:pPr>
              <w:spacing w:after="0"/>
              <w:rPr>
                <w:sz w:val="18"/>
                <w:szCs w:val="18"/>
                <w:color w:val="auto"/>
              </w:rPr>
            </w:pPr>
          </w:p>
        </w:tc>
        <w:tc>
          <w:tcPr>
            <w:tcW w:w="1800" w:type="dxa"/>
            <w:vAlign w:val="bottom"/>
            <w:shd w:val="clear" w:color="auto" w:fill="E6EFFF"/>
          </w:tcPr>
          <w:p>
            <w:pPr>
              <w:jc w:val="center"/>
              <w:ind w:right="430"/>
              <w:spacing w:after="0"/>
              <w:rPr>
                <w:sz w:val="20"/>
                <w:szCs w:val="20"/>
                <w:color w:val="auto"/>
              </w:rPr>
            </w:pPr>
            <w:r>
              <w:rPr>
                <w:rFonts w:ascii="Arial" w:cs="Arial" w:eastAsia="Arial" w:hAnsi="Arial"/>
                <w:sz w:val="18"/>
                <w:szCs w:val="18"/>
                <w:color w:val="auto"/>
                <w:w w:val="91"/>
              </w:rPr>
              <w:t>0.35</w:t>
            </w:r>
          </w:p>
        </w:tc>
        <w:tc>
          <w:tcPr>
            <w:tcW w:w="2860" w:type="dxa"/>
            <w:vAlign w:val="bottom"/>
            <w:gridSpan w:val="2"/>
            <w:shd w:val="clear" w:color="auto" w:fill="E6EFFF"/>
          </w:tcPr>
          <w:p>
            <w:pPr>
              <w:jc w:val="right"/>
              <w:ind w:right="730"/>
              <w:spacing w:after="0"/>
              <w:rPr>
                <w:sz w:val="20"/>
                <w:szCs w:val="20"/>
                <w:color w:val="auto"/>
              </w:rPr>
            </w:pPr>
            <w:r>
              <w:rPr>
                <w:rFonts w:ascii="Arial" w:cs="Arial" w:eastAsia="Arial" w:hAnsi="Arial"/>
                <w:sz w:val="18"/>
                <w:szCs w:val="18"/>
                <w:color w:val="auto"/>
              </w:rPr>
              <w:t>28,943,897</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April 2023</w:t>
            </w:r>
          </w:p>
        </w:tc>
        <w:tc>
          <w:tcPr>
            <w:tcW w:w="2720" w:type="dxa"/>
            <w:vAlign w:val="bottom"/>
            <w:gridSpan w:val="2"/>
          </w:tcPr>
          <w:p>
            <w:pPr>
              <w:jc w:val="center"/>
              <w:ind w:left="310"/>
              <w:spacing w:after="0"/>
              <w:rPr>
                <w:sz w:val="20"/>
                <w:szCs w:val="20"/>
                <w:color w:val="auto"/>
              </w:rPr>
            </w:pPr>
            <w:r>
              <w:rPr>
                <w:rFonts w:ascii="Arial" w:cs="Arial" w:eastAsia="Arial" w:hAnsi="Arial"/>
                <w:sz w:val="18"/>
                <w:szCs w:val="18"/>
                <w:color w:val="auto"/>
                <w:w w:val="87"/>
              </w:rPr>
              <w:t>0.4046</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0" w:type="dxa"/>
            <w:vAlign w:val="bottom"/>
          </w:tcPr>
          <w:p>
            <w:pPr>
              <w:jc w:val="center"/>
              <w:ind w:right="430"/>
              <w:spacing w:after="0"/>
              <w:rPr>
                <w:sz w:val="20"/>
                <w:szCs w:val="20"/>
                <w:color w:val="auto"/>
              </w:rPr>
            </w:pPr>
            <w:r>
              <w:rPr>
                <w:rFonts w:ascii="Arial" w:cs="Arial" w:eastAsia="Arial" w:hAnsi="Arial"/>
                <w:sz w:val="18"/>
                <w:szCs w:val="18"/>
                <w:color w:val="auto"/>
                <w:w w:val="91"/>
              </w:rPr>
              <w:t>0.29</w:t>
            </w:r>
          </w:p>
        </w:tc>
        <w:tc>
          <w:tcPr>
            <w:tcW w:w="2860" w:type="dxa"/>
            <w:vAlign w:val="bottom"/>
            <w:gridSpan w:val="2"/>
          </w:tcPr>
          <w:p>
            <w:pPr>
              <w:jc w:val="right"/>
              <w:ind w:right="730"/>
              <w:spacing w:after="0"/>
              <w:rPr>
                <w:sz w:val="20"/>
                <w:szCs w:val="20"/>
                <w:color w:val="auto"/>
              </w:rPr>
            </w:pPr>
            <w:r>
              <w:rPr>
                <w:rFonts w:ascii="Arial" w:cs="Arial" w:eastAsia="Arial" w:hAnsi="Arial"/>
                <w:sz w:val="18"/>
                <w:szCs w:val="18"/>
                <w:color w:val="auto"/>
              </w:rPr>
              <w:t>18,366,468</w:t>
            </w:r>
          </w:p>
        </w:tc>
      </w:tr>
      <w:tr>
        <w:trPr>
          <w:trHeight w:val="216"/>
        </w:trPr>
        <w:tc>
          <w:tcPr>
            <w:tcW w:w="2940" w:type="dxa"/>
            <w:vAlign w:val="bottom"/>
            <w:shd w:val="clear" w:color="auto" w:fill="E6EFFF"/>
          </w:tcPr>
          <w:p>
            <w:pPr>
              <w:spacing w:after="0"/>
              <w:rPr>
                <w:sz w:val="20"/>
                <w:szCs w:val="20"/>
                <w:color w:val="auto"/>
              </w:rPr>
            </w:pPr>
            <w:r>
              <w:rPr>
                <w:rFonts w:ascii="Arial" w:cs="Arial" w:eastAsia="Arial" w:hAnsi="Arial"/>
                <w:sz w:val="18"/>
                <w:szCs w:val="18"/>
                <w:color w:val="auto"/>
              </w:rPr>
              <w:t>May (1 - 26) 2023</w:t>
            </w:r>
          </w:p>
        </w:tc>
        <w:tc>
          <w:tcPr>
            <w:tcW w:w="2720" w:type="dxa"/>
            <w:vAlign w:val="bottom"/>
            <w:gridSpan w:val="2"/>
            <w:shd w:val="clear" w:color="auto" w:fill="E6EFFF"/>
          </w:tcPr>
          <w:p>
            <w:pPr>
              <w:jc w:val="center"/>
              <w:ind w:left="310"/>
              <w:spacing w:after="0"/>
              <w:rPr>
                <w:sz w:val="20"/>
                <w:szCs w:val="20"/>
                <w:color w:val="auto"/>
              </w:rPr>
            </w:pPr>
            <w:r>
              <w:rPr>
                <w:rFonts w:ascii="Arial" w:cs="Arial" w:eastAsia="Arial" w:hAnsi="Arial"/>
                <w:sz w:val="18"/>
                <w:szCs w:val="18"/>
                <w:color w:val="auto"/>
                <w:w w:val="87"/>
              </w:rPr>
              <w:t>0.3466</w:t>
            </w:r>
          </w:p>
        </w:tc>
        <w:tc>
          <w:tcPr>
            <w:tcW w:w="400" w:type="dxa"/>
            <w:vAlign w:val="bottom"/>
            <w:shd w:val="clear" w:color="auto" w:fill="E6EFFF"/>
          </w:tcPr>
          <w:p>
            <w:pPr>
              <w:spacing w:after="0"/>
              <w:rPr>
                <w:sz w:val="18"/>
                <w:szCs w:val="18"/>
                <w:color w:val="auto"/>
              </w:rPr>
            </w:pPr>
          </w:p>
        </w:tc>
        <w:tc>
          <w:tcPr>
            <w:tcW w:w="520" w:type="dxa"/>
            <w:vAlign w:val="bottom"/>
            <w:shd w:val="clear" w:color="auto" w:fill="E6EFFF"/>
          </w:tcPr>
          <w:p>
            <w:pPr>
              <w:spacing w:after="0"/>
              <w:rPr>
                <w:sz w:val="18"/>
                <w:szCs w:val="18"/>
                <w:color w:val="auto"/>
              </w:rPr>
            </w:pPr>
          </w:p>
        </w:tc>
        <w:tc>
          <w:tcPr>
            <w:tcW w:w="1800" w:type="dxa"/>
            <w:vAlign w:val="bottom"/>
            <w:shd w:val="clear" w:color="auto" w:fill="E6EFFF"/>
          </w:tcPr>
          <w:p>
            <w:pPr>
              <w:jc w:val="center"/>
              <w:ind w:right="430"/>
              <w:spacing w:after="0"/>
              <w:rPr>
                <w:sz w:val="20"/>
                <w:szCs w:val="20"/>
                <w:color w:val="auto"/>
              </w:rPr>
            </w:pPr>
            <w:r>
              <w:rPr>
                <w:rFonts w:ascii="Arial" w:cs="Arial" w:eastAsia="Arial" w:hAnsi="Arial"/>
                <w:sz w:val="18"/>
                <w:szCs w:val="18"/>
                <w:color w:val="auto"/>
                <w:w w:val="88"/>
              </w:rPr>
              <w:t>0.265</w:t>
            </w:r>
          </w:p>
        </w:tc>
        <w:tc>
          <w:tcPr>
            <w:tcW w:w="2860" w:type="dxa"/>
            <w:vAlign w:val="bottom"/>
            <w:gridSpan w:val="2"/>
            <w:shd w:val="clear" w:color="auto" w:fill="E6EFFF"/>
          </w:tcPr>
          <w:p>
            <w:pPr>
              <w:jc w:val="right"/>
              <w:ind w:right="730"/>
              <w:spacing w:after="0"/>
              <w:rPr>
                <w:sz w:val="20"/>
                <w:szCs w:val="20"/>
                <w:color w:val="auto"/>
              </w:rPr>
            </w:pPr>
            <w:r>
              <w:rPr>
                <w:rFonts w:ascii="Arial" w:cs="Arial" w:eastAsia="Arial" w:hAnsi="Arial"/>
                <w:sz w:val="18"/>
                <w:szCs w:val="18"/>
                <w:color w:val="auto"/>
              </w:rPr>
              <w:t>23,024,865</w:t>
            </w:r>
          </w:p>
        </w:tc>
      </w:tr>
    </w:tbl>
    <w:p>
      <w:pPr>
        <w:spacing w:after="0" w:line="189" w:lineRule="exact"/>
        <w:rPr>
          <w:sz w:val="20"/>
          <w:szCs w:val="20"/>
          <w:color w:val="auto"/>
        </w:rPr>
      </w:pPr>
    </w:p>
    <w:p>
      <w:pPr>
        <w:ind w:left="400"/>
        <w:spacing w:after="0"/>
        <w:rPr>
          <w:sz w:val="20"/>
          <w:szCs w:val="20"/>
          <w:color w:val="auto"/>
        </w:rPr>
      </w:pPr>
      <w:r>
        <w:rPr>
          <w:rFonts w:ascii="Arial" w:cs="Arial" w:eastAsia="Arial" w:hAnsi="Arial"/>
          <w:sz w:val="22"/>
          <w:szCs w:val="22"/>
          <w:b w:val="1"/>
          <w:bCs w:val="1"/>
          <w:u w:val="single" w:color="auto"/>
          <w:color w:val="auto"/>
        </w:rPr>
        <w:t>Notes</w:t>
      </w:r>
      <w:r>
        <w:rPr>
          <w:rFonts w:ascii="Arial" w:cs="Arial" w:eastAsia="Arial" w:hAnsi="Arial"/>
          <w:sz w:val="22"/>
          <w:szCs w:val="22"/>
          <w:color w:val="auto"/>
        </w:rPr>
        <w:t>:</w:t>
      </w:r>
    </w:p>
    <w:p>
      <w:pPr>
        <w:spacing w:after="0" w:line="212" w:lineRule="exact"/>
        <w:rPr>
          <w:sz w:val="20"/>
          <w:szCs w:val="20"/>
          <w:color w:val="auto"/>
        </w:rPr>
      </w:pPr>
    </w:p>
    <w:p>
      <w:pPr>
        <w:ind w:left="900" w:hanging="460"/>
        <w:spacing w:after="0"/>
        <w:tabs>
          <w:tab w:leader="none" w:pos="9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Source: The NYSE as of the date of this Prospectus Supplement.</w:t>
      </w:r>
    </w:p>
    <w:p>
      <w:pPr>
        <w:spacing w:after="0" w:line="206"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On May 26, 2023, being the last day on which the Common Shares traded prior to the date of this Prospectus Supplement, the closing price of the Common Shares as reported on the NYSE was $0.2925</w:t>
      </w:r>
      <w:r>
        <w:rPr>
          <w:rFonts w:ascii="Arial" w:cs="Arial" w:eastAsia="Arial" w:hAnsi="Arial"/>
          <w:sz w:val="22"/>
          <w:szCs w:val="22"/>
          <w:b w:val="1"/>
          <w:bCs w:val="1"/>
          <w:color w:val="auto"/>
        </w:rPr>
        <w: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22"/>
          <w:szCs w:val="22"/>
          <w:b w:val="1"/>
          <w:bCs w:val="1"/>
          <w:color w:val="auto"/>
        </w:rPr>
        <w:t>PRIOR SALES</w:t>
      </w:r>
    </w:p>
    <w:p>
      <w:pPr>
        <w:spacing w:after="0" w:line="212"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The following table sets forth the details regarding all issuances of Common Shares, including issuances of all securities convertible or exchangeable into Common Shares, during the 12-month period before the date of this Prospectus Supplement:</w:t>
      </w:r>
    </w:p>
    <w:p>
      <w:pPr>
        <w:sectPr>
          <w:pgSz w:w="11900" w:h="16838" w:orient="portrait"/>
          <w:cols w:equalWidth="0" w:num="1">
            <w:col w:w="11240"/>
          </w:cols>
          <w:pgMar w:left="320" w:top="328" w:right="339" w:bottom="1440" w:gutter="0" w:footer="0" w:header="0"/>
        </w:sectPr>
      </w:pPr>
    </w:p>
    <w:p>
      <w:pPr>
        <w:spacing w:after="0" w:line="324"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Date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17145</wp:posOffset>
            </wp:positionV>
            <wp:extent cx="12941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214" w:lineRule="auto"/>
        <w:rPr>
          <w:sz w:val="20"/>
          <w:szCs w:val="20"/>
          <w:color w:val="auto"/>
        </w:rPr>
      </w:pPr>
      <w:r>
        <w:rPr>
          <w:rFonts w:ascii="Arial" w:cs="Arial" w:eastAsia="Arial" w:hAnsi="Arial"/>
          <w:sz w:val="18"/>
          <w:szCs w:val="18"/>
          <w:color w:val="auto"/>
        </w:rPr>
        <w:t>May 5, 2022</w:t>
      </w:r>
      <w:r>
        <w:rPr>
          <w:rFonts w:ascii="Arial" w:cs="Arial" w:eastAsia="Arial" w:hAnsi="Arial"/>
          <w:sz w:val="29"/>
          <w:szCs w:val="29"/>
          <w:color w:val="auto"/>
          <w:vertAlign w:val="superscript"/>
        </w:rPr>
        <w:t>(1)</w:t>
      </w:r>
    </w:p>
    <w:p>
      <w:pPr>
        <w:spacing w:after="0" w:line="195" w:lineRule="auto"/>
        <w:rPr>
          <w:sz w:val="20"/>
          <w:szCs w:val="20"/>
          <w:color w:val="auto"/>
        </w:rPr>
      </w:pPr>
      <w:r>
        <w:rPr>
          <w:rFonts w:ascii="Arial" w:cs="Arial" w:eastAsia="Arial" w:hAnsi="Arial"/>
          <w:sz w:val="18"/>
          <w:szCs w:val="18"/>
          <w:color w:val="auto"/>
        </w:rPr>
        <w:t>May 24, 2022</w:t>
      </w:r>
      <w:r>
        <w:rPr>
          <w:rFonts w:ascii="Arial" w:cs="Arial" w:eastAsia="Arial" w:hAnsi="Arial"/>
          <w:sz w:val="29"/>
          <w:szCs w:val="29"/>
          <w:color w:val="auto"/>
          <w:vertAlign w:val="superscript"/>
        </w:rPr>
        <w:t>(2)</w:t>
      </w:r>
    </w:p>
    <w:p>
      <w:pPr>
        <w:spacing w:after="0" w:line="184" w:lineRule="auto"/>
        <w:rPr>
          <w:sz w:val="20"/>
          <w:szCs w:val="20"/>
          <w:color w:val="auto"/>
        </w:rPr>
      </w:pPr>
      <w:r>
        <w:rPr>
          <w:rFonts w:ascii="Arial" w:cs="Arial" w:eastAsia="Arial" w:hAnsi="Arial"/>
          <w:sz w:val="18"/>
          <w:szCs w:val="18"/>
          <w:color w:val="auto"/>
        </w:rPr>
        <w:t>June 14, 2022</w:t>
      </w:r>
      <w:r>
        <w:rPr>
          <w:rFonts w:ascii="Arial" w:cs="Arial" w:eastAsia="Arial" w:hAnsi="Arial"/>
          <w:sz w:val="29"/>
          <w:szCs w:val="29"/>
          <w:color w:val="auto"/>
          <w:vertAlign w:val="superscript"/>
        </w:rPr>
        <w:t>(2)</w:t>
      </w:r>
    </w:p>
    <w:p>
      <w:pPr>
        <w:spacing w:after="0" w:line="195" w:lineRule="auto"/>
        <w:rPr>
          <w:sz w:val="20"/>
          <w:szCs w:val="20"/>
          <w:color w:val="auto"/>
        </w:rPr>
      </w:pPr>
      <w:r>
        <w:rPr>
          <w:rFonts w:ascii="Arial" w:cs="Arial" w:eastAsia="Arial" w:hAnsi="Arial"/>
          <w:sz w:val="18"/>
          <w:szCs w:val="18"/>
          <w:color w:val="auto"/>
        </w:rPr>
        <w:t>June 22, 2022</w:t>
      </w:r>
      <w:r>
        <w:rPr>
          <w:rFonts w:ascii="Arial" w:cs="Arial" w:eastAsia="Arial" w:hAnsi="Arial"/>
          <w:sz w:val="29"/>
          <w:szCs w:val="29"/>
          <w:color w:val="auto"/>
          <w:vertAlign w:val="superscript"/>
        </w:rPr>
        <w:t>(2)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June 22, 2022</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June 24, 2022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June 27, 2022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June 30,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30,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15, 2022</w:t>
      </w:r>
    </w:p>
    <w:p>
      <w:pPr>
        <w:spacing w:after="0" w:line="201" w:lineRule="auto"/>
        <w:rPr>
          <w:sz w:val="20"/>
          <w:szCs w:val="20"/>
          <w:color w:val="auto"/>
        </w:rPr>
      </w:pPr>
      <w:r>
        <w:rPr>
          <w:rFonts w:ascii="Arial" w:cs="Arial" w:eastAsia="Arial" w:hAnsi="Arial"/>
          <w:sz w:val="18"/>
          <w:szCs w:val="18"/>
          <w:color w:val="auto"/>
        </w:rPr>
        <w:t>August 15, 2022</w:t>
      </w:r>
      <w:r>
        <w:rPr>
          <w:rFonts w:ascii="Arial" w:cs="Arial" w:eastAsia="Arial" w:hAnsi="Arial"/>
          <w:sz w:val="29"/>
          <w:szCs w:val="29"/>
          <w:color w:val="auto"/>
          <w:vertAlign w:val="superscript"/>
        </w:rPr>
        <w:t>(6)</w:t>
      </w:r>
    </w:p>
    <w:p>
      <w:pPr>
        <w:spacing w:after="0" w:line="185" w:lineRule="auto"/>
        <w:rPr>
          <w:sz w:val="20"/>
          <w:szCs w:val="20"/>
          <w:color w:val="auto"/>
        </w:rPr>
      </w:pPr>
      <w:r>
        <w:rPr>
          <w:rFonts w:ascii="Arial" w:cs="Arial" w:eastAsia="Arial" w:hAnsi="Arial"/>
          <w:sz w:val="18"/>
          <w:szCs w:val="18"/>
          <w:color w:val="auto"/>
        </w:rPr>
        <w:t>August 16, 2022</w:t>
      </w:r>
      <w:r>
        <w:rPr>
          <w:rFonts w:ascii="Arial" w:cs="Arial" w:eastAsia="Arial" w:hAnsi="Arial"/>
          <w:sz w:val="29"/>
          <w:szCs w:val="29"/>
          <w:color w:val="auto"/>
          <w:vertAlign w:val="superscript"/>
        </w:rPr>
        <w:t>(6)</w:t>
      </w:r>
    </w:p>
    <w:p>
      <w:pPr>
        <w:spacing w:after="0" w:line="184" w:lineRule="auto"/>
        <w:rPr>
          <w:sz w:val="20"/>
          <w:szCs w:val="20"/>
          <w:color w:val="auto"/>
        </w:rPr>
      </w:pPr>
      <w:r>
        <w:rPr>
          <w:rFonts w:ascii="Arial" w:cs="Arial" w:eastAsia="Arial" w:hAnsi="Arial"/>
          <w:sz w:val="18"/>
          <w:szCs w:val="18"/>
          <w:color w:val="auto"/>
        </w:rPr>
        <w:t>August 17, 2022</w:t>
      </w:r>
      <w:r>
        <w:rPr>
          <w:rFonts w:ascii="Arial" w:cs="Arial" w:eastAsia="Arial" w:hAnsi="Arial"/>
          <w:sz w:val="29"/>
          <w:szCs w:val="29"/>
          <w:color w:val="auto"/>
          <w:vertAlign w:val="superscript"/>
        </w:rPr>
        <w:t>(6)</w:t>
      </w:r>
    </w:p>
    <w:p>
      <w:pPr>
        <w:spacing w:after="0" w:line="195" w:lineRule="auto"/>
        <w:rPr>
          <w:sz w:val="20"/>
          <w:szCs w:val="20"/>
          <w:color w:val="auto"/>
        </w:rPr>
      </w:pPr>
      <w:r>
        <w:rPr>
          <w:rFonts w:ascii="Arial" w:cs="Arial" w:eastAsia="Arial" w:hAnsi="Arial"/>
          <w:sz w:val="18"/>
          <w:szCs w:val="18"/>
          <w:color w:val="auto"/>
        </w:rPr>
        <w:t>August 18, 2022</w:t>
      </w:r>
      <w:r>
        <w:rPr>
          <w:rFonts w:ascii="Arial" w:cs="Arial" w:eastAsia="Arial" w:hAnsi="Arial"/>
          <w:sz w:val="29"/>
          <w:szCs w:val="29"/>
          <w:color w:val="auto"/>
          <w:vertAlign w:val="superscript"/>
        </w:rPr>
        <w:t>(6)</w:t>
      </w:r>
    </w:p>
    <w:p>
      <w:pPr>
        <w:spacing w:after="0" w:line="184" w:lineRule="auto"/>
        <w:rPr>
          <w:sz w:val="20"/>
          <w:szCs w:val="20"/>
          <w:color w:val="auto"/>
        </w:rPr>
      </w:pPr>
      <w:r>
        <w:rPr>
          <w:rFonts w:ascii="Arial" w:cs="Arial" w:eastAsia="Arial" w:hAnsi="Arial"/>
          <w:sz w:val="18"/>
          <w:szCs w:val="18"/>
          <w:color w:val="auto"/>
        </w:rPr>
        <w:t>August 19, 2022</w:t>
      </w:r>
      <w:r>
        <w:rPr>
          <w:rFonts w:ascii="Arial" w:cs="Arial" w:eastAsia="Arial" w:hAnsi="Arial"/>
          <w:sz w:val="29"/>
          <w:szCs w:val="29"/>
          <w:color w:val="auto"/>
          <w:vertAlign w:val="superscript"/>
        </w:rPr>
        <w:t>(6)</w:t>
      </w:r>
    </w:p>
    <w:p>
      <w:pPr>
        <w:spacing w:after="0" w:line="195" w:lineRule="auto"/>
        <w:rPr>
          <w:sz w:val="20"/>
          <w:szCs w:val="20"/>
          <w:color w:val="auto"/>
        </w:rPr>
      </w:pPr>
      <w:r>
        <w:rPr>
          <w:rFonts w:ascii="Arial" w:cs="Arial" w:eastAsia="Arial" w:hAnsi="Arial"/>
          <w:sz w:val="18"/>
          <w:szCs w:val="18"/>
          <w:color w:val="auto"/>
        </w:rPr>
        <w:t>August 22, 2022</w:t>
      </w:r>
      <w:r>
        <w:rPr>
          <w:rFonts w:ascii="Arial" w:cs="Arial" w:eastAsia="Arial" w:hAnsi="Arial"/>
          <w:sz w:val="29"/>
          <w:szCs w:val="29"/>
          <w:color w:val="auto"/>
          <w:vertAlign w:val="superscript"/>
        </w:rPr>
        <w:t>(6)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August 22, 2022</w:t>
      </w:r>
    </w:p>
    <w:p>
      <w:pPr>
        <w:spacing w:after="0" w:line="190" w:lineRule="auto"/>
        <w:rPr>
          <w:sz w:val="20"/>
          <w:szCs w:val="20"/>
          <w:color w:val="auto"/>
        </w:rPr>
      </w:pPr>
      <w:r>
        <w:rPr>
          <w:rFonts w:ascii="Arial" w:cs="Arial" w:eastAsia="Arial" w:hAnsi="Arial"/>
          <w:sz w:val="18"/>
          <w:szCs w:val="18"/>
          <w:color w:val="auto"/>
        </w:rPr>
        <w:t>August 23, 2022</w:t>
      </w:r>
      <w:r>
        <w:rPr>
          <w:rFonts w:ascii="Arial" w:cs="Arial" w:eastAsia="Arial" w:hAnsi="Arial"/>
          <w:sz w:val="29"/>
          <w:szCs w:val="29"/>
          <w:color w:val="auto"/>
          <w:vertAlign w:val="superscript"/>
        </w:rPr>
        <w:t>(6)</w:t>
      </w:r>
    </w:p>
    <w:p>
      <w:pPr>
        <w:spacing w:after="0" w:line="195" w:lineRule="auto"/>
        <w:rPr>
          <w:sz w:val="20"/>
          <w:szCs w:val="20"/>
          <w:color w:val="auto"/>
        </w:rPr>
      </w:pPr>
      <w:r>
        <w:rPr>
          <w:rFonts w:ascii="Arial" w:cs="Arial" w:eastAsia="Arial" w:hAnsi="Arial"/>
          <w:sz w:val="18"/>
          <w:szCs w:val="18"/>
          <w:color w:val="auto"/>
        </w:rPr>
        <w:t>August 25, 2022</w:t>
      </w:r>
      <w:r>
        <w:rPr>
          <w:rFonts w:ascii="Arial" w:cs="Arial" w:eastAsia="Arial" w:hAnsi="Arial"/>
          <w:sz w:val="29"/>
          <w:szCs w:val="29"/>
          <w:color w:val="auto"/>
          <w:vertAlign w:val="superscript"/>
        </w:rPr>
        <w:t>(6)</w:t>
      </w:r>
    </w:p>
    <w:p>
      <w:pPr>
        <w:spacing w:after="0" w:line="184" w:lineRule="auto"/>
        <w:rPr>
          <w:sz w:val="20"/>
          <w:szCs w:val="20"/>
          <w:color w:val="auto"/>
        </w:rPr>
      </w:pPr>
      <w:r>
        <w:rPr>
          <w:rFonts w:ascii="Arial" w:cs="Arial" w:eastAsia="Arial" w:hAnsi="Arial"/>
          <w:sz w:val="18"/>
          <w:szCs w:val="18"/>
          <w:color w:val="auto"/>
        </w:rPr>
        <w:t>August 26, 2022</w:t>
      </w:r>
      <w:r>
        <w:rPr>
          <w:rFonts w:ascii="Arial" w:cs="Arial" w:eastAsia="Arial" w:hAnsi="Arial"/>
          <w:sz w:val="29"/>
          <w:szCs w:val="29"/>
          <w:color w:val="auto"/>
          <w:vertAlign w:val="superscript"/>
        </w:rPr>
        <w:t>(6)</w:t>
      </w:r>
    </w:p>
    <w:p>
      <w:pPr>
        <w:spacing w:after="0" w:line="185" w:lineRule="auto"/>
        <w:rPr>
          <w:sz w:val="20"/>
          <w:szCs w:val="20"/>
          <w:color w:val="auto"/>
        </w:rPr>
      </w:pPr>
      <w:r>
        <w:rPr>
          <w:rFonts w:ascii="Arial" w:cs="Arial" w:eastAsia="Arial" w:hAnsi="Arial"/>
          <w:sz w:val="18"/>
          <w:szCs w:val="18"/>
          <w:color w:val="auto"/>
        </w:rPr>
        <w:t>September 1, 2022</w:t>
      </w:r>
      <w:r>
        <w:rPr>
          <w:rFonts w:ascii="Arial" w:cs="Arial" w:eastAsia="Arial" w:hAnsi="Arial"/>
          <w:sz w:val="29"/>
          <w:szCs w:val="29"/>
          <w:color w:val="auto"/>
          <w:vertAlign w:val="superscript"/>
        </w:rPr>
        <w:t>(6)</w:t>
      </w:r>
    </w:p>
    <w:p>
      <w:pPr>
        <w:spacing w:after="0" w:line="194" w:lineRule="auto"/>
        <w:rPr>
          <w:sz w:val="20"/>
          <w:szCs w:val="20"/>
          <w:color w:val="auto"/>
        </w:rPr>
      </w:pPr>
      <w:r>
        <w:rPr>
          <w:rFonts w:ascii="Arial" w:cs="Arial" w:eastAsia="Arial" w:hAnsi="Arial"/>
          <w:sz w:val="18"/>
          <w:szCs w:val="18"/>
          <w:color w:val="auto"/>
        </w:rPr>
        <w:t>September 2, 2022</w:t>
      </w:r>
      <w:r>
        <w:rPr>
          <w:rFonts w:ascii="Arial" w:cs="Arial" w:eastAsia="Arial" w:hAnsi="Arial"/>
          <w:sz w:val="29"/>
          <w:szCs w:val="29"/>
          <w:color w:val="auto"/>
          <w:vertAlign w:val="superscript"/>
        </w:rPr>
        <w:t>(6)</w:t>
      </w:r>
    </w:p>
    <w:p>
      <w:pPr>
        <w:spacing w:after="0" w:line="185" w:lineRule="auto"/>
        <w:rPr>
          <w:sz w:val="20"/>
          <w:szCs w:val="20"/>
          <w:color w:val="auto"/>
        </w:rPr>
      </w:pPr>
      <w:r>
        <w:rPr>
          <w:rFonts w:ascii="Arial" w:cs="Arial" w:eastAsia="Arial" w:hAnsi="Arial"/>
          <w:sz w:val="18"/>
          <w:szCs w:val="18"/>
          <w:color w:val="auto"/>
        </w:rPr>
        <w:t>September 6, 2022</w:t>
      </w:r>
      <w:r>
        <w:rPr>
          <w:rFonts w:ascii="Arial" w:cs="Arial" w:eastAsia="Arial" w:hAnsi="Arial"/>
          <w:sz w:val="29"/>
          <w:szCs w:val="29"/>
          <w:color w:val="auto"/>
          <w:vertAlign w:val="superscript"/>
        </w:rPr>
        <w:t>(6)</w:t>
      </w:r>
    </w:p>
    <w:p>
      <w:pPr>
        <w:spacing w:after="0" w:line="194" w:lineRule="auto"/>
        <w:rPr>
          <w:sz w:val="20"/>
          <w:szCs w:val="20"/>
          <w:color w:val="auto"/>
        </w:rPr>
      </w:pPr>
      <w:r>
        <w:rPr>
          <w:rFonts w:ascii="Arial" w:cs="Arial" w:eastAsia="Arial" w:hAnsi="Arial"/>
          <w:sz w:val="18"/>
          <w:szCs w:val="18"/>
          <w:color w:val="auto"/>
        </w:rPr>
        <w:t>September 7, 2022</w:t>
      </w:r>
      <w:r>
        <w:rPr>
          <w:rFonts w:ascii="Arial" w:cs="Arial" w:eastAsia="Arial" w:hAnsi="Arial"/>
          <w:sz w:val="29"/>
          <w:szCs w:val="29"/>
          <w:color w:val="auto"/>
          <w:vertAlign w:val="superscript"/>
        </w:rPr>
        <w:t>(6)</w:t>
      </w:r>
    </w:p>
    <w:p>
      <w:pPr>
        <w:spacing w:after="0" w:line="185" w:lineRule="auto"/>
        <w:rPr>
          <w:sz w:val="20"/>
          <w:szCs w:val="20"/>
          <w:color w:val="auto"/>
        </w:rPr>
      </w:pPr>
      <w:r>
        <w:rPr>
          <w:rFonts w:ascii="Arial" w:cs="Arial" w:eastAsia="Arial" w:hAnsi="Arial"/>
          <w:sz w:val="18"/>
          <w:szCs w:val="18"/>
          <w:color w:val="auto"/>
        </w:rPr>
        <w:t>September 8, 2022</w:t>
      </w:r>
      <w:r>
        <w:rPr>
          <w:rFonts w:ascii="Arial" w:cs="Arial" w:eastAsia="Arial" w:hAnsi="Arial"/>
          <w:sz w:val="29"/>
          <w:szCs w:val="29"/>
          <w:color w:val="auto"/>
          <w:vertAlign w:val="superscript"/>
        </w:rPr>
        <w:t>(6)</w:t>
      </w:r>
    </w:p>
    <w:p>
      <w:pPr>
        <w:spacing w:after="0" w:line="194" w:lineRule="auto"/>
        <w:rPr>
          <w:sz w:val="20"/>
          <w:szCs w:val="20"/>
          <w:color w:val="auto"/>
        </w:rPr>
      </w:pPr>
      <w:r>
        <w:rPr>
          <w:rFonts w:ascii="Arial" w:cs="Arial" w:eastAsia="Arial" w:hAnsi="Arial"/>
          <w:sz w:val="18"/>
          <w:szCs w:val="18"/>
          <w:color w:val="auto"/>
        </w:rPr>
        <w:t>September 9, 2022</w:t>
      </w:r>
      <w:r>
        <w:rPr>
          <w:rFonts w:ascii="Arial" w:cs="Arial" w:eastAsia="Arial" w:hAnsi="Arial"/>
          <w:sz w:val="29"/>
          <w:szCs w:val="29"/>
          <w:color w:val="auto"/>
          <w:vertAlign w:val="superscript"/>
        </w:rPr>
        <w:t>(6)</w:t>
      </w:r>
    </w:p>
    <w:p>
      <w:pPr>
        <w:spacing w:after="0" w:line="191" w:lineRule="auto"/>
        <w:rPr>
          <w:sz w:val="20"/>
          <w:szCs w:val="20"/>
          <w:color w:val="auto"/>
        </w:rPr>
      </w:pPr>
      <w:r>
        <w:rPr>
          <w:rFonts w:ascii="Arial" w:cs="Arial" w:eastAsia="Arial" w:hAnsi="Arial"/>
          <w:sz w:val="17"/>
          <w:szCs w:val="17"/>
          <w:color w:val="auto"/>
        </w:rPr>
        <w:t>September 12, 2022</w:t>
      </w:r>
      <w:r>
        <w:rPr>
          <w:rFonts w:ascii="Arial" w:cs="Arial" w:eastAsia="Arial" w:hAnsi="Arial"/>
          <w:sz w:val="28"/>
          <w:szCs w:val="28"/>
          <w:color w:val="auto"/>
          <w:vertAlign w:val="superscript"/>
        </w:rPr>
        <w:t>(6)</w:t>
      </w:r>
    </w:p>
    <w:p>
      <w:pPr>
        <w:spacing w:after="0" w:line="201" w:lineRule="auto"/>
        <w:rPr>
          <w:sz w:val="20"/>
          <w:szCs w:val="20"/>
          <w:color w:val="auto"/>
        </w:rPr>
      </w:pPr>
      <w:r>
        <w:rPr>
          <w:rFonts w:ascii="Arial" w:cs="Arial" w:eastAsia="Arial" w:hAnsi="Arial"/>
          <w:sz w:val="17"/>
          <w:szCs w:val="17"/>
          <w:color w:val="auto"/>
        </w:rPr>
        <w:t>September 13, 2022</w:t>
      </w:r>
      <w:r>
        <w:rPr>
          <w:rFonts w:ascii="Arial" w:cs="Arial" w:eastAsia="Arial" w:hAnsi="Arial"/>
          <w:sz w:val="28"/>
          <w:szCs w:val="28"/>
          <w:color w:val="auto"/>
          <w:vertAlign w:val="superscript"/>
        </w:rPr>
        <w:t>(6)</w:t>
      </w:r>
    </w:p>
    <w:p>
      <w:pPr>
        <w:spacing w:after="0" w:line="192" w:lineRule="auto"/>
        <w:rPr>
          <w:sz w:val="20"/>
          <w:szCs w:val="20"/>
          <w:color w:val="auto"/>
        </w:rPr>
      </w:pPr>
      <w:r>
        <w:rPr>
          <w:rFonts w:ascii="Arial" w:cs="Arial" w:eastAsia="Arial" w:hAnsi="Arial"/>
          <w:sz w:val="17"/>
          <w:szCs w:val="17"/>
          <w:color w:val="auto"/>
        </w:rPr>
        <w:t>September 14, 2022</w:t>
      </w:r>
      <w:r>
        <w:rPr>
          <w:rFonts w:ascii="Arial" w:cs="Arial" w:eastAsia="Arial" w:hAnsi="Arial"/>
          <w:sz w:val="28"/>
          <w:szCs w:val="28"/>
          <w:color w:val="auto"/>
          <w:vertAlign w:val="superscript"/>
        </w:rPr>
        <w:t>(6)</w:t>
      </w:r>
    </w:p>
    <w:p>
      <w:pPr>
        <w:spacing w:after="0" w:line="191" w:lineRule="auto"/>
        <w:rPr>
          <w:sz w:val="20"/>
          <w:szCs w:val="20"/>
          <w:color w:val="auto"/>
        </w:rPr>
      </w:pPr>
      <w:r>
        <w:rPr>
          <w:rFonts w:ascii="Arial" w:cs="Arial" w:eastAsia="Arial" w:hAnsi="Arial"/>
          <w:sz w:val="17"/>
          <w:szCs w:val="17"/>
          <w:color w:val="auto"/>
        </w:rPr>
        <w:t>September 15, 2022</w:t>
      </w:r>
      <w:r>
        <w:rPr>
          <w:rFonts w:ascii="Arial" w:cs="Arial" w:eastAsia="Arial" w:hAnsi="Arial"/>
          <w:sz w:val="28"/>
          <w:szCs w:val="28"/>
          <w:color w:val="auto"/>
          <w:vertAlign w:val="superscript"/>
        </w:rPr>
        <w:t>(6)</w:t>
      </w:r>
    </w:p>
    <w:p>
      <w:pPr>
        <w:spacing w:after="0" w:line="201" w:lineRule="auto"/>
        <w:rPr>
          <w:sz w:val="20"/>
          <w:szCs w:val="20"/>
          <w:color w:val="auto"/>
        </w:rPr>
      </w:pPr>
      <w:r>
        <w:rPr>
          <w:rFonts w:ascii="Arial" w:cs="Arial" w:eastAsia="Arial" w:hAnsi="Arial"/>
          <w:sz w:val="17"/>
          <w:szCs w:val="17"/>
          <w:color w:val="auto"/>
        </w:rPr>
        <w:t>September 16, 2022</w:t>
      </w:r>
      <w:r>
        <w:rPr>
          <w:rFonts w:ascii="Arial" w:cs="Arial" w:eastAsia="Arial" w:hAnsi="Arial"/>
          <w:sz w:val="28"/>
          <w:szCs w:val="28"/>
          <w:color w:val="auto"/>
          <w:vertAlign w:val="superscript"/>
        </w:rPr>
        <w:t>(6)</w:t>
      </w:r>
    </w:p>
    <w:p>
      <w:pPr>
        <w:spacing w:after="0" w:line="191" w:lineRule="auto"/>
        <w:rPr>
          <w:sz w:val="20"/>
          <w:szCs w:val="20"/>
          <w:color w:val="auto"/>
        </w:rPr>
      </w:pPr>
      <w:r>
        <w:rPr>
          <w:rFonts w:ascii="Arial" w:cs="Arial" w:eastAsia="Arial" w:hAnsi="Arial"/>
          <w:sz w:val="17"/>
          <w:szCs w:val="17"/>
          <w:color w:val="auto"/>
        </w:rPr>
        <w:t>September 19, 2022</w:t>
      </w:r>
      <w:r>
        <w:rPr>
          <w:rFonts w:ascii="Arial" w:cs="Arial" w:eastAsia="Arial" w:hAnsi="Arial"/>
          <w:sz w:val="28"/>
          <w:szCs w:val="28"/>
          <w:color w:val="auto"/>
          <w:vertAlign w:val="superscript"/>
        </w:rPr>
        <w:t>(6)</w:t>
      </w:r>
    </w:p>
    <w:p>
      <w:pPr>
        <w:spacing w:after="0" w:line="202" w:lineRule="auto"/>
        <w:rPr>
          <w:sz w:val="20"/>
          <w:szCs w:val="20"/>
          <w:color w:val="auto"/>
        </w:rPr>
      </w:pPr>
      <w:r>
        <w:rPr>
          <w:rFonts w:ascii="Arial" w:cs="Arial" w:eastAsia="Arial" w:hAnsi="Arial"/>
          <w:sz w:val="17"/>
          <w:szCs w:val="17"/>
          <w:color w:val="auto"/>
        </w:rPr>
        <w:t>September 20, 2022</w:t>
      </w:r>
      <w:r>
        <w:rPr>
          <w:rFonts w:ascii="Arial" w:cs="Arial" w:eastAsia="Arial" w:hAnsi="Arial"/>
          <w:sz w:val="28"/>
          <w:szCs w:val="28"/>
          <w:color w:val="auto"/>
          <w:vertAlign w:val="superscript"/>
        </w:rPr>
        <w:t>(6)</w:t>
      </w:r>
    </w:p>
    <w:p>
      <w:pPr>
        <w:spacing w:after="0" w:line="191" w:lineRule="auto"/>
        <w:rPr>
          <w:sz w:val="20"/>
          <w:szCs w:val="20"/>
          <w:color w:val="auto"/>
        </w:rPr>
      </w:pPr>
      <w:r>
        <w:rPr>
          <w:rFonts w:ascii="Arial" w:cs="Arial" w:eastAsia="Arial" w:hAnsi="Arial"/>
          <w:sz w:val="17"/>
          <w:szCs w:val="17"/>
          <w:color w:val="auto"/>
        </w:rPr>
        <w:t>September 21, 2022</w:t>
      </w:r>
      <w:r>
        <w:rPr>
          <w:rFonts w:ascii="Arial" w:cs="Arial" w:eastAsia="Arial" w:hAnsi="Arial"/>
          <w:sz w:val="28"/>
          <w:szCs w:val="28"/>
          <w:color w:val="auto"/>
          <w:vertAlign w:val="superscript"/>
        </w:rPr>
        <w:t>(6)</w:t>
      </w:r>
    </w:p>
    <w:p>
      <w:pPr>
        <w:spacing w:after="0" w:line="201" w:lineRule="auto"/>
        <w:rPr>
          <w:sz w:val="20"/>
          <w:szCs w:val="20"/>
          <w:color w:val="auto"/>
        </w:rPr>
      </w:pPr>
      <w:r>
        <w:rPr>
          <w:rFonts w:ascii="Arial" w:cs="Arial" w:eastAsia="Arial" w:hAnsi="Arial"/>
          <w:sz w:val="17"/>
          <w:szCs w:val="17"/>
          <w:color w:val="auto"/>
        </w:rPr>
        <w:t>September 22, 2022</w:t>
      </w:r>
      <w:r>
        <w:rPr>
          <w:rFonts w:ascii="Arial" w:cs="Arial" w:eastAsia="Arial" w:hAnsi="Arial"/>
          <w:sz w:val="28"/>
          <w:szCs w:val="28"/>
          <w:color w:val="auto"/>
          <w:vertAlign w:val="superscript"/>
        </w:rPr>
        <w:t>(6)</w:t>
      </w:r>
    </w:p>
    <w:p>
      <w:pPr>
        <w:spacing w:after="0" w:line="191" w:lineRule="auto"/>
        <w:rPr>
          <w:sz w:val="20"/>
          <w:szCs w:val="20"/>
          <w:color w:val="auto"/>
        </w:rPr>
      </w:pPr>
      <w:r>
        <w:rPr>
          <w:rFonts w:ascii="Arial" w:cs="Arial" w:eastAsia="Arial" w:hAnsi="Arial"/>
          <w:sz w:val="17"/>
          <w:szCs w:val="17"/>
          <w:color w:val="auto"/>
        </w:rPr>
        <w:t>September 23, 2022</w:t>
      </w:r>
      <w:r>
        <w:rPr>
          <w:rFonts w:ascii="Arial" w:cs="Arial" w:eastAsia="Arial" w:hAnsi="Arial"/>
          <w:sz w:val="28"/>
          <w:szCs w:val="28"/>
          <w:color w:val="auto"/>
          <w:vertAlign w:val="superscript"/>
        </w:rPr>
        <w:t>(6)</w:t>
      </w:r>
    </w:p>
    <w:p>
      <w:pPr>
        <w:spacing w:after="0" w:line="191" w:lineRule="auto"/>
        <w:rPr>
          <w:sz w:val="20"/>
          <w:szCs w:val="20"/>
          <w:color w:val="auto"/>
        </w:rPr>
      </w:pPr>
      <w:r>
        <w:rPr>
          <w:rFonts w:ascii="Arial" w:cs="Arial" w:eastAsia="Arial" w:hAnsi="Arial"/>
          <w:sz w:val="17"/>
          <w:szCs w:val="17"/>
          <w:color w:val="auto"/>
        </w:rPr>
        <w:t>September 26, 2022</w:t>
      </w:r>
      <w:r>
        <w:rPr>
          <w:rFonts w:ascii="Arial" w:cs="Arial" w:eastAsia="Arial" w:hAnsi="Arial"/>
          <w:sz w:val="28"/>
          <w:szCs w:val="28"/>
          <w:color w:val="auto"/>
          <w:vertAlign w:val="superscript"/>
        </w:rPr>
        <w:t>(6)</w:t>
      </w:r>
    </w:p>
    <w:p>
      <w:pPr>
        <w:spacing w:after="0" w:line="202" w:lineRule="auto"/>
        <w:rPr>
          <w:sz w:val="20"/>
          <w:szCs w:val="20"/>
          <w:color w:val="auto"/>
        </w:rPr>
      </w:pPr>
      <w:r>
        <w:rPr>
          <w:rFonts w:ascii="Arial" w:cs="Arial" w:eastAsia="Arial" w:hAnsi="Arial"/>
          <w:sz w:val="17"/>
          <w:szCs w:val="17"/>
          <w:color w:val="auto"/>
        </w:rPr>
        <w:t>September 27, 2022</w:t>
      </w:r>
      <w:r>
        <w:rPr>
          <w:rFonts w:ascii="Arial" w:cs="Arial" w:eastAsia="Arial" w:hAnsi="Arial"/>
          <w:sz w:val="28"/>
          <w:szCs w:val="28"/>
          <w:color w:val="auto"/>
          <w:vertAlign w:val="superscript"/>
        </w:rPr>
        <w:t>(6)</w:t>
      </w:r>
    </w:p>
    <w:p>
      <w:pPr>
        <w:spacing w:after="0"/>
        <w:rPr>
          <w:sz w:val="20"/>
          <w:szCs w:val="20"/>
          <w:color w:val="auto"/>
        </w:rPr>
      </w:pPr>
      <w:r>
        <w:rPr>
          <w:rFonts w:ascii="Arial" w:cs="Arial" w:eastAsia="Arial" w:hAnsi="Arial"/>
          <w:sz w:val="18"/>
          <w:szCs w:val="18"/>
          <w:color w:val="auto"/>
        </w:rPr>
        <w:t>September 28, 2022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2022</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September 28, 2022</w:t>
      </w:r>
      <w:r>
        <w:rPr>
          <w:rFonts w:ascii="Arial" w:cs="Arial" w:eastAsia="Arial" w:hAnsi="Arial"/>
          <w:sz w:val="28"/>
          <w:szCs w:val="28"/>
          <w:color w:val="auto"/>
          <w:vertAlign w:val="superscript"/>
        </w:rPr>
        <w:t>(6)</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86"/>
              </w:rPr>
              <w:t>Issuance / Exercise</w:t>
            </w:r>
          </w:p>
        </w:tc>
      </w:tr>
      <w:tr>
        <w:trPr>
          <w:trHeight w:val="234"/>
        </w:trPr>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Securities Issued</w:t>
            </w:r>
          </w:p>
        </w:tc>
        <w:tc>
          <w:tcPr>
            <w:tcW w:w="260" w:type="dxa"/>
            <w:vAlign w:val="bottom"/>
          </w:tcPr>
          <w:p>
            <w:pPr>
              <w:spacing w:after="0"/>
              <w:rPr>
                <w:sz w:val="20"/>
                <w:szCs w:val="20"/>
                <w:color w:val="auto"/>
              </w:rPr>
            </w:pPr>
          </w:p>
        </w:tc>
        <w:tc>
          <w:tcPr>
            <w:tcW w:w="2700" w:type="dxa"/>
            <w:vAlign w:val="bottom"/>
            <w:tcBorders>
              <w:bottom w:val="single" w:sz="8" w:color="auto"/>
            </w:tcBorders>
          </w:tcPr>
          <w:p>
            <w:pPr>
              <w:ind w:left="1160"/>
              <w:spacing w:after="0"/>
              <w:rPr>
                <w:sz w:val="20"/>
                <w:szCs w:val="20"/>
                <w:color w:val="auto"/>
              </w:rPr>
            </w:pPr>
            <w:r>
              <w:rPr>
                <w:rFonts w:ascii="Arial" w:cs="Arial" w:eastAsia="Arial" w:hAnsi="Arial"/>
                <w:sz w:val="18"/>
                <w:szCs w:val="18"/>
                <w:b w:val="1"/>
                <w:bCs w:val="1"/>
                <w:color w:val="auto"/>
              </w:rPr>
              <w:t>Type</w:t>
            </w:r>
          </w:p>
        </w:tc>
        <w:tc>
          <w:tcPr>
            <w:tcW w:w="260" w:type="dxa"/>
            <w:vAlign w:val="bottom"/>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Price Per Security (CAD)</w:t>
            </w:r>
          </w:p>
        </w:tc>
      </w:tr>
      <w:tr>
        <w:trPr>
          <w:trHeight w:val="236"/>
        </w:trPr>
        <w:tc>
          <w:tcPr>
            <w:tcW w:w="2640" w:type="dxa"/>
            <w:vAlign w:val="bottom"/>
          </w:tcPr>
          <w:p>
            <w:pPr>
              <w:jc w:val="center"/>
              <w:spacing w:after="0"/>
              <w:rPr>
                <w:sz w:val="20"/>
                <w:szCs w:val="20"/>
                <w:color w:val="auto"/>
              </w:rPr>
            </w:pPr>
            <w:r>
              <w:rPr>
                <w:rFonts w:ascii="Arial" w:cs="Arial" w:eastAsia="Arial" w:hAnsi="Arial"/>
                <w:sz w:val="18"/>
                <w:szCs w:val="18"/>
                <w:color w:val="auto"/>
                <w:w w:val="89"/>
              </w:rPr>
              <w:t>380,230</w:t>
            </w:r>
          </w:p>
        </w:tc>
        <w:tc>
          <w:tcPr>
            <w:tcW w:w="26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300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$0.68</w:t>
            </w:r>
          </w:p>
        </w:tc>
      </w:tr>
      <w:tr>
        <w:trPr>
          <w:trHeight w:val="257"/>
        </w:trPr>
        <w:tc>
          <w:tcPr>
            <w:tcW w:w="2640" w:type="dxa"/>
            <w:vAlign w:val="bottom"/>
          </w:tcPr>
          <w:p>
            <w:pPr>
              <w:jc w:val="center"/>
              <w:spacing w:after="0"/>
              <w:rPr>
                <w:sz w:val="20"/>
                <w:szCs w:val="20"/>
                <w:color w:val="auto"/>
              </w:rPr>
            </w:pPr>
            <w:r>
              <w:rPr>
                <w:rFonts w:ascii="Arial" w:cs="Arial" w:eastAsia="Arial" w:hAnsi="Arial"/>
                <w:sz w:val="18"/>
                <w:szCs w:val="18"/>
                <w:color w:val="auto"/>
                <w:w w:val="89"/>
              </w:rPr>
              <w:t>500,000</w:t>
            </w:r>
          </w:p>
        </w:tc>
        <w:tc>
          <w:tcPr>
            <w:tcW w:w="260" w:type="dxa"/>
            <w:vAlign w:val="bottom"/>
          </w:tcPr>
          <w:p>
            <w:pPr>
              <w:spacing w:after="0"/>
              <w:rPr>
                <w:sz w:val="22"/>
                <w:szCs w:val="22"/>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300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$0.25</w:t>
            </w:r>
          </w:p>
        </w:tc>
      </w:tr>
      <w:tr>
        <w:trPr>
          <w:trHeight w:val="269"/>
        </w:trPr>
        <w:tc>
          <w:tcPr>
            <w:tcW w:w="2640" w:type="dxa"/>
            <w:vAlign w:val="bottom"/>
          </w:tcPr>
          <w:p>
            <w:pPr>
              <w:jc w:val="center"/>
              <w:spacing w:after="0"/>
              <w:rPr>
                <w:sz w:val="20"/>
                <w:szCs w:val="20"/>
                <w:color w:val="auto"/>
              </w:rPr>
            </w:pPr>
            <w:r>
              <w:rPr>
                <w:rFonts w:ascii="Arial" w:cs="Arial" w:eastAsia="Arial" w:hAnsi="Arial"/>
                <w:sz w:val="18"/>
                <w:szCs w:val="18"/>
                <w:color w:val="auto"/>
                <w:w w:val="89"/>
              </w:rPr>
              <w:t>500,000</w:t>
            </w:r>
          </w:p>
        </w:tc>
        <w:tc>
          <w:tcPr>
            <w:tcW w:w="260" w:type="dxa"/>
            <w:vAlign w:val="bottom"/>
          </w:tcPr>
          <w:p>
            <w:pPr>
              <w:spacing w:after="0"/>
              <w:rPr>
                <w:sz w:val="23"/>
                <w:szCs w:val="23"/>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300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$0.25</w:t>
            </w:r>
          </w:p>
        </w:tc>
      </w:tr>
      <w:tr>
        <w:trPr>
          <w:trHeight w:val="257"/>
        </w:trPr>
        <w:tc>
          <w:tcPr>
            <w:tcW w:w="2640" w:type="dxa"/>
            <w:vAlign w:val="bottom"/>
          </w:tcPr>
          <w:p>
            <w:pPr>
              <w:jc w:val="center"/>
              <w:spacing w:after="0"/>
              <w:rPr>
                <w:sz w:val="20"/>
                <w:szCs w:val="20"/>
                <w:color w:val="auto"/>
              </w:rPr>
            </w:pPr>
            <w:r>
              <w:rPr>
                <w:rFonts w:ascii="Arial" w:cs="Arial" w:eastAsia="Arial" w:hAnsi="Arial"/>
                <w:sz w:val="18"/>
                <w:szCs w:val="18"/>
                <w:color w:val="auto"/>
                <w:w w:val="90"/>
              </w:rPr>
              <w:t>99,638</w:t>
            </w:r>
          </w:p>
        </w:tc>
        <w:tc>
          <w:tcPr>
            <w:tcW w:w="260" w:type="dxa"/>
            <w:vAlign w:val="bottom"/>
          </w:tcPr>
          <w:p>
            <w:pPr>
              <w:spacing w:after="0"/>
              <w:rPr>
                <w:sz w:val="22"/>
                <w:szCs w:val="22"/>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300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$0.64</w:t>
            </w:r>
          </w:p>
        </w:tc>
      </w:tr>
      <w:tr>
        <w:trPr>
          <w:trHeight w:val="269"/>
        </w:trPr>
        <w:tc>
          <w:tcPr>
            <w:tcW w:w="2640" w:type="dxa"/>
            <w:vAlign w:val="bottom"/>
          </w:tcPr>
          <w:p>
            <w:pPr>
              <w:jc w:val="center"/>
              <w:spacing w:after="0"/>
              <w:rPr>
                <w:sz w:val="20"/>
                <w:szCs w:val="20"/>
                <w:color w:val="auto"/>
              </w:rPr>
            </w:pPr>
            <w:r>
              <w:rPr>
                <w:rFonts w:ascii="Arial" w:cs="Arial" w:eastAsia="Arial" w:hAnsi="Arial"/>
                <w:sz w:val="18"/>
                <w:szCs w:val="18"/>
                <w:color w:val="auto"/>
                <w:w w:val="90"/>
              </w:rPr>
              <w:t>456.50</w:t>
            </w:r>
          </w:p>
        </w:tc>
        <w:tc>
          <w:tcPr>
            <w:tcW w:w="260" w:type="dxa"/>
            <w:vAlign w:val="bottom"/>
          </w:tcPr>
          <w:p>
            <w:pPr>
              <w:spacing w:after="0"/>
              <w:rPr>
                <w:sz w:val="23"/>
                <w:szCs w:val="23"/>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Exchangeable Securities</w:t>
            </w:r>
          </w:p>
        </w:tc>
        <w:tc>
          <w:tcPr>
            <w:tcW w:w="3000" w:type="dxa"/>
            <w:vAlign w:val="bottom"/>
            <w:gridSpan w:val="2"/>
          </w:tcPr>
          <w:p>
            <w:pPr>
              <w:jc w:val="center"/>
              <w:ind w:left="170"/>
              <w:spacing w:after="0" w:line="269" w:lineRule="exact"/>
              <w:rPr>
                <w:sz w:val="20"/>
                <w:szCs w:val="20"/>
                <w:color w:val="auto"/>
              </w:rPr>
            </w:pPr>
            <w:r>
              <w:rPr>
                <w:rFonts w:ascii="Arial" w:cs="Arial" w:eastAsia="Arial" w:hAnsi="Arial"/>
                <w:sz w:val="18"/>
                <w:szCs w:val="18"/>
                <w:color w:val="auto"/>
                <w:w w:val="83"/>
              </w:rPr>
              <w:t>$10.20</w:t>
            </w:r>
            <w:r>
              <w:rPr>
                <w:rFonts w:ascii="Arial" w:cs="Arial" w:eastAsia="Arial" w:hAnsi="Arial"/>
                <w:sz w:val="29"/>
                <w:szCs w:val="29"/>
                <w:color w:val="auto"/>
                <w:w w:val="83"/>
                <w:vertAlign w:val="superscript"/>
              </w:rPr>
              <w:t>(3)</w:t>
            </w:r>
          </w:p>
        </w:tc>
      </w:tr>
      <w:tr>
        <w:trPr>
          <w:trHeight w:val="270"/>
        </w:trPr>
        <w:tc>
          <w:tcPr>
            <w:tcW w:w="2640" w:type="dxa"/>
            <w:vAlign w:val="bottom"/>
          </w:tcPr>
          <w:p>
            <w:pPr>
              <w:jc w:val="center"/>
              <w:spacing w:after="0"/>
              <w:rPr>
                <w:sz w:val="20"/>
                <w:szCs w:val="20"/>
                <w:color w:val="auto"/>
              </w:rPr>
            </w:pPr>
            <w:r>
              <w:rPr>
                <w:rFonts w:ascii="Arial" w:cs="Arial" w:eastAsia="Arial" w:hAnsi="Arial"/>
                <w:sz w:val="18"/>
                <w:szCs w:val="18"/>
                <w:color w:val="auto"/>
                <w:w w:val="89"/>
              </w:rPr>
              <w:t>266,933.1</w:t>
            </w:r>
          </w:p>
        </w:tc>
        <w:tc>
          <w:tcPr>
            <w:tcW w:w="260" w:type="dxa"/>
            <w:vAlign w:val="bottom"/>
          </w:tcPr>
          <w:p>
            <w:pPr>
              <w:spacing w:after="0"/>
              <w:rPr>
                <w:sz w:val="23"/>
                <w:szCs w:val="23"/>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Exchangeable Securities</w:t>
            </w:r>
          </w:p>
        </w:tc>
        <w:tc>
          <w:tcPr>
            <w:tcW w:w="3000" w:type="dxa"/>
            <w:vAlign w:val="bottom"/>
            <w:gridSpan w:val="2"/>
          </w:tcPr>
          <w:p>
            <w:pPr>
              <w:jc w:val="center"/>
              <w:ind w:left="170"/>
              <w:spacing w:after="0" w:line="270" w:lineRule="exact"/>
              <w:rPr>
                <w:sz w:val="20"/>
                <w:szCs w:val="20"/>
                <w:color w:val="auto"/>
              </w:rPr>
            </w:pPr>
            <w:r>
              <w:rPr>
                <w:rFonts w:ascii="Arial" w:cs="Arial" w:eastAsia="Arial" w:hAnsi="Arial"/>
                <w:sz w:val="18"/>
                <w:szCs w:val="18"/>
                <w:color w:val="auto"/>
                <w:w w:val="84"/>
              </w:rPr>
              <w:t>$7.62</w:t>
            </w:r>
            <w:r>
              <w:rPr>
                <w:rFonts w:ascii="Arial" w:cs="Arial" w:eastAsia="Arial" w:hAnsi="Arial"/>
                <w:sz w:val="29"/>
                <w:szCs w:val="29"/>
                <w:color w:val="auto"/>
                <w:w w:val="84"/>
                <w:vertAlign w:val="superscript"/>
              </w:rPr>
              <w:t>(4)</w:t>
            </w:r>
          </w:p>
        </w:tc>
      </w:tr>
      <w:tr>
        <w:trPr>
          <w:trHeight w:val="257"/>
        </w:trPr>
        <w:tc>
          <w:tcPr>
            <w:tcW w:w="2640" w:type="dxa"/>
            <w:vAlign w:val="bottom"/>
          </w:tcPr>
          <w:p>
            <w:pPr>
              <w:jc w:val="center"/>
              <w:spacing w:after="0"/>
              <w:rPr>
                <w:sz w:val="20"/>
                <w:szCs w:val="20"/>
                <w:color w:val="auto"/>
              </w:rPr>
            </w:pPr>
            <w:r>
              <w:rPr>
                <w:rFonts w:ascii="Arial" w:cs="Arial" w:eastAsia="Arial" w:hAnsi="Arial"/>
                <w:sz w:val="18"/>
                <w:szCs w:val="18"/>
                <w:color w:val="auto"/>
                <w:w w:val="88"/>
              </w:rPr>
              <w:t>37,366.2</w:t>
            </w:r>
          </w:p>
        </w:tc>
        <w:tc>
          <w:tcPr>
            <w:tcW w:w="260" w:type="dxa"/>
            <w:vAlign w:val="bottom"/>
          </w:tcPr>
          <w:p>
            <w:pPr>
              <w:spacing w:after="0"/>
              <w:rPr>
                <w:sz w:val="22"/>
                <w:szCs w:val="22"/>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Exchangeable Securities</w:t>
            </w:r>
          </w:p>
        </w:tc>
        <w:tc>
          <w:tcPr>
            <w:tcW w:w="3000" w:type="dxa"/>
            <w:vAlign w:val="bottom"/>
            <w:gridSpan w:val="2"/>
          </w:tcPr>
          <w:p>
            <w:pPr>
              <w:jc w:val="center"/>
              <w:ind w:left="170"/>
              <w:spacing w:after="0" w:line="256" w:lineRule="exact"/>
              <w:rPr>
                <w:sz w:val="20"/>
                <w:szCs w:val="20"/>
                <w:color w:val="auto"/>
              </w:rPr>
            </w:pPr>
            <w:r>
              <w:rPr>
                <w:rFonts w:ascii="Arial" w:cs="Arial" w:eastAsia="Arial" w:hAnsi="Arial"/>
                <w:sz w:val="18"/>
                <w:szCs w:val="18"/>
                <w:color w:val="auto"/>
                <w:w w:val="84"/>
              </w:rPr>
              <w:t>$7.50</w:t>
            </w:r>
            <w:r>
              <w:rPr>
                <w:rFonts w:ascii="Arial" w:cs="Arial" w:eastAsia="Arial" w:hAnsi="Arial"/>
                <w:sz w:val="29"/>
                <w:szCs w:val="29"/>
                <w:color w:val="auto"/>
                <w:w w:val="84"/>
                <w:vertAlign w:val="superscript"/>
              </w:rPr>
              <w:t>(5)</w:t>
            </w:r>
          </w:p>
        </w:tc>
      </w:tr>
      <w:tr>
        <w:trPr>
          <w:trHeight w:val="216"/>
        </w:trPr>
        <w:tc>
          <w:tcPr>
            <w:tcW w:w="2640" w:type="dxa"/>
            <w:vAlign w:val="bottom"/>
          </w:tcPr>
          <w:p>
            <w:pPr>
              <w:jc w:val="center"/>
              <w:spacing w:after="0"/>
              <w:rPr>
                <w:sz w:val="20"/>
                <w:szCs w:val="20"/>
                <w:color w:val="auto"/>
              </w:rPr>
            </w:pPr>
            <w:r>
              <w:rPr>
                <w:rFonts w:ascii="Arial" w:cs="Arial" w:eastAsia="Arial" w:hAnsi="Arial"/>
                <w:sz w:val="18"/>
                <w:szCs w:val="18"/>
                <w:color w:val="auto"/>
                <w:w w:val="90"/>
              </w:rPr>
              <w:t>65,000</w:t>
            </w:r>
          </w:p>
        </w:tc>
        <w:tc>
          <w:tcPr>
            <w:tcW w:w="26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300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$1.00</w:t>
            </w:r>
          </w:p>
        </w:tc>
      </w:tr>
      <w:tr>
        <w:trPr>
          <w:trHeight w:val="216"/>
        </w:trPr>
        <w:tc>
          <w:tcPr>
            <w:tcW w:w="2640" w:type="dxa"/>
            <w:vAlign w:val="bottom"/>
          </w:tcPr>
          <w:p>
            <w:pPr>
              <w:jc w:val="center"/>
              <w:spacing w:after="0"/>
              <w:rPr>
                <w:sz w:val="20"/>
                <w:szCs w:val="20"/>
                <w:color w:val="auto"/>
              </w:rPr>
            </w:pPr>
            <w:r>
              <w:rPr>
                <w:rFonts w:ascii="Arial" w:cs="Arial" w:eastAsia="Arial" w:hAnsi="Arial"/>
                <w:sz w:val="18"/>
                <w:szCs w:val="18"/>
                <w:color w:val="auto"/>
                <w:w w:val="89"/>
              </w:rPr>
              <w:t>500,000</w:t>
            </w:r>
          </w:p>
        </w:tc>
        <w:tc>
          <w:tcPr>
            <w:tcW w:w="26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300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$0.90</w:t>
            </w:r>
          </w:p>
        </w:tc>
      </w:tr>
      <w:tr>
        <w:trPr>
          <w:trHeight w:val="216"/>
        </w:trPr>
        <w:tc>
          <w:tcPr>
            <w:tcW w:w="2640" w:type="dxa"/>
            <w:vAlign w:val="bottom"/>
          </w:tcPr>
          <w:p>
            <w:pPr>
              <w:jc w:val="center"/>
              <w:spacing w:after="0"/>
              <w:rPr>
                <w:sz w:val="20"/>
                <w:szCs w:val="20"/>
                <w:color w:val="auto"/>
              </w:rPr>
            </w:pPr>
            <w:r>
              <w:rPr>
                <w:rFonts w:ascii="Arial" w:cs="Arial" w:eastAsia="Arial" w:hAnsi="Arial"/>
                <w:sz w:val="18"/>
                <w:szCs w:val="18"/>
                <w:color w:val="auto"/>
                <w:w w:val="89"/>
              </w:rPr>
              <w:t>820,000</w:t>
            </w:r>
          </w:p>
        </w:tc>
        <w:tc>
          <w:tcPr>
            <w:tcW w:w="26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300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$0.97</w:t>
            </w:r>
          </w:p>
        </w:tc>
      </w:tr>
      <w:tr>
        <w:trPr>
          <w:trHeight w:val="257"/>
        </w:trPr>
        <w:tc>
          <w:tcPr>
            <w:tcW w:w="2640" w:type="dxa"/>
            <w:vAlign w:val="bottom"/>
          </w:tcPr>
          <w:p>
            <w:pPr>
              <w:jc w:val="center"/>
              <w:spacing w:after="0"/>
              <w:rPr>
                <w:sz w:val="20"/>
                <w:szCs w:val="20"/>
                <w:color w:val="auto"/>
              </w:rPr>
            </w:pPr>
            <w:r>
              <w:rPr>
                <w:rFonts w:ascii="Arial" w:cs="Arial" w:eastAsia="Arial" w:hAnsi="Arial"/>
                <w:sz w:val="18"/>
                <w:szCs w:val="18"/>
                <w:color w:val="auto"/>
                <w:w w:val="89"/>
              </w:rPr>
              <w:t>130,200</w:t>
            </w:r>
          </w:p>
        </w:tc>
        <w:tc>
          <w:tcPr>
            <w:tcW w:w="260" w:type="dxa"/>
            <w:vAlign w:val="bottom"/>
          </w:tcPr>
          <w:p>
            <w:pPr>
              <w:spacing w:after="0"/>
              <w:rPr>
                <w:sz w:val="22"/>
                <w:szCs w:val="22"/>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300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$1.11</w:t>
            </w:r>
          </w:p>
        </w:tc>
      </w:tr>
      <w:tr>
        <w:trPr>
          <w:trHeight w:val="257"/>
        </w:trPr>
        <w:tc>
          <w:tcPr>
            <w:tcW w:w="2640" w:type="dxa"/>
            <w:vAlign w:val="bottom"/>
          </w:tcPr>
          <w:p>
            <w:pPr>
              <w:jc w:val="center"/>
              <w:spacing w:after="0"/>
              <w:rPr>
                <w:sz w:val="20"/>
                <w:szCs w:val="20"/>
                <w:color w:val="auto"/>
              </w:rPr>
            </w:pPr>
            <w:r>
              <w:rPr>
                <w:rFonts w:ascii="Arial" w:cs="Arial" w:eastAsia="Arial" w:hAnsi="Arial"/>
                <w:sz w:val="18"/>
                <w:szCs w:val="18"/>
                <w:color w:val="auto"/>
                <w:w w:val="89"/>
              </w:rPr>
              <w:t>100,000</w:t>
            </w:r>
          </w:p>
        </w:tc>
        <w:tc>
          <w:tcPr>
            <w:tcW w:w="260" w:type="dxa"/>
            <w:vAlign w:val="bottom"/>
          </w:tcPr>
          <w:p>
            <w:pPr>
              <w:spacing w:after="0"/>
              <w:rPr>
                <w:sz w:val="22"/>
                <w:szCs w:val="22"/>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300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$1.08</w:t>
            </w:r>
          </w:p>
        </w:tc>
      </w:tr>
      <w:tr>
        <w:trPr>
          <w:trHeight w:val="269"/>
        </w:trPr>
        <w:tc>
          <w:tcPr>
            <w:tcW w:w="2640" w:type="dxa"/>
            <w:vAlign w:val="bottom"/>
          </w:tcPr>
          <w:p>
            <w:pPr>
              <w:jc w:val="center"/>
              <w:spacing w:after="0"/>
              <w:rPr>
                <w:sz w:val="20"/>
                <w:szCs w:val="20"/>
                <w:color w:val="auto"/>
              </w:rPr>
            </w:pPr>
            <w:r>
              <w:rPr>
                <w:rFonts w:ascii="Arial" w:cs="Arial" w:eastAsia="Arial" w:hAnsi="Arial"/>
                <w:sz w:val="18"/>
                <w:szCs w:val="18"/>
                <w:color w:val="auto"/>
                <w:w w:val="90"/>
              </w:rPr>
              <w:t>92,300</w:t>
            </w:r>
          </w:p>
        </w:tc>
        <w:tc>
          <w:tcPr>
            <w:tcW w:w="260" w:type="dxa"/>
            <w:vAlign w:val="bottom"/>
          </w:tcPr>
          <w:p>
            <w:pPr>
              <w:spacing w:after="0"/>
              <w:rPr>
                <w:sz w:val="23"/>
                <w:szCs w:val="23"/>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300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$1.00</w:t>
            </w:r>
          </w:p>
        </w:tc>
      </w:tr>
      <w:tr>
        <w:trPr>
          <w:trHeight w:val="257"/>
        </w:trPr>
        <w:tc>
          <w:tcPr>
            <w:tcW w:w="2640" w:type="dxa"/>
            <w:vAlign w:val="bottom"/>
          </w:tcPr>
          <w:p>
            <w:pPr>
              <w:jc w:val="center"/>
              <w:spacing w:after="0"/>
              <w:rPr>
                <w:sz w:val="20"/>
                <w:szCs w:val="20"/>
                <w:color w:val="auto"/>
              </w:rPr>
            </w:pPr>
            <w:r>
              <w:rPr>
                <w:rFonts w:ascii="Arial" w:cs="Arial" w:eastAsia="Arial" w:hAnsi="Arial"/>
                <w:sz w:val="18"/>
                <w:szCs w:val="18"/>
                <w:color w:val="auto"/>
                <w:w w:val="90"/>
              </w:rPr>
              <w:t>17,302</w:t>
            </w:r>
          </w:p>
        </w:tc>
        <w:tc>
          <w:tcPr>
            <w:tcW w:w="260" w:type="dxa"/>
            <w:vAlign w:val="bottom"/>
          </w:tcPr>
          <w:p>
            <w:pPr>
              <w:spacing w:after="0"/>
              <w:rPr>
                <w:sz w:val="22"/>
                <w:szCs w:val="22"/>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3000" w:type="dxa"/>
            <w:vAlign w:val="bottom"/>
            <w:gridSpan w:val="2"/>
          </w:tcPr>
          <w:p>
            <w:pPr>
              <w:jc w:val="center"/>
              <w:ind w:left="150"/>
              <w:spacing w:after="0"/>
              <w:rPr>
                <w:sz w:val="20"/>
                <w:szCs w:val="20"/>
                <w:color w:val="auto"/>
              </w:rPr>
            </w:pPr>
            <w:r>
              <w:rPr>
                <w:rFonts w:ascii="Arial" w:cs="Arial" w:eastAsia="Arial" w:hAnsi="Arial"/>
                <w:sz w:val="18"/>
                <w:szCs w:val="18"/>
                <w:color w:val="auto"/>
                <w:w w:val="91"/>
              </w:rPr>
              <w:t>$.98</w:t>
            </w:r>
          </w:p>
        </w:tc>
      </w:tr>
      <w:tr>
        <w:trPr>
          <w:trHeight w:val="269"/>
        </w:trPr>
        <w:tc>
          <w:tcPr>
            <w:tcW w:w="2640" w:type="dxa"/>
            <w:vAlign w:val="bottom"/>
          </w:tcPr>
          <w:p>
            <w:pPr>
              <w:jc w:val="center"/>
              <w:spacing w:after="0"/>
              <w:rPr>
                <w:sz w:val="20"/>
                <w:szCs w:val="20"/>
                <w:color w:val="auto"/>
              </w:rPr>
            </w:pPr>
            <w:r>
              <w:rPr>
                <w:rFonts w:ascii="Arial" w:cs="Arial" w:eastAsia="Arial" w:hAnsi="Arial"/>
                <w:sz w:val="18"/>
                <w:szCs w:val="18"/>
                <w:color w:val="auto"/>
                <w:w w:val="89"/>
              </w:rPr>
              <w:t>175,000</w:t>
            </w:r>
          </w:p>
        </w:tc>
        <w:tc>
          <w:tcPr>
            <w:tcW w:w="260" w:type="dxa"/>
            <w:vAlign w:val="bottom"/>
          </w:tcPr>
          <w:p>
            <w:pPr>
              <w:spacing w:after="0"/>
              <w:rPr>
                <w:sz w:val="23"/>
                <w:szCs w:val="23"/>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300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$1.05</w:t>
            </w:r>
          </w:p>
        </w:tc>
      </w:tr>
      <w:tr>
        <w:trPr>
          <w:trHeight w:val="257"/>
        </w:trPr>
        <w:tc>
          <w:tcPr>
            <w:tcW w:w="2640" w:type="dxa"/>
            <w:vAlign w:val="bottom"/>
          </w:tcPr>
          <w:p>
            <w:pPr>
              <w:jc w:val="center"/>
              <w:spacing w:after="0"/>
              <w:rPr>
                <w:sz w:val="20"/>
                <w:szCs w:val="20"/>
                <w:color w:val="auto"/>
              </w:rPr>
            </w:pPr>
            <w:r>
              <w:rPr>
                <w:rFonts w:ascii="Arial" w:cs="Arial" w:eastAsia="Arial" w:hAnsi="Arial"/>
                <w:sz w:val="18"/>
                <w:szCs w:val="18"/>
                <w:color w:val="auto"/>
                <w:w w:val="89"/>
              </w:rPr>
              <w:t>554,450</w:t>
            </w:r>
          </w:p>
        </w:tc>
        <w:tc>
          <w:tcPr>
            <w:tcW w:w="260" w:type="dxa"/>
            <w:vAlign w:val="bottom"/>
          </w:tcPr>
          <w:p>
            <w:pPr>
              <w:spacing w:after="0"/>
              <w:rPr>
                <w:sz w:val="22"/>
                <w:szCs w:val="22"/>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300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$1.14</w:t>
            </w:r>
          </w:p>
        </w:tc>
      </w:tr>
      <w:tr>
        <w:trPr>
          <w:trHeight w:val="229"/>
        </w:trPr>
        <w:tc>
          <w:tcPr>
            <w:tcW w:w="2640" w:type="dxa"/>
            <w:vAlign w:val="bottom"/>
          </w:tcPr>
          <w:p>
            <w:pPr>
              <w:jc w:val="center"/>
              <w:spacing w:after="0"/>
              <w:rPr>
                <w:sz w:val="20"/>
                <w:szCs w:val="20"/>
                <w:color w:val="auto"/>
              </w:rPr>
            </w:pPr>
            <w:r>
              <w:rPr>
                <w:rFonts w:ascii="Arial" w:cs="Arial" w:eastAsia="Arial" w:hAnsi="Arial"/>
                <w:sz w:val="18"/>
                <w:szCs w:val="18"/>
                <w:color w:val="auto"/>
                <w:w w:val="90"/>
              </w:rPr>
              <w:t>65,000</w:t>
            </w:r>
          </w:p>
        </w:tc>
        <w:tc>
          <w:tcPr>
            <w:tcW w:w="26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300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$0.75</w:t>
            </w:r>
          </w:p>
        </w:tc>
      </w:tr>
      <w:tr>
        <w:trPr>
          <w:trHeight w:val="244"/>
        </w:trPr>
        <w:tc>
          <w:tcPr>
            <w:tcW w:w="2640" w:type="dxa"/>
            <w:vAlign w:val="bottom"/>
          </w:tcPr>
          <w:p>
            <w:pPr>
              <w:jc w:val="center"/>
              <w:spacing w:after="0"/>
              <w:rPr>
                <w:sz w:val="20"/>
                <w:szCs w:val="20"/>
                <w:color w:val="auto"/>
              </w:rPr>
            </w:pPr>
            <w:r>
              <w:rPr>
                <w:rFonts w:ascii="Arial" w:cs="Arial" w:eastAsia="Arial" w:hAnsi="Arial"/>
                <w:sz w:val="18"/>
                <w:szCs w:val="18"/>
                <w:color w:val="auto"/>
                <w:w w:val="90"/>
              </w:rPr>
              <w:t>57,496</w:t>
            </w:r>
          </w:p>
        </w:tc>
        <w:tc>
          <w:tcPr>
            <w:tcW w:w="260" w:type="dxa"/>
            <w:vAlign w:val="bottom"/>
          </w:tcPr>
          <w:p>
            <w:pPr>
              <w:spacing w:after="0"/>
              <w:rPr>
                <w:sz w:val="21"/>
                <w:szCs w:val="21"/>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300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$1.18</w:t>
            </w:r>
          </w:p>
        </w:tc>
      </w:tr>
      <w:tr>
        <w:trPr>
          <w:trHeight w:val="270"/>
        </w:trPr>
        <w:tc>
          <w:tcPr>
            <w:tcW w:w="2640" w:type="dxa"/>
            <w:vAlign w:val="bottom"/>
          </w:tcPr>
          <w:p>
            <w:pPr>
              <w:jc w:val="center"/>
              <w:spacing w:after="0"/>
              <w:rPr>
                <w:sz w:val="20"/>
                <w:szCs w:val="20"/>
                <w:color w:val="auto"/>
              </w:rPr>
            </w:pPr>
            <w:r>
              <w:rPr>
                <w:rFonts w:ascii="Arial" w:cs="Arial" w:eastAsia="Arial" w:hAnsi="Arial"/>
                <w:sz w:val="18"/>
                <w:szCs w:val="18"/>
                <w:color w:val="auto"/>
                <w:w w:val="89"/>
              </w:rPr>
              <w:t>120,000</w:t>
            </w:r>
          </w:p>
        </w:tc>
        <w:tc>
          <w:tcPr>
            <w:tcW w:w="260" w:type="dxa"/>
            <w:vAlign w:val="bottom"/>
          </w:tcPr>
          <w:p>
            <w:pPr>
              <w:spacing w:after="0"/>
              <w:rPr>
                <w:sz w:val="23"/>
                <w:szCs w:val="23"/>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300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$1.06</w:t>
            </w:r>
          </w:p>
        </w:tc>
      </w:tr>
      <w:tr>
        <w:trPr>
          <w:trHeight w:val="256"/>
        </w:trPr>
        <w:tc>
          <w:tcPr>
            <w:tcW w:w="2640" w:type="dxa"/>
            <w:vAlign w:val="bottom"/>
          </w:tcPr>
          <w:p>
            <w:pPr>
              <w:jc w:val="center"/>
              <w:spacing w:after="0"/>
              <w:rPr>
                <w:sz w:val="20"/>
                <w:szCs w:val="20"/>
                <w:color w:val="auto"/>
              </w:rPr>
            </w:pPr>
            <w:r>
              <w:rPr>
                <w:rFonts w:ascii="Arial" w:cs="Arial" w:eastAsia="Arial" w:hAnsi="Arial"/>
                <w:sz w:val="18"/>
                <w:szCs w:val="18"/>
                <w:color w:val="auto"/>
                <w:w w:val="90"/>
              </w:rPr>
              <w:t>82,000</w:t>
            </w:r>
          </w:p>
        </w:tc>
        <w:tc>
          <w:tcPr>
            <w:tcW w:w="260" w:type="dxa"/>
            <w:vAlign w:val="bottom"/>
          </w:tcPr>
          <w:p>
            <w:pPr>
              <w:spacing w:after="0"/>
              <w:rPr>
                <w:sz w:val="22"/>
                <w:szCs w:val="22"/>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300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$1.11</w:t>
            </w:r>
          </w:p>
        </w:tc>
      </w:tr>
      <w:tr>
        <w:trPr>
          <w:trHeight w:val="269"/>
        </w:trPr>
        <w:tc>
          <w:tcPr>
            <w:tcW w:w="2640" w:type="dxa"/>
            <w:vAlign w:val="bottom"/>
          </w:tcPr>
          <w:p>
            <w:pPr>
              <w:jc w:val="center"/>
              <w:spacing w:after="0"/>
              <w:rPr>
                <w:sz w:val="20"/>
                <w:szCs w:val="20"/>
                <w:color w:val="auto"/>
              </w:rPr>
            </w:pPr>
            <w:r>
              <w:rPr>
                <w:rFonts w:ascii="Arial" w:cs="Arial" w:eastAsia="Arial" w:hAnsi="Arial"/>
                <w:sz w:val="18"/>
                <w:szCs w:val="18"/>
                <w:color w:val="auto"/>
                <w:w w:val="90"/>
              </w:rPr>
              <w:t>66,168</w:t>
            </w:r>
          </w:p>
        </w:tc>
        <w:tc>
          <w:tcPr>
            <w:tcW w:w="260" w:type="dxa"/>
            <w:vAlign w:val="bottom"/>
          </w:tcPr>
          <w:p>
            <w:pPr>
              <w:spacing w:after="0"/>
              <w:rPr>
                <w:sz w:val="23"/>
                <w:szCs w:val="23"/>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300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$1.33</w:t>
            </w:r>
          </w:p>
        </w:tc>
      </w:tr>
      <w:tr>
        <w:trPr>
          <w:trHeight w:val="257"/>
        </w:trPr>
        <w:tc>
          <w:tcPr>
            <w:tcW w:w="2640" w:type="dxa"/>
            <w:vAlign w:val="bottom"/>
          </w:tcPr>
          <w:p>
            <w:pPr>
              <w:jc w:val="center"/>
              <w:spacing w:after="0"/>
              <w:rPr>
                <w:sz w:val="20"/>
                <w:szCs w:val="20"/>
                <w:color w:val="auto"/>
              </w:rPr>
            </w:pPr>
            <w:r>
              <w:rPr>
                <w:rFonts w:ascii="Arial" w:cs="Arial" w:eastAsia="Arial" w:hAnsi="Arial"/>
                <w:sz w:val="18"/>
                <w:szCs w:val="18"/>
                <w:color w:val="auto"/>
                <w:w w:val="89"/>
              </w:rPr>
              <w:t>200,000</w:t>
            </w:r>
          </w:p>
        </w:tc>
        <w:tc>
          <w:tcPr>
            <w:tcW w:w="260" w:type="dxa"/>
            <w:vAlign w:val="bottom"/>
          </w:tcPr>
          <w:p>
            <w:pPr>
              <w:spacing w:after="0"/>
              <w:rPr>
                <w:sz w:val="22"/>
                <w:szCs w:val="22"/>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300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$1.47</w:t>
            </w:r>
          </w:p>
        </w:tc>
      </w:tr>
      <w:tr>
        <w:trPr>
          <w:trHeight w:val="269"/>
        </w:trPr>
        <w:tc>
          <w:tcPr>
            <w:tcW w:w="2640" w:type="dxa"/>
            <w:vAlign w:val="bottom"/>
          </w:tcPr>
          <w:p>
            <w:pPr>
              <w:jc w:val="center"/>
              <w:spacing w:after="0"/>
              <w:rPr>
                <w:sz w:val="20"/>
                <w:szCs w:val="20"/>
                <w:color w:val="auto"/>
              </w:rPr>
            </w:pPr>
            <w:r>
              <w:rPr>
                <w:rFonts w:ascii="Arial" w:cs="Arial" w:eastAsia="Arial" w:hAnsi="Arial"/>
                <w:sz w:val="18"/>
                <w:szCs w:val="18"/>
                <w:color w:val="auto"/>
                <w:w w:val="90"/>
              </w:rPr>
              <w:t>88,000</w:t>
            </w:r>
          </w:p>
        </w:tc>
        <w:tc>
          <w:tcPr>
            <w:tcW w:w="260" w:type="dxa"/>
            <w:vAlign w:val="bottom"/>
          </w:tcPr>
          <w:p>
            <w:pPr>
              <w:spacing w:after="0"/>
              <w:rPr>
                <w:sz w:val="23"/>
                <w:szCs w:val="23"/>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300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$1.38</w:t>
            </w:r>
          </w:p>
        </w:tc>
      </w:tr>
      <w:tr>
        <w:trPr>
          <w:trHeight w:val="257"/>
        </w:trPr>
        <w:tc>
          <w:tcPr>
            <w:tcW w:w="2640" w:type="dxa"/>
            <w:vAlign w:val="bottom"/>
          </w:tcPr>
          <w:p>
            <w:pPr>
              <w:jc w:val="center"/>
              <w:spacing w:after="0"/>
              <w:rPr>
                <w:sz w:val="20"/>
                <w:szCs w:val="20"/>
                <w:color w:val="auto"/>
              </w:rPr>
            </w:pPr>
            <w:r>
              <w:rPr>
                <w:rFonts w:ascii="Arial" w:cs="Arial" w:eastAsia="Arial" w:hAnsi="Arial"/>
                <w:sz w:val="18"/>
                <w:szCs w:val="18"/>
                <w:color w:val="auto"/>
                <w:w w:val="89"/>
              </w:rPr>
              <w:t>108,000</w:t>
            </w:r>
          </w:p>
        </w:tc>
        <w:tc>
          <w:tcPr>
            <w:tcW w:w="260" w:type="dxa"/>
            <w:vAlign w:val="bottom"/>
          </w:tcPr>
          <w:p>
            <w:pPr>
              <w:spacing w:after="0"/>
              <w:rPr>
                <w:sz w:val="22"/>
                <w:szCs w:val="22"/>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300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$1.39</w:t>
            </w:r>
          </w:p>
        </w:tc>
      </w:tr>
      <w:tr>
        <w:trPr>
          <w:trHeight w:val="257"/>
        </w:trPr>
        <w:tc>
          <w:tcPr>
            <w:tcW w:w="2640" w:type="dxa"/>
            <w:vAlign w:val="bottom"/>
          </w:tcPr>
          <w:p>
            <w:pPr>
              <w:jc w:val="center"/>
              <w:spacing w:after="0"/>
              <w:rPr>
                <w:sz w:val="20"/>
                <w:szCs w:val="20"/>
                <w:color w:val="auto"/>
              </w:rPr>
            </w:pPr>
            <w:r>
              <w:rPr>
                <w:rFonts w:ascii="Arial" w:cs="Arial" w:eastAsia="Arial" w:hAnsi="Arial"/>
                <w:sz w:val="18"/>
                <w:szCs w:val="18"/>
                <w:color w:val="auto"/>
                <w:w w:val="90"/>
              </w:rPr>
              <w:t>64,547</w:t>
            </w:r>
          </w:p>
        </w:tc>
        <w:tc>
          <w:tcPr>
            <w:tcW w:w="260" w:type="dxa"/>
            <w:vAlign w:val="bottom"/>
          </w:tcPr>
          <w:p>
            <w:pPr>
              <w:spacing w:after="0"/>
              <w:rPr>
                <w:sz w:val="22"/>
                <w:szCs w:val="22"/>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300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$1.35</w:t>
            </w:r>
          </w:p>
        </w:tc>
      </w:tr>
      <w:tr>
        <w:trPr>
          <w:trHeight w:val="270"/>
        </w:trPr>
        <w:tc>
          <w:tcPr>
            <w:tcW w:w="2640" w:type="dxa"/>
            <w:vAlign w:val="bottom"/>
          </w:tcPr>
          <w:p>
            <w:pPr>
              <w:jc w:val="center"/>
              <w:spacing w:after="0"/>
              <w:rPr>
                <w:sz w:val="20"/>
                <w:szCs w:val="20"/>
                <w:color w:val="auto"/>
              </w:rPr>
            </w:pPr>
            <w:r>
              <w:rPr>
                <w:rFonts w:ascii="Arial" w:cs="Arial" w:eastAsia="Arial" w:hAnsi="Arial"/>
                <w:sz w:val="18"/>
                <w:szCs w:val="18"/>
                <w:color w:val="auto"/>
                <w:w w:val="89"/>
              </w:rPr>
              <w:t>100,000</w:t>
            </w:r>
          </w:p>
        </w:tc>
        <w:tc>
          <w:tcPr>
            <w:tcW w:w="260" w:type="dxa"/>
            <w:vAlign w:val="bottom"/>
          </w:tcPr>
          <w:p>
            <w:pPr>
              <w:spacing w:after="0"/>
              <w:rPr>
                <w:sz w:val="23"/>
                <w:szCs w:val="23"/>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300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$1.28</w:t>
            </w:r>
          </w:p>
        </w:tc>
      </w:tr>
      <w:tr>
        <w:trPr>
          <w:trHeight w:val="257"/>
        </w:trPr>
        <w:tc>
          <w:tcPr>
            <w:tcW w:w="2640" w:type="dxa"/>
            <w:vAlign w:val="bottom"/>
          </w:tcPr>
          <w:p>
            <w:pPr>
              <w:jc w:val="center"/>
              <w:spacing w:after="0"/>
              <w:rPr>
                <w:sz w:val="20"/>
                <w:szCs w:val="20"/>
                <w:color w:val="auto"/>
              </w:rPr>
            </w:pPr>
            <w:r>
              <w:rPr>
                <w:rFonts w:ascii="Arial" w:cs="Arial" w:eastAsia="Arial" w:hAnsi="Arial"/>
                <w:sz w:val="18"/>
                <w:szCs w:val="18"/>
                <w:color w:val="auto"/>
                <w:w w:val="89"/>
              </w:rPr>
              <w:t>166,153</w:t>
            </w:r>
          </w:p>
        </w:tc>
        <w:tc>
          <w:tcPr>
            <w:tcW w:w="260" w:type="dxa"/>
            <w:vAlign w:val="bottom"/>
          </w:tcPr>
          <w:p>
            <w:pPr>
              <w:spacing w:after="0"/>
              <w:rPr>
                <w:sz w:val="22"/>
                <w:szCs w:val="22"/>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300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$1.19</w:t>
            </w:r>
          </w:p>
        </w:tc>
      </w:tr>
      <w:tr>
        <w:trPr>
          <w:trHeight w:val="270"/>
        </w:trPr>
        <w:tc>
          <w:tcPr>
            <w:tcW w:w="2640" w:type="dxa"/>
            <w:vAlign w:val="bottom"/>
          </w:tcPr>
          <w:p>
            <w:pPr>
              <w:jc w:val="center"/>
              <w:spacing w:after="0"/>
              <w:rPr>
                <w:sz w:val="20"/>
                <w:szCs w:val="20"/>
                <w:color w:val="auto"/>
              </w:rPr>
            </w:pPr>
            <w:r>
              <w:rPr>
                <w:rFonts w:ascii="Arial" w:cs="Arial" w:eastAsia="Arial" w:hAnsi="Arial"/>
                <w:sz w:val="18"/>
                <w:szCs w:val="18"/>
                <w:color w:val="auto"/>
                <w:w w:val="89"/>
              </w:rPr>
              <w:t>100,000</w:t>
            </w:r>
          </w:p>
        </w:tc>
        <w:tc>
          <w:tcPr>
            <w:tcW w:w="260" w:type="dxa"/>
            <w:vAlign w:val="bottom"/>
          </w:tcPr>
          <w:p>
            <w:pPr>
              <w:spacing w:after="0"/>
              <w:rPr>
                <w:sz w:val="23"/>
                <w:szCs w:val="23"/>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300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$1.14</w:t>
            </w:r>
          </w:p>
        </w:tc>
      </w:tr>
      <w:tr>
        <w:trPr>
          <w:trHeight w:val="256"/>
        </w:trPr>
        <w:tc>
          <w:tcPr>
            <w:tcW w:w="2640" w:type="dxa"/>
            <w:vAlign w:val="bottom"/>
          </w:tcPr>
          <w:p>
            <w:pPr>
              <w:jc w:val="center"/>
              <w:spacing w:after="0"/>
              <w:rPr>
                <w:sz w:val="20"/>
                <w:szCs w:val="20"/>
                <w:color w:val="auto"/>
              </w:rPr>
            </w:pPr>
            <w:r>
              <w:rPr>
                <w:rFonts w:ascii="Arial" w:cs="Arial" w:eastAsia="Arial" w:hAnsi="Arial"/>
                <w:sz w:val="18"/>
                <w:szCs w:val="18"/>
                <w:color w:val="auto"/>
                <w:w w:val="89"/>
              </w:rPr>
              <w:t>184,000</w:t>
            </w:r>
          </w:p>
        </w:tc>
        <w:tc>
          <w:tcPr>
            <w:tcW w:w="260" w:type="dxa"/>
            <w:vAlign w:val="bottom"/>
          </w:tcPr>
          <w:p>
            <w:pPr>
              <w:spacing w:after="0"/>
              <w:rPr>
                <w:sz w:val="22"/>
                <w:szCs w:val="22"/>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300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$1.08</w:t>
            </w:r>
          </w:p>
        </w:tc>
      </w:tr>
      <w:tr>
        <w:trPr>
          <w:trHeight w:val="269"/>
        </w:trPr>
        <w:tc>
          <w:tcPr>
            <w:tcW w:w="2640" w:type="dxa"/>
            <w:vAlign w:val="bottom"/>
          </w:tcPr>
          <w:p>
            <w:pPr>
              <w:jc w:val="center"/>
              <w:spacing w:after="0"/>
              <w:rPr>
                <w:sz w:val="20"/>
                <w:szCs w:val="20"/>
                <w:color w:val="auto"/>
              </w:rPr>
            </w:pPr>
            <w:r>
              <w:rPr>
                <w:rFonts w:ascii="Arial" w:cs="Arial" w:eastAsia="Arial" w:hAnsi="Arial"/>
                <w:sz w:val="18"/>
                <w:szCs w:val="18"/>
                <w:color w:val="auto"/>
                <w:w w:val="90"/>
              </w:rPr>
              <w:t>40,000</w:t>
            </w:r>
          </w:p>
        </w:tc>
        <w:tc>
          <w:tcPr>
            <w:tcW w:w="260" w:type="dxa"/>
            <w:vAlign w:val="bottom"/>
          </w:tcPr>
          <w:p>
            <w:pPr>
              <w:spacing w:after="0"/>
              <w:rPr>
                <w:sz w:val="23"/>
                <w:szCs w:val="23"/>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300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$0.98</w:t>
            </w:r>
          </w:p>
        </w:tc>
      </w:tr>
      <w:tr>
        <w:trPr>
          <w:trHeight w:val="257"/>
        </w:trPr>
        <w:tc>
          <w:tcPr>
            <w:tcW w:w="2640" w:type="dxa"/>
            <w:vAlign w:val="bottom"/>
          </w:tcPr>
          <w:p>
            <w:pPr>
              <w:jc w:val="center"/>
              <w:spacing w:after="0"/>
              <w:rPr>
                <w:sz w:val="20"/>
                <w:szCs w:val="20"/>
                <w:color w:val="auto"/>
              </w:rPr>
            </w:pPr>
            <w:r>
              <w:rPr>
                <w:rFonts w:ascii="Arial" w:cs="Arial" w:eastAsia="Arial" w:hAnsi="Arial"/>
                <w:sz w:val="18"/>
                <w:szCs w:val="18"/>
                <w:color w:val="auto"/>
                <w:w w:val="90"/>
              </w:rPr>
              <w:t>90,000</w:t>
            </w:r>
          </w:p>
        </w:tc>
        <w:tc>
          <w:tcPr>
            <w:tcW w:w="260" w:type="dxa"/>
            <w:vAlign w:val="bottom"/>
          </w:tcPr>
          <w:p>
            <w:pPr>
              <w:spacing w:after="0"/>
              <w:rPr>
                <w:sz w:val="22"/>
                <w:szCs w:val="22"/>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300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$0.92</w:t>
            </w:r>
          </w:p>
        </w:tc>
      </w:tr>
      <w:tr>
        <w:trPr>
          <w:trHeight w:val="269"/>
        </w:trPr>
        <w:tc>
          <w:tcPr>
            <w:tcW w:w="2640" w:type="dxa"/>
            <w:vAlign w:val="bottom"/>
          </w:tcPr>
          <w:p>
            <w:pPr>
              <w:jc w:val="center"/>
              <w:spacing w:after="0"/>
              <w:rPr>
                <w:sz w:val="20"/>
                <w:szCs w:val="20"/>
                <w:color w:val="auto"/>
              </w:rPr>
            </w:pPr>
            <w:r>
              <w:rPr>
                <w:rFonts w:ascii="Arial" w:cs="Arial" w:eastAsia="Arial" w:hAnsi="Arial"/>
                <w:sz w:val="18"/>
                <w:szCs w:val="18"/>
                <w:color w:val="auto"/>
                <w:w w:val="89"/>
              </w:rPr>
              <w:t>192,000</w:t>
            </w:r>
          </w:p>
        </w:tc>
        <w:tc>
          <w:tcPr>
            <w:tcW w:w="260" w:type="dxa"/>
            <w:vAlign w:val="bottom"/>
          </w:tcPr>
          <w:p>
            <w:pPr>
              <w:spacing w:after="0"/>
              <w:rPr>
                <w:sz w:val="23"/>
                <w:szCs w:val="23"/>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300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$0.89</w:t>
            </w:r>
          </w:p>
        </w:tc>
      </w:tr>
      <w:tr>
        <w:trPr>
          <w:trHeight w:val="257"/>
        </w:trPr>
        <w:tc>
          <w:tcPr>
            <w:tcW w:w="2640" w:type="dxa"/>
            <w:vAlign w:val="bottom"/>
          </w:tcPr>
          <w:p>
            <w:pPr>
              <w:jc w:val="center"/>
              <w:spacing w:after="0"/>
              <w:rPr>
                <w:sz w:val="20"/>
                <w:szCs w:val="20"/>
                <w:color w:val="auto"/>
              </w:rPr>
            </w:pPr>
            <w:r>
              <w:rPr>
                <w:rFonts w:ascii="Arial" w:cs="Arial" w:eastAsia="Arial" w:hAnsi="Arial"/>
                <w:sz w:val="18"/>
                <w:szCs w:val="18"/>
                <w:color w:val="auto"/>
                <w:w w:val="89"/>
              </w:rPr>
              <w:t>461,421</w:t>
            </w:r>
          </w:p>
        </w:tc>
        <w:tc>
          <w:tcPr>
            <w:tcW w:w="260" w:type="dxa"/>
            <w:vAlign w:val="bottom"/>
          </w:tcPr>
          <w:p>
            <w:pPr>
              <w:spacing w:after="0"/>
              <w:rPr>
                <w:sz w:val="22"/>
                <w:szCs w:val="22"/>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300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$0.84</w:t>
            </w:r>
          </w:p>
        </w:tc>
      </w:tr>
      <w:tr>
        <w:trPr>
          <w:trHeight w:val="257"/>
        </w:trPr>
        <w:tc>
          <w:tcPr>
            <w:tcW w:w="2640" w:type="dxa"/>
            <w:vAlign w:val="bottom"/>
          </w:tcPr>
          <w:p>
            <w:pPr>
              <w:jc w:val="center"/>
              <w:spacing w:after="0"/>
              <w:rPr>
                <w:sz w:val="20"/>
                <w:szCs w:val="20"/>
                <w:color w:val="auto"/>
              </w:rPr>
            </w:pPr>
            <w:r>
              <w:rPr>
                <w:rFonts w:ascii="Arial" w:cs="Arial" w:eastAsia="Arial" w:hAnsi="Arial"/>
                <w:sz w:val="18"/>
                <w:szCs w:val="18"/>
                <w:color w:val="auto"/>
                <w:w w:val="89"/>
              </w:rPr>
              <w:t>100,000</w:t>
            </w:r>
          </w:p>
        </w:tc>
        <w:tc>
          <w:tcPr>
            <w:tcW w:w="260" w:type="dxa"/>
            <w:vAlign w:val="bottom"/>
          </w:tcPr>
          <w:p>
            <w:pPr>
              <w:spacing w:after="0"/>
              <w:rPr>
                <w:sz w:val="22"/>
                <w:szCs w:val="22"/>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300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$0.84</w:t>
            </w:r>
          </w:p>
        </w:tc>
      </w:tr>
      <w:tr>
        <w:trPr>
          <w:trHeight w:val="270"/>
        </w:trPr>
        <w:tc>
          <w:tcPr>
            <w:tcW w:w="2640" w:type="dxa"/>
            <w:vAlign w:val="bottom"/>
          </w:tcPr>
          <w:p>
            <w:pPr>
              <w:jc w:val="center"/>
              <w:spacing w:after="0"/>
              <w:rPr>
                <w:sz w:val="20"/>
                <w:szCs w:val="20"/>
                <w:color w:val="auto"/>
              </w:rPr>
            </w:pPr>
            <w:r>
              <w:rPr>
                <w:rFonts w:ascii="Arial" w:cs="Arial" w:eastAsia="Arial" w:hAnsi="Arial"/>
                <w:sz w:val="18"/>
                <w:szCs w:val="18"/>
                <w:color w:val="auto"/>
                <w:w w:val="89"/>
              </w:rPr>
              <w:t>380,896</w:t>
            </w:r>
          </w:p>
        </w:tc>
        <w:tc>
          <w:tcPr>
            <w:tcW w:w="260" w:type="dxa"/>
            <w:vAlign w:val="bottom"/>
          </w:tcPr>
          <w:p>
            <w:pPr>
              <w:spacing w:after="0"/>
              <w:rPr>
                <w:sz w:val="23"/>
                <w:szCs w:val="23"/>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300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$0.88</w:t>
            </w:r>
          </w:p>
        </w:tc>
      </w:tr>
      <w:tr>
        <w:trPr>
          <w:trHeight w:val="256"/>
        </w:trPr>
        <w:tc>
          <w:tcPr>
            <w:tcW w:w="2640" w:type="dxa"/>
            <w:vAlign w:val="bottom"/>
          </w:tcPr>
          <w:p>
            <w:pPr>
              <w:jc w:val="center"/>
              <w:spacing w:after="0"/>
              <w:rPr>
                <w:sz w:val="20"/>
                <w:szCs w:val="20"/>
                <w:color w:val="auto"/>
              </w:rPr>
            </w:pPr>
            <w:r>
              <w:rPr>
                <w:rFonts w:ascii="Arial" w:cs="Arial" w:eastAsia="Arial" w:hAnsi="Arial"/>
                <w:sz w:val="18"/>
                <w:szCs w:val="18"/>
                <w:color w:val="auto"/>
                <w:w w:val="89"/>
              </w:rPr>
              <w:t>113,000</w:t>
            </w:r>
          </w:p>
        </w:tc>
        <w:tc>
          <w:tcPr>
            <w:tcW w:w="260" w:type="dxa"/>
            <w:vAlign w:val="bottom"/>
          </w:tcPr>
          <w:p>
            <w:pPr>
              <w:spacing w:after="0"/>
              <w:rPr>
                <w:sz w:val="22"/>
                <w:szCs w:val="22"/>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300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$0.85</w:t>
            </w:r>
          </w:p>
        </w:tc>
      </w:tr>
      <w:tr>
        <w:trPr>
          <w:trHeight w:val="269"/>
        </w:trPr>
        <w:tc>
          <w:tcPr>
            <w:tcW w:w="2640" w:type="dxa"/>
            <w:vAlign w:val="bottom"/>
          </w:tcPr>
          <w:p>
            <w:pPr>
              <w:jc w:val="center"/>
              <w:spacing w:after="0"/>
              <w:rPr>
                <w:sz w:val="20"/>
                <w:szCs w:val="20"/>
                <w:color w:val="auto"/>
              </w:rPr>
            </w:pPr>
            <w:r>
              <w:rPr>
                <w:rFonts w:ascii="Arial" w:cs="Arial" w:eastAsia="Arial" w:hAnsi="Arial"/>
                <w:sz w:val="18"/>
                <w:szCs w:val="18"/>
                <w:color w:val="auto"/>
                <w:w w:val="89"/>
              </w:rPr>
              <w:t>125,214</w:t>
            </w:r>
          </w:p>
        </w:tc>
        <w:tc>
          <w:tcPr>
            <w:tcW w:w="260" w:type="dxa"/>
            <w:vAlign w:val="bottom"/>
          </w:tcPr>
          <w:p>
            <w:pPr>
              <w:spacing w:after="0"/>
              <w:rPr>
                <w:sz w:val="23"/>
                <w:szCs w:val="23"/>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300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$0.85</w:t>
            </w:r>
          </w:p>
        </w:tc>
      </w:tr>
      <w:tr>
        <w:trPr>
          <w:trHeight w:val="257"/>
        </w:trPr>
        <w:tc>
          <w:tcPr>
            <w:tcW w:w="2640" w:type="dxa"/>
            <w:vAlign w:val="bottom"/>
          </w:tcPr>
          <w:p>
            <w:pPr>
              <w:jc w:val="center"/>
              <w:spacing w:after="0"/>
              <w:rPr>
                <w:sz w:val="20"/>
                <w:szCs w:val="20"/>
                <w:color w:val="auto"/>
              </w:rPr>
            </w:pPr>
            <w:r>
              <w:rPr>
                <w:rFonts w:ascii="Arial" w:cs="Arial" w:eastAsia="Arial" w:hAnsi="Arial"/>
                <w:sz w:val="18"/>
                <w:szCs w:val="18"/>
                <w:color w:val="auto"/>
                <w:w w:val="89"/>
              </w:rPr>
              <w:t>287,000</w:t>
            </w:r>
          </w:p>
        </w:tc>
        <w:tc>
          <w:tcPr>
            <w:tcW w:w="260" w:type="dxa"/>
            <w:vAlign w:val="bottom"/>
          </w:tcPr>
          <w:p>
            <w:pPr>
              <w:spacing w:after="0"/>
              <w:rPr>
                <w:sz w:val="22"/>
                <w:szCs w:val="22"/>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300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$0.77</w:t>
            </w:r>
          </w:p>
        </w:tc>
      </w:tr>
      <w:tr>
        <w:trPr>
          <w:trHeight w:val="229"/>
        </w:trPr>
        <w:tc>
          <w:tcPr>
            <w:tcW w:w="2640" w:type="dxa"/>
            <w:vAlign w:val="bottom"/>
          </w:tcPr>
          <w:p>
            <w:pPr>
              <w:jc w:val="center"/>
              <w:spacing w:after="0"/>
              <w:rPr>
                <w:sz w:val="20"/>
                <w:szCs w:val="20"/>
                <w:color w:val="auto"/>
              </w:rPr>
            </w:pPr>
            <w:r>
              <w:rPr>
                <w:rFonts w:ascii="Arial" w:cs="Arial" w:eastAsia="Arial" w:hAnsi="Arial"/>
                <w:sz w:val="18"/>
                <w:szCs w:val="18"/>
                <w:color w:val="auto"/>
                <w:w w:val="89"/>
              </w:rPr>
              <w:t>235,000</w:t>
            </w:r>
          </w:p>
        </w:tc>
        <w:tc>
          <w:tcPr>
            <w:tcW w:w="26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300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$1.00</w:t>
            </w:r>
          </w:p>
        </w:tc>
      </w:tr>
      <w:tr>
        <w:trPr>
          <w:trHeight w:val="216"/>
        </w:trPr>
        <w:tc>
          <w:tcPr>
            <w:tcW w:w="2640" w:type="dxa"/>
            <w:vAlign w:val="bottom"/>
          </w:tcPr>
          <w:p>
            <w:pPr>
              <w:jc w:val="center"/>
              <w:spacing w:after="0"/>
              <w:rPr>
                <w:sz w:val="20"/>
                <w:szCs w:val="20"/>
                <w:color w:val="auto"/>
              </w:rPr>
            </w:pPr>
            <w:r>
              <w:rPr>
                <w:rFonts w:ascii="Arial" w:cs="Arial" w:eastAsia="Arial" w:hAnsi="Arial"/>
                <w:sz w:val="18"/>
                <w:szCs w:val="18"/>
                <w:color w:val="auto"/>
                <w:w w:val="89"/>
              </w:rPr>
              <w:t>195,000</w:t>
            </w:r>
          </w:p>
        </w:tc>
        <w:tc>
          <w:tcPr>
            <w:tcW w:w="26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300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$0.75</w:t>
            </w:r>
          </w:p>
        </w:tc>
      </w:tr>
      <w:tr>
        <w:trPr>
          <w:trHeight w:val="257"/>
        </w:trPr>
        <w:tc>
          <w:tcPr>
            <w:tcW w:w="2640" w:type="dxa"/>
            <w:vAlign w:val="bottom"/>
          </w:tcPr>
          <w:p>
            <w:pPr>
              <w:jc w:val="center"/>
              <w:spacing w:after="0"/>
              <w:rPr>
                <w:sz w:val="20"/>
                <w:szCs w:val="20"/>
                <w:color w:val="auto"/>
              </w:rPr>
            </w:pPr>
            <w:r>
              <w:rPr>
                <w:rFonts w:ascii="Arial" w:cs="Arial" w:eastAsia="Arial" w:hAnsi="Arial"/>
                <w:sz w:val="18"/>
                <w:szCs w:val="18"/>
                <w:color w:val="auto"/>
                <w:w w:val="89"/>
              </w:rPr>
              <w:t>227,831</w:t>
            </w:r>
          </w:p>
        </w:tc>
        <w:tc>
          <w:tcPr>
            <w:tcW w:w="260" w:type="dxa"/>
            <w:vAlign w:val="bottom"/>
          </w:tcPr>
          <w:p>
            <w:pPr>
              <w:spacing w:after="0"/>
              <w:rPr>
                <w:sz w:val="22"/>
                <w:szCs w:val="22"/>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300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$0.72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-1607185</wp:posOffset>
            </wp:positionH>
            <wp:positionV relativeFrom="paragraph">
              <wp:posOffset>-6643370</wp:posOffset>
            </wp:positionV>
            <wp:extent cx="7132320"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-6308725</wp:posOffset>
            </wp:positionV>
            <wp:extent cx="713232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-5974080</wp:posOffset>
            </wp:positionV>
            <wp:extent cx="7132320"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-5640070</wp:posOffset>
            </wp:positionV>
            <wp:extent cx="7132320"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-5339715</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-5065395</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-4731385</wp:posOffset>
            </wp:positionV>
            <wp:extent cx="7132320"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-4396740</wp:posOffset>
            </wp:positionV>
            <wp:extent cx="713232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-4062730</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-3762375</wp:posOffset>
            </wp:positionV>
            <wp:extent cx="71323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-3428365</wp:posOffset>
            </wp:positionV>
            <wp:extent cx="7132320" cy="162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-3093720</wp:posOffset>
            </wp:positionV>
            <wp:extent cx="7132320"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-2759710</wp:posOffset>
            </wp:positionV>
            <wp:extent cx="7132320" cy="162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-2425065</wp:posOffset>
            </wp:positionV>
            <wp:extent cx="7132320" cy="163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-2091055</wp:posOffset>
            </wp:positionV>
            <wp:extent cx="7132320" cy="162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-1765300</wp:posOffset>
            </wp:positionV>
            <wp:extent cx="71323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-1430655</wp:posOffset>
            </wp:positionV>
            <wp:extent cx="71323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-1096645</wp:posOffset>
            </wp:positionV>
            <wp:extent cx="71323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-762000</wp:posOffset>
            </wp:positionV>
            <wp:extent cx="7132320" cy="162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-427990</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-153670</wp:posOffset>
            </wp:positionV>
            <wp:extent cx="7132320" cy="162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78" w:lineRule="exact"/>
        <w:rPr>
          <w:sz w:val="20"/>
          <w:szCs w:val="20"/>
          <w:color w:val="auto"/>
        </w:rPr>
      </w:pPr>
    </w:p>
    <w:p>
      <w:pPr>
        <w:sectPr>
          <w:pgSz w:w="11900" w:h="16838" w:orient="portrait"/>
          <w:cols w:equalWidth="0" w:num="2">
            <w:col w:w="1820" w:space="720"/>
            <w:col w:w="8700"/>
          </w:cols>
          <w:pgMar w:left="320" w:top="328" w:right="339" w:bottom="1440" w:gutter="0" w:footer="0" w:header="0"/>
          <w:type w:val="continuous"/>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171450</wp:posOffset>
            </wp:positionV>
            <wp:extent cx="7153275" cy="469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5"/>
          <w:szCs w:val="15"/>
          <w:color w:val="auto"/>
        </w:rPr>
        <w:t>September 29, 2022</w:t>
      </w:r>
      <w:r>
        <w:rPr>
          <w:rFonts w:ascii="Arial" w:cs="Arial" w:eastAsia="Arial" w:hAnsi="Arial"/>
          <w:sz w:val="24"/>
          <w:szCs w:val="24"/>
          <w:color w:val="auto"/>
          <w:vertAlign w:val="superscript"/>
        </w:rPr>
        <w:t>(6)</w:t>
      </w:r>
    </w:p>
    <w:p>
      <w:pPr>
        <w:spacing w:after="0"/>
        <w:rPr>
          <w:sz w:val="20"/>
          <w:szCs w:val="20"/>
          <w:color w:val="auto"/>
        </w:rPr>
      </w:pPr>
      <w:r>
        <w:rPr>
          <w:rFonts w:ascii="Arial" w:cs="Arial" w:eastAsia="Arial" w:hAnsi="Arial"/>
          <w:sz w:val="17"/>
          <w:szCs w:val="17"/>
          <w:color w:val="auto"/>
        </w:rPr>
        <w:t>September 30, 2022</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2022</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2022</w:t>
      </w:r>
      <w:r>
        <w:rPr>
          <w:rFonts w:ascii="Arial" w:cs="Arial" w:eastAsia="Arial" w:hAnsi="Arial"/>
          <w:sz w:val="24"/>
          <w:szCs w:val="24"/>
          <w:color w:val="auto"/>
          <w:vertAlign w:val="superscript"/>
        </w:rPr>
        <w:t>(6)</w:t>
      </w:r>
    </w:p>
    <w:p>
      <w:pPr>
        <w:spacing w:after="0" w:line="184" w:lineRule="auto"/>
        <w:rPr>
          <w:sz w:val="20"/>
          <w:szCs w:val="20"/>
          <w:color w:val="auto"/>
        </w:rPr>
      </w:pPr>
      <w:r>
        <w:rPr>
          <w:rFonts w:ascii="Arial" w:cs="Arial" w:eastAsia="Arial" w:hAnsi="Arial"/>
          <w:sz w:val="18"/>
          <w:szCs w:val="18"/>
          <w:color w:val="auto"/>
        </w:rPr>
        <w:t>October 3, 2022</w:t>
      </w:r>
      <w:r>
        <w:rPr>
          <w:rFonts w:ascii="Arial" w:cs="Arial" w:eastAsia="Arial" w:hAnsi="Arial"/>
          <w:sz w:val="29"/>
          <w:szCs w:val="29"/>
          <w:color w:val="auto"/>
          <w:vertAlign w:val="superscript"/>
        </w:rPr>
        <w:t>(6)</w:t>
      </w:r>
    </w:p>
    <w:p>
      <w:pPr>
        <w:spacing w:after="0" w:line="194" w:lineRule="auto"/>
        <w:rPr>
          <w:sz w:val="20"/>
          <w:szCs w:val="20"/>
          <w:color w:val="auto"/>
        </w:rPr>
      </w:pPr>
      <w:r>
        <w:rPr>
          <w:rFonts w:ascii="Arial" w:cs="Arial" w:eastAsia="Arial" w:hAnsi="Arial"/>
          <w:sz w:val="18"/>
          <w:szCs w:val="18"/>
          <w:color w:val="auto"/>
        </w:rPr>
        <w:t>October 4, 2022</w:t>
      </w:r>
      <w:r>
        <w:rPr>
          <w:rFonts w:ascii="Arial" w:cs="Arial" w:eastAsia="Arial" w:hAnsi="Arial"/>
          <w:sz w:val="29"/>
          <w:szCs w:val="29"/>
          <w:color w:val="auto"/>
          <w:vertAlign w:val="superscript"/>
        </w:rPr>
        <w:t>(6)</w:t>
      </w:r>
    </w:p>
    <w:p>
      <w:pPr>
        <w:spacing w:after="0" w:line="185" w:lineRule="auto"/>
        <w:rPr>
          <w:sz w:val="20"/>
          <w:szCs w:val="20"/>
          <w:color w:val="auto"/>
        </w:rPr>
      </w:pPr>
      <w:r>
        <w:rPr>
          <w:rFonts w:ascii="Arial" w:cs="Arial" w:eastAsia="Arial" w:hAnsi="Arial"/>
          <w:sz w:val="18"/>
          <w:szCs w:val="18"/>
          <w:color w:val="auto"/>
        </w:rPr>
        <w:t>October 7, 2022</w:t>
      </w:r>
      <w:r>
        <w:rPr>
          <w:rFonts w:ascii="Arial" w:cs="Arial" w:eastAsia="Arial" w:hAnsi="Arial"/>
          <w:sz w:val="29"/>
          <w:szCs w:val="29"/>
          <w:color w:val="auto"/>
          <w:vertAlign w:val="superscript"/>
        </w:rPr>
        <w:t>(1)</w:t>
      </w:r>
    </w:p>
    <w:p>
      <w:pPr>
        <w:spacing w:after="0" w:line="201" w:lineRule="auto"/>
        <w:rPr>
          <w:sz w:val="20"/>
          <w:szCs w:val="20"/>
          <w:color w:val="auto"/>
        </w:rPr>
      </w:pPr>
      <w:r>
        <w:rPr>
          <w:rFonts w:ascii="Arial" w:cs="Arial" w:eastAsia="Arial" w:hAnsi="Arial"/>
          <w:sz w:val="17"/>
          <w:szCs w:val="17"/>
          <w:color w:val="auto"/>
        </w:rPr>
        <w:t>October 17, 2022</w:t>
      </w:r>
      <w:r>
        <w:rPr>
          <w:rFonts w:ascii="Arial" w:cs="Arial" w:eastAsia="Arial" w:hAnsi="Arial"/>
          <w:sz w:val="28"/>
          <w:szCs w:val="28"/>
          <w:color w:val="auto"/>
          <w:vertAlign w:val="superscript"/>
        </w:rPr>
        <w:t>(6)</w:t>
      </w:r>
    </w:p>
    <w:p>
      <w:pPr>
        <w:spacing w:after="0" w:line="191" w:lineRule="auto"/>
        <w:rPr>
          <w:sz w:val="20"/>
          <w:szCs w:val="20"/>
          <w:color w:val="auto"/>
        </w:rPr>
      </w:pPr>
      <w:r>
        <w:rPr>
          <w:rFonts w:ascii="Arial" w:cs="Arial" w:eastAsia="Arial" w:hAnsi="Arial"/>
          <w:sz w:val="17"/>
          <w:szCs w:val="17"/>
          <w:color w:val="auto"/>
        </w:rPr>
        <w:t>October 18, 2022</w:t>
      </w:r>
      <w:r>
        <w:rPr>
          <w:rFonts w:ascii="Arial" w:cs="Arial" w:eastAsia="Arial" w:hAnsi="Arial"/>
          <w:sz w:val="28"/>
          <w:szCs w:val="28"/>
          <w:color w:val="auto"/>
          <w:vertAlign w:val="superscript"/>
        </w:rPr>
        <w:t>(6)</w:t>
      </w:r>
    </w:p>
    <w:p>
      <w:pPr>
        <w:spacing w:after="0" w:line="202" w:lineRule="auto"/>
        <w:rPr>
          <w:sz w:val="20"/>
          <w:szCs w:val="20"/>
          <w:color w:val="auto"/>
        </w:rPr>
      </w:pPr>
      <w:r>
        <w:rPr>
          <w:rFonts w:ascii="Arial" w:cs="Arial" w:eastAsia="Arial" w:hAnsi="Arial"/>
          <w:sz w:val="17"/>
          <w:szCs w:val="17"/>
          <w:color w:val="auto"/>
        </w:rPr>
        <w:t>October 19, 2022</w:t>
      </w:r>
      <w:r>
        <w:rPr>
          <w:rFonts w:ascii="Arial" w:cs="Arial" w:eastAsia="Arial" w:hAnsi="Arial"/>
          <w:sz w:val="28"/>
          <w:szCs w:val="28"/>
          <w:color w:val="auto"/>
          <w:vertAlign w:val="superscript"/>
        </w:rPr>
        <w:t>(6)</w:t>
      </w:r>
    </w:p>
    <w:p>
      <w:pPr>
        <w:spacing w:after="0" w:line="191" w:lineRule="auto"/>
        <w:rPr>
          <w:sz w:val="20"/>
          <w:szCs w:val="20"/>
          <w:color w:val="auto"/>
        </w:rPr>
      </w:pPr>
      <w:r>
        <w:rPr>
          <w:rFonts w:ascii="Arial" w:cs="Arial" w:eastAsia="Arial" w:hAnsi="Arial"/>
          <w:sz w:val="17"/>
          <w:szCs w:val="17"/>
          <w:color w:val="auto"/>
        </w:rPr>
        <w:t>October 20, 2022</w:t>
      </w:r>
      <w:r>
        <w:rPr>
          <w:rFonts w:ascii="Arial" w:cs="Arial" w:eastAsia="Arial" w:hAnsi="Arial"/>
          <w:sz w:val="28"/>
          <w:szCs w:val="28"/>
          <w:color w:val="auto"/>
          <w:vertAlign w:val="superscript"/>
        </w:rPr>
        <w:t>(6)</w:t>
      </w:r>
    </w:p>
    <w:p>
      <w:pPr>
        <w:spacing w:after="0" w:line="191" w:lineRule="auto"/>
        <w:rPr>
          <w:sz w:val="20"/>
          <w:szCs w:val="20"/>
          <w:color w:val="auto"/>
        </w:rPr>
      </w:pPr>
      <w:r>
        <w:rPr>
          <w:rFonts w:ascii="Arial" w:cs="Arial" w:eastAsia="Arial" w:hAnsi="Arial"/>
          <w:sz w:val="17"/>
          <w:szCs w:val="17"/>
          <w:color w:val="auto"/>
        </w:rPr>
        <w:t>October 21, 2022</w:t>
      </w:r>
      <w:r>
        <w:rPr>
          <w:rFonts w:ascii="Arial" w:cs="Arial" w:eastAsia="Arial" w:hAnsi="Arial"/>
          <w:sz w:val="28"/>
          <w:szCs w:val="28"/>
          <w:color w:val="auto"/>
          <w:vertAlign w:val="superscript"/>
        </w:rPr>
        <w:t>(6)</w:t>
      </w:r>
    </w:p>
    <w:p>
      <w:pPr>
        <w:spacing w:after="0" w:line="201" w:lineRule="auto"/>
        <w:rPr>
          <w:sz w:val="20"/>
          <w:szCs w:val="20"/>
          <w:color w:val="auto"/>
        </w:rPr>
      </w:pPr>
      <w:r>
        <w:rPr>
          <w:rFonts w:ascii="Arial" w:cs="Arial" w:eastAsia="Arial" w:hAnsi="Arial"/>
          <w:sz w:val="17"/>
          <w:szCs w:val="17"/>
          <w:color w:val="auto"/>
        </w:rPr>
        <w:t>October 24, 2022</w:t>
      </w:r>
      <w:r>
        <w:rPr>
          <w:rFonts w:ascii="Arial" w:cs="Arial" w:eastAsia="Arial" w:hAnsi="Arial"/>
          <w:sz w:val="28"/>
          <w:szCs w:val="28"/>
          <w:color w:val="auto"/>
          <w:vertAlign w:val="superscript"/>
        </w:rPr>
        <w:t>(6)</w:t>
      </w:r>
    </w:p>
    <w:p>
      <w:pPr>
        <w:spacing w:after="0" w:line="192" w:lineRule="auto"/>
        <w:rPr>
          <w:sz w:val="20"/>
          <w:szCs w:val="20"/>
          <w:color w:val="auto"/>
        </w:rPr>
      </w:pPr>
      <w:r>
        <w:rPr>
          <w:rFonts w:ascii="Arial" w:cs="Arial" w:eastAsia="Arial" w:hAnsi="Arial"/>
          <w:sz w:val="17"/>
          <w:szCs w:val="17"/>
          <w:color w:val="auto"/>
        </w:rPr>
        <w:t>October 25, 2022</w:t>
      </w:r>
      <w:r>
        <w:rPr>
          <w:rFonts w:ascii="Arial" w:cs="Arial" w:eastAsia="Arial" w:hAnsi="Arial"/>
          <w:sz w:val="28"/>
          <w:szCs w:val="28"/>
          <w:color w:val="auto"/>
          <w:vertAlign w:val="superscript"/>
        </w:rPr>
        <w:t>(6)</w:t>
      </w:r>
    </w:p>
    <w:p>
      <w:pPr>
        <w:spacing w:after="0" w:line="201" w:lineRule="auto"/>
        <w:rPr>
          <w:sz w:val="20"/>
          <w:szCs w:val="20"/>
          <w:color w:val="auto"/>
        </w:rPr>
      </w:pPr>
      <w:r>
        <w:rPr>
          <w:rFonts w:ascii="Arial" w:cs="Arial" w:eastAsia="Arial" w:hAnsi="Arial"/>
          <w:sz w:val="17"/>
          <w:szCs w:val="17"/>
          <w:color w:val="auto"/>
        </w:rPr>
        <w:t>October 26, 2022</w:t>
      </w:r>
      <w:r>
        <w:rPr>
          <w:rFonts w:ascii="Arial" w:cs="Arial" w:eastAsia="Arial" w:hAnsi="Arial"/>
          <w:sz w:val="28"/>
          <w:szCs w:val="28"/>
          <w:color w:val="auto"/>
          <w:vertAlign w:val="superscript"/>
        </w:rPr>
        <w:t>(6)</w:t>
      </w:r>
    </w:p>
    <w:p>
      <w:pPr>
        <w:spacing w:after="0" w:line="191" w:lineRule="auto"/>
        <w:rPr>
          <w:sz w:val="20"/>
          <w:szCs w:val="20"/>
          <w:color w:val="auto"/>
        </w:rPr>
      </w:pPr>
      <w:r>
        <w:rPr>
          <w:rFonts w:ascii="Arial" w:cs="Arial" w:eastAsia="Arial" w:hAnsi="Arial"/>
          <w:sz w:val="17"/>
          <w:szCs w:val="17"/>
          <w:color w:val="auto"/>
        </w:rPr>
        <w:t>October 27, 2022</w:t>
      </w:r>
      <w:r>
        <w:rPr>
          <w:rFonts w:ascii="Arial" w:cs="Arial" w:eastAsia="Arial" w:hAnsi="Arial"/>
          <w:sz w:val="28"/>
          <w:szCs w:val="28"/>
          <w:color w:val="auto"/>
          <w:vertAlign w:val="superscript"/>
        </w:rPr>
        <w:t>(6)</w:t>
      </w:r>
    </w:p>
    <w:p>
      <w:pPr>
        <w:spacing w:after="0" w:line="201" w:lineRule="auto"/>
        <w:rPr>
          <w:sz w:val="20"/>
          <w:szCs w:val="20"/>
          <w:color w:val="auto"/>
        </w:rPr>
      </w:pPr>
      <w:r>
        <w:rPr>
          <w:rFonts w:ascii="Arial" w:cs="Arial" w:eastAsia="Arial" w:hAnsi="Arial"/>
          <w:sz w:val="17"/>
          <w:szCs w:val="17"/>
          <w:color w:val="auto"/>
        </w:rPr>
        <w:t>October 28, 2022</w:t>
      </w:r>
      <w:r>
        <w:rPr>
          <w:rFonts w:ascii="Arial" w:cs="Arial" w:eastAsia="Arial" w:hAnsi="Arial"/>
          <w:sz w:val="28"/>
          <w:szCs w:val="28"/>
          <w:color w:val="auto"/>
          <w:vertAlign w:val="superscript"/>
        </w:rPr>
        <w:t>(6)</w:t>
      </w:r>
    </w:p>
    <w:p>
      <w:pPr>
        <w:spacing w:after="0" w:line="191" w:lineRule="auto"/>
        <w:rPr>
          <w:sz w:val="20"/>
          <w:szCs w:val="20"/>
          <w:color w:val="auto"/>
        </w:rPr>
      </w:pPr>
      <w:r>
        <w:rPr>
          <w:rFonts w:ascii="Arial" w:cs="Arial" w:eastAsia="Arial" w:hAnsi="Arial"/>
          <w:sz w:val="17"/>
          <w:szCs w:val="17"/>
          <w:color w:val="auto"/>
        </w:rPr>
        <w:t>October 31, 2022</w:t>
      </w:r>
      <w:r>
        <w:rPr>
          <w:rFonts w:ascii="Arial" w:cs="Arial" w:eastAsia="Arial" w:hAnsi="Arial"/>
          <w:sz w:val="28"/>
          <w:szCs w:val="28"/>
          <w:color w:val="auto"/>
          <w:vertAlign w:val="superscript"/>
        </w:rPr>
        <w:t>(6)</w:t>
      </w:r>
    </w:p>
    <w:p>
      <w:pPr>
        <w:spacing w:after="0" w:line="199" w:lineRule="auto"/>
        <w:rPr>
          <w:sz w:val="20"/>
          <w:szCs w:val="20"/>
          <w:color w:val="auto"/>
        </w:rPr>
      </w:pPr>
      <w:r>
        <w:rPr>
          <w:rFonts w:ascii="Arial" w:cs="Arial" w:eastAsia="Arial" w:hAnsi="Arial"/>
          <w:sz w:val="17"/>
          <w:szCs w:val="17"/>
          <w:color w:val="auto"/>
        </w:rPr>
        <w:t>November 1, 2022</w:t>
      </w:r>
      <w:r>
        <w:rPr>
          <w:rFonts w:ascii="Arial" w:cs="Arial" w:eastAsia="Arial" w:hAnsi="Arial"/>
          <w:sz w:val="27"/>
          <w:szCs w:val="27"/>
          <w:color w:val="auto"/>
          <w:vertAlign w:val="superscript"/>
        </w:rPr>
        <w:t>(6)</w:t>
      </w:r>
    </w:p>
    <w:p>
      <w:pPr>
        <w:spacing w:after="0" w:line="208" w:lineRule="auto"/>
        <w:rPr>
          <w:sz w:val="20"/>
          <w:szCs w:val="20"/>
          <w:color w:val="auto"/>
        </w:rPr>
      </w:pPr>
      <w:r>
        <w:rPr>
          <w:rFonts w:ascii="Arial" w:cs="Arial" w:eastAsia="Arial" w:hAnsi="Arial"/>
          <w:sz w:val="17"/>
          <w:szCs w:val="17"/>
          <w:color w:val="auto"/>
        </w:rPr>
        <w:t>November 2, 2022</w:t>
      </w:r>
      <w:r>
        <w:rPr>
          <w:rFonts w:ascii="Arial" w:cs="Arial" w:eastAsia="Arial" w:hAnsi="Arial"/>
          <w:sz w:val="27"/>
          <w:szCs w:val="27"/>
          <w:color w:val="auto"/>
          <w:vertAlign w:val="superscript"/>
        </w:rPr>
        <w:t>(6)</w:t>
      </w:r>
    </w:p>
    <w:p>
      <w:pPr>
        <w:spacing w:after="0" w:line="199" w:lineRule="auto"/>
        <w:rPr>
          <w:sz w:val="20"/>
          <w:szCs w:val="20"/>
          <w:color w:val="auto"/>
        </w:rPr>
      </w:pPr>
      <w:r>
        <w:rPr>
          <w:rFonts w:ascii="Arial" w:cs="Arial" w:eastAsia="Arial" w:hAnsi="Arial"/>
          <w:sz w:val="17"/>
          <w:szCs w:val="17"/>
          <w:color w:val="auto"/>
        </w:rPr>
        <w:t>November 3, 2022</w:t>
      </w:r>
      <w:r>
        <w:rPr>
          <w:rFonts w:ascii="Arial" w:cs="Arial" w:eastAsia="Arial" w:hAnsi="Arial"/>
          <w:sz w:val="27"/>
          <w:szCs w:val="27"/>
          <w:color w:val="auto"/>
          <w:vertAlign w:val="superscript"/>
        </w:rPr>
        <w:t>(6)</w:t>
      </w:r>
    </w:p>
    <w:p>
      <w:pPr>
        <w:spacing w:after="0" w:line="208" w:lineRule="auto"/>
        <w:rPr>
          <w:sz w:val="20"/>
          <w:szCs w:val="20"/>
          <w:color w:val="auto"/>
        </w:rPr>
      </w:pPr>
      <w:r>
        <w:rPr>
          <w:rFonts w:ascii="Arial" w:cs="Arial" w:eastAsia="Arial" w:hAnsi="Arial"/>
          <w:sz w:val="17"/>
          <w:szCs w:val="17"/>
          <w:color w:val="auto"/>
        </w:rPr>
        <w:t>November 4, 2022</w:t>
      </w:r>
      <w:r>
        <w:rPr>
          <w:rFonts w:ascii="Arial" w:cs="Arial" w:eastAsia="Arial" w:hAnsi="Arial"/>
          <w:sz w:val="27"/>
          <w:szCs w:val="27"/>
          <w:color w:val="auto"/>
          <w:vertAlign w:val="superscript"/>
        </w:rPr>
        <w:t>(6)</w:t>
      </w:r>
    </w:p>
    <w:p>
      <w:pPr>
        <w:spacing w:after="0" w:line="199" w:lineRule="auto"/>
        <w:rPr>
          <w:sz w:val="20"/>
          <w:szCs w:val="20"/>
          <w:color w:val="auto"/>
        </w:rPr>
      </w:pPr>
      <w:r>
        <w:rPr>
          <w:rFonts w:ascii="Arial" w:cs="Arial" w:eastAsia="Arial" w:hAnsi="Arial"/>
          <w:sz w:val="17"/>
          <w:szCs w:val="17"/>
          <w:color w:val="auto"/>
        </w:rPr>
        <w:t>November 7, 2022</w:t>
      </w:r>
      <w:r>
        <w:rPr>
          <w:rFonts w:ascii="Arial" w:cs="Arial" w:eastAsia="Arial" w:hAnsi="Arial"/>
          <w:sz w:val="27"/>
          <w:szCs w:val="27"/>
          <w:color w:val="auto"/>
          <w:vertAlign w:val="superscript"/>
        </w:rPr>
        <w:t>(6)</w:t>
      </w:r>
    </w:p>
    <w:p>
      <w:pPr>
        <w:spacing w:after="0" w:line="208" w:lineRule="auto"/>
        <w:rPr>
          <w:sz w:val="20"/>
          <w:szCs w:val="20"/>
          <w:color w:val="auto"/>
        </w:rPr>
      </w:pPr>
      <w:r>
        <w:rPr>
          <w:rFonts w:ascii="Arial" w:cs="Arial" w:eastAsia="Arial" w:hAnsi="Arial"/>
          <w:sz w:val="17"/>
          <w:szCs w:val="17"/>
          <w:color w:val="auto"/>
        </w:rPr>
        <w:t>November 8, 2022</w:t>
      </w:r>
      <w:r>
        <w:rPr>
          <w:rFonts w:ascii="Arial" w:cs="Arial" w:eastAsia="Arial" w:hAnsi="Arial"/>
          <w:sz w:val="27"/>
          <w:szCs w:val="27"/>
          <w:color w:val="auto"/>
          <w:vertAlign w:val="superscript"/>
        </w:rPr>
        <w:t>(6)</w:t>
      </w:r>
    </w:p>
    <w:p>
      <w:pPr>
        <w:spacing w:after="0" w:line="206" w:lineRule="auto"/>
        <w:rPr>
          <w:sz w:val="20"/>
          <w:szCs w:val="20"/>
          <w:color w:val="auto"/>
        </w:rPr>
      </w:pPr>
      <w:r>
        <w:rPr>
          <w:rFonts w:ascii="Arial" w:cs="Arial" w:eastAsia="Arial" w:hAnsi="Arial"/>
          <w:sz w:val="16"/>
          <w:szCs w:val="16"/>
          <w:color w:val="auto"/>
        </w:rPr>
        <w:t>November 10, 2022</w:t>
      </w:r>
      <w:r>
        <w:rPr>
          <w:rFonts w:ascii="Arial" w:cs="Arial" w:eastAsia="Arial" w:hAnsi="Arial"/>
          <w:sz w:val="26"/>
          <w:szCs w:val="26"/>
          <w:color w:val="auto"/>
          <w:vertAlign w:val="superscript"/>
        </w:rPr>
        <w:t>(6)</w:t>
      </w:r>
    </w:p>
    <w:p>
      <w:pPr>
        <w:spacing w:after="0" w:line="217" w:lineRule="auto"/>
        <w:rPr>
          <w:sz w:val="20"/>
          <w:szCs w:val="20"/>
          <w:color w:val="auto"/>
        </w:rPr>
      </w:pPr>
      <w:r>
        <w:rPr>
          <w:rFonts w:ascii="Arial" w:cs="Arial" w:eastAsia="Arial" w:hAnsi="Arial"/>
          <w:sz w:val="16"/>
          <w:szCs w:val="16"/>
          <w:color w:val="auto"/>
        </w:rPr>
        <w:t>November 14, 2022</w:t>
      </w:r>
      <w:r>
        <w:rPr>
          <w:rFonts w:ascii="Arial" w:cs="Arial" w:eastAsia="Arial" w:hAnsi="Arial"/>
          <w:sz w:val="26"/>
          <w:szCs w:val="26"/>
          <w:color w:val="auto"/>
          <w:vertAlign w:val="superscript"/>
        </w:rPr>
        <w:t>(6)</w:t>
      </w:r>
    </w:p>
    <w:p>
      <w:pPr>
        <w:spacing w:after="0" w:line="206" w:lineRule="auto"/>
        <w:rPr>
          <w:sz w:val="20"/>
          <w:szCs w:val="20"/>
          <w:color w:val="auto"/>
        </w:rPr>
      </w:pPr>
      <w:r>
        <w:rPr>
          <w:rFonts w:ascii="Arial" w:cs="Arial" w:eastAsia="Arial" w:hAnsi="Arial"/>
          <w:sz w:val="16"/>
          <w:szCs w:val="16"/>
          <w:color w:val="auto"/>
        </w:rPr>
        <w:t>November 15, 2022</w:t>
      </w:r>
      <w:r>
        <w:rPr>
          <w:rFonts w:ascii="Arial" w:cs="Arial" w:eastAsia="Arial" w:hAnsi="Arial"/>
          <w:sz w:val="26"/>
          <w:szCs w:val="26"/>
          <w:color w:val="auto"/>
          <w:vertAlign w:val="superscript"/>
        </w:rPr>
        <w:t>(6)</w:t>
      </w:r>
    </w:p>
    <w:p>
      <w:pPr>
        <w:spacing w:after="0" w:line="206" w:lineRule="auto"/>
        <w:rPr>
          <w:sz w:val="20"/>
          <w:szCs w:val="20"/>
          <w:color w:val="auto"/>
        </w:rPr>
      </w:pPr>
      <w:r>
        <w:rPr>
          <w:rFonts w:ascii="Arial" w:cs="Arial" w:eastAsia="Arial" w:hAnsi="Arial"/>
          <w:sz w:val="16"/>
          <w:szCs w:val="16"/>
          <w:color w:val="auto"/>
        </w:rPr>
        <w:t>November 15, 2022</w:t>
      </w:r>
      <w:r>
        <w:rPr>
          <w:rFonts w:ascii="Arial" w:cs="Arial" w:eastAsia="Arial" w:hAnsi="Arial"/>
          <w:sz w:val="26"/>
          <w:szCs w:val="26"/>
          <w:color w:val="auto"/>
          <w:vertAlign w:val="superscript"/>
        </w:rPr>
        <w:t>(6)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November 16, 2022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November 16, 2022</w:t>
      </w:r>
    </w:p>
    <w:p>
      <w:pPr>
        <w:spacing w:after="0" w:line="225" w:lineRule="auto"/>
        <w:rPr>
          <w:sz w:val="20"/>
          <w:szCs w:val="20"/>
          <w:color w:val="auto"/>
        </w:rPr>
      </w:pPr>
      <w:r>
        <w:rPr>
          <w:rFonts w:ascii="Arial" w:cs="Arial" w:eastAsia="Arial" w:hAnsi="Arial"/>
          <w:sz w:val="16"/>
          <w:szCs w:val="16"/>
          <w:color w:val="auto"/>
        </w:rPr>
        <w:t>November 30, 2022</w:t>
      </w:r>
      <w:r>
        <w:rPr>
          <w:rFonts w:ascii="Arial" w:cs="Arial" w:eastAsia="Arial" w:hAnsi="Arial"/>
          <w:sz w:val="26"/>
          <w:szCs w:val="26"/>
          <w:color w:val="auto"/>
          <w:vertAlign w:val="superscript"/>
        </w:rPr>
        <w:t>(6)</w:t>
      </w:r>
    </w:p>
    <w:p>
      <w:pPr>
        <w:spacing w:after="0" w:line="198" w:lineRule="auto"/>
        <w:rPr>
          <w:sz w:val="20"/>
          <w:szCs w:val="20"/>
          <w:color w:val="auto"/>
        </w:rPr>
      </w:pPr>
      <w:r>
        <w:rPr>
          <w:rFonts w:ascii="Arial" w:cs="Arial" w:eastAsia="Arial" w:hAnsi="Arial"/>
          <w:sz w:val="17"/>
          <w:szCs w:val="17"/>
          <w:color w:val="auto"/>
        </w:rPr>
        <w:t>December 1, 2022</w:t>
      </w:r>
      <w:r>
        <w:rPr>
          <w:rFonts w:ascii="Arial" w:cs="Arial" w:eastAsia="Arial" w:hAnsi="Arial"/>
          <w:sz w:val="27"/>
          <w:szCs w:val="27"/>
          <w:color w:val="auto"/>
          <w:vertAlign w:val="superscript"/>
        </w:rPr>
        <w:t>(6)</w:t>
      </w:r>
    </w:p>
    <w:p>
      <w:pPr>
        <w:spacing w:after="0" w:line="209" w:lineRule="auto"/>
        <w:rPr>
          <w:sz w:val="20"/>
          <w:szCs w:val="20"/>
          <w:color w:val="auto"/>
        </w:rPr>
      </w:pPr>
      <w:r>
        <w:rPr>
          <w:rFonts w:ascii="Arial" w:cs="Arial" w:eastAsia="Arial" w:hAnsi="Arial"/>
          <w:sz w:val="17"/>
          <w:szCs w:val="17"/>
          <w:color w:val="auto"/>
        </w:rPr>
        <w:t>December 5, 2022</w:t>
      </w:r>
      <w:r>
        <w:rPr>
          <w:rFonts w:ascii="Arial" w:cs="Arial" w:eastAsia="Arial" w:hAnsi="Arial"/>
          <w:sz w:val="27"/>
          <w:szCs w:val="27"/>
          <w:color w:val="auto"/>
          <w:vertAlign w:val="superscript"/>
        </w:rPr>
        <w:t>(6)</w:t>
      </w:r>
    </w:p>
    <w:p>
      <w:pPr>
        <w:spacing w:after="0" w:line="198" w:lineRule="auto"/>
        <w:rPr>
          <w:sz w:val="20"/>
          <w:szCs w:val="20"/>
          <w:color w:val="auto"/>
        </w:rPr>
      </w:pPr>
      <w:r>
        <w:rPr>
          <w:rFonts w:ascii="Arial" w:cs="Arial" w:eastAsia="Arial" w:hAnsi="Arial"/>
          <w:sz w:val="17"/>
          <w:szCs w:val="17"/>
          <w:color w:val="auto"/>
        </w:rPr>
        <w:t>December 6, 2022</w:t>
      </w:r>
      <w:r>
        <w:rPr>
          <w:rFonts w:ascii="Arial" w:cs="Arial" w:eastAsia="Arial" w:hAnsi="Arial"/>
          <w:sz w:val="27"/>
          <w:szCs w:val="27"/>
          <w:color w:val="auto"/>
          <w:vertAlign w:val="superscript"/>
        </w:rPr>
        <w:t>(6)</w:t>
      </w:r>
    </w:p>
    <w:p>
      <w:pPr>
        <w:spacing w:after="0" w:line="209" w:lineRule="auto"/>
        <w:rPr>
          <w:sz w:val="20"/>
          <w:szCs w:val="20"/>
          <w:color w:val="auto"/>
        </w:rPr>
      </w:pPr>
      <w:r>
        <w:rPr>
          <w:rFonts w:ascii="Arial" w:cs="Arial" w:eastAsia="Arial" w:hAnsi="Arial"/>
          <w:sz w:val="17"/>
          <w:szCs w:val="17"/>
          <w:color w:val="auto"/>
        </w:rPr>
        <w:t>December 7, 2022</w:t>
      </w:r>
      <w:r>
        <w:rPr>
          <w:rFonts w:ascii="Arial" w:cs="Arial" w:eastAsia="Arial" w:hAnsi="Arial"/>
          <w:sz w:val="27"/>
          <w:szCs w:val="27"/>
          <w:color w:val="auto"/>
          <w:vertAlign w:val="superscript"/>
        </w:rPr>
        <w:t>(6)</w:t>
      </w:r>
    </w:p>
    <w:p>
      <w:pPr>
        <w:spacing w:after="0" w:line="198" w:lineRule="auto"/>
        <w:rPr>
          <w:sz w:val="20"/>
          <w:szCs w:val="20"/>
          <w:color w:val="auto"/>
        </w:rPr>
      </w:pPr>
      <w:r>
        <w:rPr>
          <w:rFonts w:ascii="Arial" w:cs="Arial" w:eastAsia="Arial" w:hAnsi="Arial"/>
          <w:sz w:val="17"/>
          <w:szCs w:val="17"/>
          <w:color w:val="auto"/>
        </w:rPr>
        <w:t>December 8, 2022</w:t>
      </w:r>
      <w:r>
        <w:rPr>
          <w:rFonts w:ascii="Arial" w:cs="Arial" w:eastAsia="Arial" w:hAnsi="Arial"/>
          <w:sz w:val="27"/>
          <w:szCs w:val="27"/>
          <w:color w:val="auto"/>
          <w:vertAlign w:val="superscript"/>
        </w:rPr>
        <w:t>(6)</w:t>
      </w:r>
    </w:p>
    <w:p>
      <w:pPr>
        <w:spacing w:after="0" w:line="198" w:lineRule="auto"/>
        <w:rPr>
          <w:sz w:val="20"/>
          <w:szCs w:val="20"/>
          <w:color w:val="auto"/>
        </w:rPr>
      </w:pPr>
      <w:r>
        <w:rPr>
          <w:rFonts w:ascii="Arial" w:cs="Arial" w:eastAsia="Arial" w:hAnsi="Arial"/>
          <w:sz w:val="17"/>
          <w:szCs w:val="17"/>
          <w:color w:val="auto"/>
        </w:rPr>
        <w:t>December 8, 2022</w:t>
      </w:r>
      <w:r>
        <w:rPr>
          <w:rFonts w:ascii="Arial" w:cs="Arial" w:eastAsia="Arial" w:hAnsi="Arial"/>
          <w:sz w:val="27"/>
          <w:szCs w:val="27"/>
          <w:color w:val="auto"/>
          <w:vertAlign w:val="superscript"/>
        </w:rPr>
        <w:t>(6)</w:t>
      </w:r>
    </w:p>
    <w:p>
      <w:pPr>
        <w:spacing w:after="0" w:line="201" w:lineRule="auto"/>
        <w:rPr>
          <w:sz w:val="20"/>
          <w:szCs w:val="20"/>
          <w:color w:val="auto"/>
        </w:rPr>
      </w:pPr>
      <w:r>
        <w:rPr>
          <w:rFonts w:ascii="Arial" w:cs="Arial" w:eastAsia="Arial" w:hAnsi="Arial"/>
          <w:sz w:val="17"/>
          <w:szCs w:val="17"/>
          <w:color w:val="auto"/>
        </w:rPr>
        <w:t>January 12, 2023</w:t>
      </w:r>
      <w:r>
        <w:rPr>
          <w:rFonts w:ascii="Arial" w:cs="Arial" w:eastAsia="Arial" w:hAnsi="Arial"/>
          <w:sz w:val="28"/>
          <w:szCs w:val="28"/>
          <w:color w:val="auto"/>
          <w:vertAlign w:val="superscript"/>
        </w:rPr>
        <w:t>(6)</w:t>
      </w:r>
    </w:p>
    <w:p>
      <w:pPr>
        <w:spacing w:after="0" w:line="192" w:lineRule="auto"/>
        <w:rPr>
          <w:sz w:val="20"/>
          <w:szCs w:val="20"/>
          <w:color w:val="auto"/>
        </w:rPr>
      </w:pPr>
      <w:r>
        <w:rPr>
          <w:rFonts w:ascii="Arial" w:cs="Arial" w:eastAsia="Arial" w:hAnsi="Arial"/>
          <w:sz w:val="17"/>
          <w:szCs w:val="17"/>
          <w:color w:val="auto"/>
        </w:rPr>
        <w:t>January 12, 2023</w:t>
      </w:r>
      <w:r>
        <w:rPr>
          <w:rFonts w:ascii="Arial" w:cs="Arial" w:eastAsia="Arial" w:hAnsi="Arial"/>
          <w:sz w:val="28"/>
          <w:szCs w:val="28"/>
          <w:color w:val="auto"/>
          <w:vertAlign w:val="superscript"/>
        </w:rPr>
        <w:t>(1)</w:t>
      </w:r>
    </w:p>
    <w:p>
      <w:pPr>
        <w:spacing w:after="0" w:line="201" w:lineRule="auto"/>
        <w:rPr>
          <w:sz w:val="20"/>
          <w:szCs w:val="20"/>
          <w:color w:val="auto"/>
        </w:rPr>
      </w:pPr>
      <w:r>
        <w:rPr>
          <w:rFonts w:ascii="Arial" w:cs="Arial" w:eastAsia="Arial" w:hAnsi="Arial"/>
          <w:sz w:val="17"/>
          <w:szCs w:val="17"/>
          <w:color w:val="auto"/>
        </w:rPr>
        <w:t>January 17, 2023</w:t>
      </w:r>
      <w:r>
        <w:rPr>
          <w:rFonts w:ascii="Arial" w:cs="Arial" w:eastAsia="Arial" w:hAnsi="Arial"/>
          <w:sz w:val="28"/>
          <w:szCs w:val="28"/>
          <w:color w:val="auto"/>
          <w:vertAlign w:val="superscript"/>
        </w:rPr>
        <w:t>(6)</w:t>
      </w:r>
    </w:p>
    <w:p>
      <w:pPr>
        <w:spacing w:after="0" w:line="191" w:lineRule="auto"/>
        <w:rPr>
          <w:sz w:val="20"/>
          <w:szCs w:val="20"/>
          <w:color w:val="auto"/>
        </w:rPr>
      </w:pPr>
      <w:r>
        <w:rPr>
          <w:rFonts w:ascii="Arial" w:cs="Arial" w:eastAsia="Arial" w:hAnsi="Arial"/>
          <w:sz w:val="17"/>
          <w:szCs w:val="17"/>
          <w:color w:val="auto"/>
        </w:rPr>
        <w:t>January 18, 2023</w:t>
      </w:r>
      <w:r>
        <w:rPr>
          <w:rFonts w:ascii="Arial" w:cs="Arial" w:eastAsia="Arial" w:hAnsi="Arial"/>
          <w:sz w:val="28"/>
          <w:szCs w:val="28"/>
          <w:color w:val="auto"/>
          <w:vertAlign w:val="superscript"/>
        </w:rPr>
        <w:t>(6)</w:t>
      </w:r>
    </w:p>
    <w:p>
      <w:pPr>
        <w:spacing w:after="0" w:line="201" w:lineRule="auto"/>
        <w:rPr>
          <w:sz w:val="20"/>
          <w:szCs w:val="20"/>
          <w:color w:val="auto"/>
        </w:rPr>
      </w:pPr>
      <w:r>
        <w:rPr>
          <w:rFonts w:ascii="Arial" w:cs="Arial" w:eastAsia="Arial" w:hAnsi="Arial"/>
          <w:sz w:val="17"/>
          <w:szCs w:val="17"/>
          <w:color w:val="auto"/>
        </w:rPr>
        <w:t>January 19, 2023</w:t>
      </w:r>
      <w:r>
        <w:rPr>
          <w:rFonts w:ascii="Arial" w:cs="Arial" w:eastAsia="Arial" w:hAnsi="Arial"/>
          <w:sz w:val="28"/>
          <w:szCs w:val="28"/>
          <w:color w:val="auto"/>
          <w:vertAlign w:val="superscript"/>
        </w:rPr>
        <w:t>(6)</w:t>
      </w:r>
    </w:p>
    <w:p>
      <w:pPr>
        <w:spacing w:after="0" w:line="191" w:lineRule="auto"/>
        <w:rPr>
          <w:sz w:val="20"/>
          <w:szCs w:val="20"/>
          <w:color w:val="auto"/>
        </w:rPr>
      </w:pPr>
      <w:r>
        <w:rPr>
          <w:rFonts w:ascii="Arial" w:cs="Arial" w:eastAsia="Arial" w:hAnsi="Arial"/>
          <w:sz w:val="17"/>
          <w:szCs w:val="17"/>
          <w:color w:val="auto"/>
        </w:rPr>
        <w:t>January 20, 2023</w:t>
      </w:r>
      <w:r>
        <w:rPr>
          <w:rFonts w:ascii="Arial" w:cs="Arial" w:eastAsia="Arial" w:hAnsi="Arial"/>
          <w:sz w:val="28"/>
          <w:szCs w:val="28"/>
          <w:color w:val="auto"/>
          <w:vertAlign w:val="superscript"/>
        </w:rPr>
        <w:t>(6)</w:t>
      </w:r>
    </w:p>
    <w:p>
      <w:pPr>
        <w:spacing w:after="0" w:line="202" w:lineRule="auto"/>
        <w:rPr>
          <w:sz w:val="20"/>
          <w:szCs w:val="20"/>
          <w:color w:val="auto"/>
        </w:rPr>
      </w:pPr>
      <w:r>
        <w:rPr>
          <w:rFonts w:ascii="Arial" w:cs="Arial" w:eastAsia="Arial" w:hAnsi="Arial"/>
          <w:sz w:val="17"/>
          <w:szCs w:val="17"/>
          <w:color w:val="auto"/>
        </w:rPr>
        <w:t>January 23, 2023</w:t>
      </w:r>
      <w:r>
        <w:rPr>
          <w:rFonts w:ascii="Arial" w:cs="Arial" w:eastAsia="Arial" w:hAnsi="Arial"/>
          <w:sz w:val="28"/>
          <w:szCs w:val="28"/>
          <w:color w:val="auto"/>
          <w:vertAlign w:val="superscript"/>
        </w:rPr>
        <w:t>(6)</w:t>
      </w:r>
    </w:p>
    <w:p>
      <w:pPr>
        <w:spacing w:after="0" w:line="191" w:lineRule="auto"/>
        <w:rPr>
          <w:sz w:val="20"/>
          <w:szCs w:val="20"/>
          <w:color w:val="auto"/>
        </w:rPr>
      </w:pPr>
      <w:r>
        <w:rPr>
          <w:rFonts w:ascii="Arial" w:cs="Arial" w:eastAsia="Arial" w:hAnsi="Arial"/>
          <w:sz w:val="17"/>
          <w:szCs w:val="17"/>
          <w:color w:val="auto"/>
        </w:rPr>
        <w:t>January 24, 2023</w:t>
      </w:r>
      <w:r>
        <w:rPr>
          <w:rFonts w:ascii="Arial" w:cs="Arial" w:eastAsia="Arial" w:hAnsi="Arial"/>
          <w:sz w:val="28"/>
          <w:szCs w:val="28"/>
          <w:color w:val="auto"/>
          <w:vertAlign w:val="superscript"/>
        </w:rPr>
        <w:t>(6)</w:t>
      </w:r>
    </w:p>
    <w:p>
      <w:pPr>
        <w:spacing w:after="0" w:line="191" w:lineRule="auto"/>
        <w:rPr>
          <w:sz w:val="20"/>
          <w:szCs w:val="20"/>
          <w:color w:val="auto"/>
        </w:rPr>
      </w:pPr>
      <w:r>
        <w:rPr>
          <w:rFonts w:ascii="Arial" w:cs="Arial" w:eastAsia="Arial" w:hAnsi="Arial"/>
          <w:sz w:val="17"/>
          <w:szCs w:val="17"/>
          <w:color w:val="auto"/>
        </w:rPr>
        <w:t>January 26, 2023</w:t>
      </w:r>
      <w:r>
        <w:rPr>
          <w:rFonts w:ascii="Arial" w:cs="Arial" w:eastAsia="Arial" w:hAnsi="Arial"/>
          <w:sz w:val="28"/>
          <w:szCs w:val="28"/>
          <w:color w:val="auto"/>
          <w:vertAlign w:val="superscript"/>
        </w:rPr>
        <w:t>(6)</w:t>
      </w:r>
    </w:p>
    <w:p>
      <w:pPr>
        <w:spacing w:after="0" w:line="201" w:lineRule="auto"/>
        <w:rPr>
          <w:sz w:val="20"/>
          <w:szCs w:val="20"/>
          <w:color w:val="auto"/>
        </w:rPr>
      </w:pPr>
      <w:r>
        <w:rPr>
          <w:rFonts w:ascii="Arial" w:cs="Arial" w:eastAsia="Arial" w:hAnsi="Arial"/>
          <w:sz w:val="17"/>
          <w:szCs w:val="17"/>
          <w:color w:val="auto"/>
        </w:rPr>
        <w:t>January 30, 2023</w:t>
      </w:r>
      <w:r>
        <w:rPr>
          <w:rFonts w:ascii="Arial" w:cs="Arial" w:eastAsia="Arial" w:hAnsi="Arial"/>
          <w:sz w:val="28"/>
          <w:szCs w:val="28"/>
          <w:color w:val="auto"/>
          <w:vertAlign w:val="superscript"/>
        </w:rPr>
        <w:t>(6)</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January 31, 2023</w:t>
      </w:r>
      <w:r>
        <w:rPr>
          <w:rFonts w:ascii="Arial" w:cs="Arial" w:eastAsia="Arial" w:hAnsi="Arial"/>
          <w:sz w:val="28"/>
          <w:szCs w:val="28"/>
          <w:color w:val="auto"/>
          <w:vertAlign w:val="superscript"/>
        </w:rPr>
        <w:t>(6)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328,900</w:t>
            </w:r>
          </w:p>
        </w:tc>
        <w:tc>
          <w:tcPr>
            <w:tcW w:w="3280" w:type="dxa"/>
            <w:vAlign w:val="bottom"/>
          </w:tcPr>
          <w:p>
            <w:pPr>
              <w:jc w:val="center"/>
              <w:ind w:right="30"/>
              <w:spacing w:after="0"/>
              <w:rPr>
                <w:sz w:val="20"/>
                <w:szCs w:val="20"/>
                <w:color w:val="auto"/>
              </w:rPr>
            </w:pPr>
            <w:r>
              <w:rPr>
                <w:rFonts w:ascii="Arial" w:cs="Arial" w:eastAsia="Arial" w:hAnsi="Arial"/>
                <w:sz w:val="18"/>
                <w:szCs w:val="18"/>
                <w:color w:val="auto"/>
                <w:w w:val="88"/>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$0.71</w:t>
            </w:r>
          </w:p>
        </w:tc>
      </w:tr>
      <w:tr>
        <w:trPr>
          <w:trHeight w:val="216"/>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90"/>
              </w:rPr>
              <w:t>10,000</w:t>
            </w:r>
          </w:p>
        </w:tc>
        <w:tc>
          <w:tcPr>
            <w:tcW w:w="3280" w:type="dxa"/>
            <w:vAlign w:val="bottom"/>
          </w:tcPr>
          <w:p>
            <w:pPr>
              <w:jc w:val="center"/>
              <w:ind w:right="10"/>
              <w:spacing w:after="0"/>
              <w:rPr>
                <w:sz w:val="20"/>
                <w:szCs w:val="20"/>
                <w:color w:val="auto"/>
              </w:rPr>
            </w:pPr>
            <w:r>
              <w:rPr>
                <w:rFonts w:ascii="Arial" w:cs="Arial" w:eastAsia="Arial" w:hAnsi="Arial"/>
                <w:sz w:val="18"/>
                <w:szCs w:val="18"/>
                <w:color w:val="auto"/>
                <w:w w:val="93"/>
              </w:rPr>
              <w:t>Options</w:t>
            </w:r>
          </w:p>
        </w:tc>
        <w:tc>
          <w:tcPr>
            <w:tcW w:w="14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90"/>
              </w:rPr>
              <w:t>75,000</w:t>
            </w:r>
          </w:p>
        </w:tc>
        <w:tc>
          <w:tcPr>
            <w:tcW w:w="3280" w:type="dxa"/>
            <w:vAlign w:val="bottom"/>
          </w:tcPr>
          <w:p>
            <w:pPr>
              <w:jc w:val="center"/>
              <w:ind w:right="10"/>
              <w:spacing w:after="0"/>
              <w:rPr>
                <w:sz w:val="20"/>
                <w:szCs w:val="20"/>
                <w:color w:val="auto"/>
              </w:rPr>
            </w:pPr>
            <w:r>
              <w:rPr>
                <w:rFonts w:ascii="Arial" w:cs="Arial" w:eastAsia="Arial" w:hAnsi="Arial"/>
                <w:sz w:val="18"/>
                <w:szCs w:val="18"/>
                <w:color w:val="auto"/>
                <w:w w:val="93"/>
              </w:rPr>
              <w:t>Options</w:t>
            </w:r>
          </w:p>
        </w:tc>
        <w:tc>
          <w:tcPr>
            <w:tcW w:w="1480" w:type="dxa"/>
            <w:vAlign w:val="bottom"/>
          </w:tcPr>
          <w:p>
            <w:pPr>
              <w:jc w:val="right"/>
              <w:spacing w:after="0"/>
              <w:rPr>
                <w:sz w:val="20"/>
                <w:szCs w:val="20"/>
                <w:color w:val="auto"/>
              </w:rPr>
            </w:pPr>
            <w:r>
              <w:rPr>
                <w:rFonts w:ascii="Arial" w:cs="Arial" w:eastAsia="Arial" w:hAnsi="Arial"/>
                <w:sz w:val="18"/>
                <w:szCs w:val="18"/>
                <w:color w:val="auto"/>
              </w:rPr>
              <w:t>$0.75</w:t>
            </w:r>
          </w:p>
        </w:tc>
      </w:tr>
      <w:tr>
        <w:trPr>
          <w:trHeight w:val="257"/>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366,300</w:t>
            </w:r>
          </w:p>
        </w:tc>
        <w:tc>
          <w:tcPr>
            <w:tcW w:w="3280" w:type="dxa"/>
            <w:vAlign w:val="bottom"/>
          </w:tcPr>
          <w:p>
            <w:pPr>
              <w:jc w:val="center"/>
              <w:ind w:right="30"/>
              <w:spacing w:after="0"/>
              <w:rPr>
                <w:sz w:val="20"/>
                <w:szCs w:val="20"/>
                <w:color w:val="auto"/>
              </w:rPr>
            </w:pPr>
            <w:r>
              <w:rPr>
                <w:rFonts w:ascii="Arial" w:cs="Arial" w:eastAsia="Arial" w:hAnsi="Arial"/>
                <w:sz w:val="18"/>
                <w:szCs w:val="18"/>
                <w:color w:val="auto"/>
                <w:w w:val="88"/>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$0.69</w:t>
            </w:r>
          </w:p>
        </w:tc>
      </w:tr>
      <w:tr>
        <w:trPr>
          <w:trHeight w:val="269"/>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150,000</w:t>
            </w:r>
          </w:p>
        </w:tc>
        <w:tc>
          <w:tcPr>
            <w:tcW w:w="3280" w:type="dxa"/>
            <w:vAlign w:val="bottom"/>
          </w:tcPr>
          <w:p>
            <w:pPr>
              <w:jc w:val="center"/>
              <w:ind w:right="30"/>
              <w:spacing w:after="0"/>
              <w:rPr>
                <w:sz w:val="20"/>
                <w:szCs w:val="20"/>
                <w:color w:val="auto"/>
              </w:rPr>
            </w:pPr>
            <w:r>
              <w:rPr>
                <w:rFonts w:ascii="Arial" w:cs="Arial" w:eastAsia="Arial" w:hAnsi="Arial"/>
                <w:sz w:val="18"/>
                <w:szCs w:val="18"/>
                <w:color w:val="auto"/>
                <w:w w:val="88"/>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$0.66</w:t>
            </w:r>
          </w:p>
        </w:tc>
      </w:tr>
      <w:tr>
        <w:trPr>
          <w:trHeight w:val="257"/>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90"/>
              </w:rPr>
              <w:t>63,452</w:t>
            </w:r>
          </w:p>
        </w:tc>
        <w:tc>
          <w:tcPr>
            <w:tcW w:w="3280" w:type="dxa"/>
            <w:vAlign w:val="bottom"/>
          </w:tcPr>
          <w:p>
            <w:pPr>
              <w:jc w:val="center"/>
              <w:ind w:right="30"/>
              <w:spacing w:after="0"/>
              <w:rPr>
                <w:sz w:val="20"/>
                <w:szCs w:val="20"/>
                <w:color w:val="auto"/>
              </w:rPr>
            </w:pPr>
            <w:r>
              <w:rPr>
                <w:rFonts w:ascii="Arial" w:cs="Arial" w:eastAsia="Arial" w:hAnsi="Arial"/>
                <w:sz w:val="18"/>
                <w:szCs w:val="18"/>
                <w:color w:val="auto"/>
                <w:w w:val="88"/>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$0.66</w:t>
            </w:r>
          </w:p>
        </w:tc>
      </w:tr>
      <w:tr>
        <w:trPr>
          <w:trHeight w:val="257"/>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912,572</w:t>
            </w:r>
          </w:p>
        </w:tc>
        <w:tc>
          <w:tcPr>
            <w:tcW w:w="3280" w:type="dxa"/>
            <w:vAlign w:val="bottom"/>
          </w:tcPr>
          <w:p>
            <w:pPr>
              <w:jc w:val="center"/>
              <w:ind w:right="30"/>
              <w:spacing w:after="0"/>
              <w:rPr>
                <w:sz w:val="20"/>
                <w:szCs w:val="20"/>
                <w:color w:val="auto"/>
              </w:rPr>
            </w:pPr>
            <w:r>
              <w:rPr>
                <w:rFonts w:ascii="Arial" w:cs="Arial" w:eastAsia="Arial" w:hAnsi="Arial"/>
                <w:sz w:val="18"/>
                <w:szCs w:val="18"/>
                <w:color w:val="auto"/>
                <w:w w:val="88"/>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$0.82</w:t>
            </w:r>
          </w:p>
        </w:tc>
      </w:tr>
      <w:tr>
        <w:trPr>
          <w:trHeight w:val="270"/>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131,700</w:t>
            </w:r>
          </w:p>
        </w:tc>
        <w:tc>
          <w:tcPr>
            <w:tcW w:w="3280" w:type="dxa"/>
            <w:vAlign w:val="bottom"/>
          </w:tcPr>
          <w:p>
            <w:pPr>
              <w:jc w:val="center"/>
              <w:ind w:right="30"/>
              <w:spacing w:after="0"/>
              <w:rPr>
                <w:sz w:val="20"/>
                <w:szCs w:val="20"/>
                <w:color w:val="auto"/>
              </w:rPr>
            </w:pPr>
            <w:r>
              <w:rPr>
                <w:rFonts w:ascii="Arial" w:cs="Arial" w:eastAsia="Arial" w:hAnsi="Arial"/>
                <w:sz w:val="18"/>
                <w:szCs w:val="18"/>
                <w:color w:val="auto"/>
                <w:w w:val="88"/>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$0.80</w:t>
            </w:r>
          </w:p>
        </w:tc>
      </w:tr>
      <w:tr>
        <w:trPr>
          <w:trHeight w:val="256"/>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153,600</w:t>
            </w:r>
          </w:p>
        </w:tc>
        <w:tc>
          <w:tcPr>
            <w:tcW w:w="3280" w:type="dxa"/>
            <w:vAlign w:val="bottom"/>
          </w:tcPr>
          <w:p>
            <w:pPr>
              <w:jc w:val="center"/>
              <w:ind w:right="30"/>
              <w:spacing w:after="0"/>
              <w:rPr>
                <w:sz w:val="20"/>
                <w:szCs w:val="20"/>
                <w:color w:val="auto"/>
              </w:rPr>
            </w:pPr>
            <w:r>
              <w:rPr>
                <w:rFonts w:ascii="Arial" w:cs="Arial" w:eastAsia="Arial" w:hAnsi="Arial"/>
                <w:sz w:val="18"/>
                <w:szCs w:val="18"/>
                <w:color w:val="auto"/>
                <w:w w:val="88"/>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$0.79</w:t>
            </w:r>
          </w:p>
        </w:tc>
      </w:tr>
      <w:tr>
        <w:trPr>
          <w:trHeight w:val="270"/>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90"/>
              </w:rPr>
              <w:t>91,512</w:t>
            </w:r>
          </w:p>
        </w:tc>
        <w:tc>
          <w:tcPr>
            <w:tcW w:w="3280" w:type="dxa"/>
            <w:vAlign w:val="bottom"/>
          </w:tcPr>
          <w:p>
            <w:pPr>
              <w:jc w:val="center"/>
              <w:ind w:right="30"/>
              <w:spacing w:after="0"/>
              <w:rPr>
                <w:sz w:val="20"/>
                <w:szCs w:val="20"/>
                <w:color w:val="auto"/>
              </w:rPr>
            </w:pPr>
            <w:r>
              <w:rPr>
                <w:rFonts w:ascii="Arial" w:cs="Arial" w:eastAsia="Arial" w:hAnsi="Arial"/>
                <w:sz w:val="18"/>
                <w:szCs w:val="18"/>
                <w:color w:val="auto"/>
                <w:w w:val="88"/>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$0.76</w:t>
            </w:r>
          </w:p>
        </w:tc>
      </w:tr>
      <w:tr>
        <w:trPr>
          <w:trHeight w:val="257"/>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90"/>
              </w:rPr>
              <w:t>74,000</w:t>
            </w:r>
          </w:p>
        </w:tc>
        <w:tc>
          <w:tcPr>
            <w:tcW w:w="3280" w:type="dxa"/>
            <w:vAlign w:val="bottom"/>
          </w:tcPr>
          <w:p>
            <w:pPr>
              <w:jc w:val="center"/>
              <w:ind w:right="30"/>
              <w:spacing w:after="0"/>
              <w:rPr>
                <w:sz w:val="20"/>
                <w:szCs w:val="20"/>
                <w:color w:val="auto"/>
              </w:rPr>
            </w:pPr>
            <w:r>
              <w:rPr>
                <w:rFonts w:ascii="Arial" w:cs="Arial" w:eastAsia="Arial" w:hAnsi="Arial"/>
                <w:sz w:val="18"/>
                <w:szCs w:val="18"/>
                <w:color w:val="auto"/>
                <w:w w:val="88"/>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$0.75</w:t>
            </w:r>
          </w:p>
        </w:tc>
      </w:tr>
      <w:tr>
        <w:trPr>
          <w:trHeight w:val="269"/>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530,000</w:t>
            </w:r>
          </w:p>
        </w:tc>
        <w:tc>
          <w:tcPr>
            <w:tcW w:w="3280" w:type="dxa"/>
            <w:vAlign w:val="bottom"/>
          </w:tcPr>
          <w:p>
            <w:pPr>
              <w:jc w:val="center"/>
              <w:ind w:right="30"/>
              <w:spacing w:after="0"/>
              <w:rPr>
                <w:sz w:val="20"/>
                <w:szCs w:val="20"/>
                <w:color w:val="auto"/>
              </w:rPr>
            </w:pPr>
            <w:r>
              <w:rPr>
                <w:rFonts w:ascii="Arial" w:cs="Arial" w:eastAsia="Arial" w:hAnsi="Arial"/>
                <w:sz w:val="18"/>
                <w:szCs w:val="18"/>
                <w:color w:val="auto"/>
                <w:w w:val="88"/>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$0.70</w:t>
            </w:r>
          </w:p>
        </w:tc>
      </w:tr>
      <w:tr>
        <w:trPr>
          <w:trHeight w:val="257"/>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326,000</w:t>
            </w:r>
          </w:p>
        </w:tc>
        <w:tc>
          <w:tcPr>
            <w:tcW w:w="3280" w:type="dxa"/>
            <w:vAlign w:val="bottom"/>
          </w:tcPr>
          <w:p>
            <w:pPr>
              <w:jc w:val="center"/>
              <w:ind w:right="30"/>
              <w:spacing w:after="0"/>
              <w:rPr>
                <w:sz w:val="20"/>
                <w:szCs w:val="20"/>
                <w:color w:val="auto"/>
              </w:rPr>
            </w:pPr>
            <w:r>
              <w:rPr>
                <w:rFonts w:ascii="Arial" w:cs="Arial" w:eastAsia="Arial" w:hAnsi="Arial"/>
                <w:sz w:val="18"/>
                <w:szCs w:val="18"/>
                <w:color w:val="auto"/>
                <w:w w:val="88"/>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$0.70</w:t>
            </w:r>
          </w:p>
        </w:tc>
      </w:tr>
      <w:tr>
        <w:trPr>
          <w:trHeight w:val="269"/>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317,000</w:t>
            </w:r>
          </w:p>
        </w:tc>
        <w:tc>
          <w:tcPr>
            <w:tcW w:w="3280" w:type="dxa"/>
            <w:vAlign w:val="bottom"/>
          </w:tcPr>
          <w:p>
            <w:pPr>
              <w:jc w:val="center"/>
              <w:ind w:right="30"/>
              <w:spacing w:after="0"/>
              <w:rPr>
                <w:sz w:val="20"/>
                <w:szCs w:val="20"/>
                <w:color w:val="auto"/>
              </w:rPr>
            </w:pPr>
            <w:r>
              <w:rPr>
                <w:rFonts w:ascii="Arial" w:cs="Arial" w:eastAsia="Arial" w:hAnsi="Arial"/>
                <w:sz w:val="18"/>
                <w:szCs w:val="18"/>
                <w:color w:val="auto"/>
                <w:w w:val="88"/>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$0.67</w:t>
            </w:r>
          </w:p>
        </w:tc>
      </w:tr>
      <w:tr>
        <w:trPr>
          <w:trHeight w:val="257"/>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287,000</w:t>
            </w:r>
          </w:p>
        </w:tc>
        <w:tc>
          <w:tcPr>
            <w:tcW w:w="3280" w:type="dxa"/>
            <w:vAlign w:val="bottom"/>
          </w:tcPr>
          <w:p>
            <w:pPr>
              <w:jc w:val="center"/>
              <w:ind w:right="30"/>
              <w:spacing w:after="0"/>
              <w:rPr>
                <w:sz w:val="20"/>
                <w:szCs w:val="20"/>
                <w:color w:val="auto"/>
              </w:rPr>
            </w:pPr>
            <w:r>
              <w:rPr>
                <w:rFonts w:ascii="Arial" w:cs="Arial" w:eastAsia="Arial" w:hAnsi="Arial"/>
                <w:sz w:val="18"/>
                <w:szCs w:val="18"/>
                <w:color w:val="auto"/>
                <w:w w:val="88"/>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257"/>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224,000</w:t>
            </w:r>
          </w:p>
        </w:tc>
        <w:tc>
          <w:tcPr>
            <w:tcW w:w="3280" w:type="dxa"/>
            <w:vAlign w:val="bottom"/>
          </w:tcPr>
          <w:p>
            <w:pPr>
              <w:jc w:val="center"/>
              <w:ind w:right="30"/>
              <w:spacing w:after="0"/>
              <w:rPr>
                <w:sz w:val="20"/>
                <w:szCs w:val="20"/>
                <w:color w:val="auto"/>
              </w:rPr>
            </w:pPr>
            <w:r>
              <w:rPr>
                <w:rFonts w:ascii="Arial" w:cs="Arial" w:eastAsia="Arial" w:hAnsi="Arial"/>
                <w:sz w:val="18"/>
                <w:szCs w:val="18"/>
                <w:color w:val="auto"/>
                <w:w w:val="88"/>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270"/>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236,000</w:t>
            </w:r>
          </w:p>
        </w:tc>
        <w:tc>
          <w:tcPr>
            <w:tcW w:w="3280" w:type="dxa"/>
            <w:vAlign w:val="bottom"/>
          </w:tcPr>
          <w:p>
            <w:pPr>
              <w:jc w:val="center"/>
              <w:ind w:right="30"/>
              <w:spacing w:after="0"/>
              <w:rPr>
                <w:sz w:val="20"/>
                <w:szCs w:val="20"/>
                <w:color w:val="auto"/>
              </w:rPr>
            </w:pPr>
            <w:r>
              <w:rPr>
                <w:rFonts w:ascii="Arial" w:cs="Arial" w:eastAsia="Arial" w:hAnsi="Arial"/>
                <w:sz w:val="18"/>
                <w:szCs w:val="18"/>
                <w:color w:val="auto"/>
                <w:w w:val="88"/>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$0.63</w:t>
            </w:r>
          </w:p>
        </w:tc>
      </w:tr>
      <w:tr>
        <w:trPr>
          <w:trHeight w:val="256"/>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323,900</w:t>
            </w:r>
          </w:p>
        </w:tc>
        <w:tc>
          <w:tcPr>
            <w:tcW w:w="3280" w:type="dxa"/>
            <w:vAlign w:val="bottom"/>
          </w:tcPr>
          <w:p>
            <w:pPr>
              <w:jc w:val="center"/>
              <w:ind w:right="30"/>
              <w:spacing w:after="0"/>
              <w:rPr>
                <w:sz w:val="20"/>
                <w:szCs w:val="20"/>
                <w:color w:val="auto"/>
              </w:rPr>
            </w:pPr>
            <w:r>
              <w:rPr>
                <w:rFonts w:ascii="Arial" w:cs="Arial" w:eastAsia="Arial" w:hAnsi="Arial"/>
                <w:sz w:val="18"/>
                <w:szCs w:val="18"/>
                <w:color w:val="auto"/>
                <w:w w:val="88"/>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269"/>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372,300</w:t>
            </w:r>
          </w:p>
        </w:tc>
        <w:tc>
          <w:tcPr>
            <w:tcW w:w="3280" w:type="dxa"/>
            <w:vAlign w:val="bottom"/>
          </w:tcPr>
          <w:p>
            <w:pPr>
              <w:jc w:val="center"/>
              <w:ind w:right="30"/>
              <w:spacing w:after="0"/>
              <w:rPr>
                <w:sz w:val="20"/>
                <w:szCs w:val="20"/>
                <w:color w:val="auto"/>
              </w:rPr>
            </w:pPr>
            <w:r>
              <w:rPr>
                <w:rFonts w:ascii="Arial" w:cs="Arial" w:eastAsia="Arial" w:hAnsi="Arial"/>
                <w:sz w:val="18"/>
                <w:szCs w:val="18"/>
                <w:color w:val="auto"/>
                <w:w w:val="88"/>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257"/>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159,600</w:t>
            </w:r>
          </w:p>
        </w:tc>
        <w:tc>
          <w:tcPr>
            <w:tcW w:w="3280" w:type="dxa"/>
            <w:vAlign w:val="bottom"/>
          </w:tcPr>
          <w:p>
            <w:pPr>
              <w:jc w:val="center"/>
              <w:ind w:right="30"/>
              <w:spacing w:after="0"/>
              <w:rPr>
                <w:sz w:val="20"/>
                <w:szCs w:val="20"/>
                <w:color w:val="auto"/>
              </w:rPr>
            </w:pPr>
            <w:r>
              <w:rPr>
                <w:rFonts w:ascii="Arial" w:cs="Arial" w:eastAsia="Arial" w:hAnsi="Arial"/>
                <w:sz w:val="18"/>
                <w:szCs w:val="18"/>
                <w:color w:val="auto"/>
                <w:w w:val="88"/>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$0.62</w:t>
            </w:r>
          </w:p>
        </w:tc>
      </w:tr>
      <w:tr>
        <w:trPr>
          <w:trHeight w:val="269"/>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90"/>
              </w:rPr>
              <w:t>46,600</w:t>
            </w:r>
          </w:p>
        </w:tc>
        <w:tc>
          <w:tcPr>
            <w:tcW w:w="3280" w:type="dxa"/>
            <w:vAlign w:val="bottom"/>
          </w:tcPr>
          <w:p>
            <w:pPr>
              <w:jc w:val="center"/>
              <w:ind w:right="30"/>
              <w:spacing w:after="0"/>
              <w:rPr>
                <w:sz w:val="20"/>
                <w:szCs w:val="20"/>
                <w:color w:val="auto"/>
              </w:rPr>
            </w:pPr>
            <w:r>
              <w:rPr>
                <w:rFonts w:ascii="Arial" w:cs="Arial" w:eastAsia="Arial" w:hAnsi="Arial"/>
                <w:sz w:val="18"/>
                <w:szCs w:val="18"/>
                <w:color w:val="auto"/>
                <w:w w:val="88"/>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257"/>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90"/>
              </w:rPr>
              <w:t>11,465</w:t>
            </w:r>
          </w:p>
        </w:tc>
        <w:tc>
          <w:tcPr>
            <w:tcW w:w="3280" w:type="dxa"/>
            <w:vAlign w:val="bottom"/>
          </w:tcPr>
          <w:p>
            <w:pPr>
              <w:jc w:val="center"/>
              <w:ind w:right="30"/>
              <w:spacing w:after="0"/>
              <w:rPr>
                <w:sz w:val="20"/>
                <w:szCs w:val="20"/>
                <w:color w:val="auto"/>
              </w:rPr>
            </w:pPr>
            <w:r>
              <w:rPr>
                <w:rFonts w:ascii="Arial" w:cs="Arial" w:eastAsia="Arial" w:hAnsi="Arial"/>
                <w:sz w:val="18"/>
                <w:szCs w:val="18"/>
                <w:color w:val="auto"/>
                <w:w w:val="88"/>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$0.63</w:t>
            </w:r>
          </w:p>
        </w:tc>
      </w:tr>
      <w:tr>
        <w:trPr>
          <w:trHeight w:val="257"/>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90"/>
              </w:rPr>
              <w:t>87,584</w:t>
            </w:r>
          </w:p>
        </w:tc>
        <w:tc>
          <w:tcPr>
            <w:tcW w:w="3280" w:type="dxa"/>
            <w:vAlign w:val="bottom"/>
          </w:tcPr>
          <w:p>
            <w:pPr>
              <w:jc w:val="center"/>
              <w:ind w:right="30"/>
              <w:spacing w:after="0"/>
              <w:rPr>
                <w:sz w:val="20"/>
                <w:szCs w:val="20"/>
                <w:color w:val="auto"/>
              </w:rPr>
            </w:pPr>
            <w:r>
              <w:rPr>
                <w:rFonts w:ascii="Arial" w:cs="Arial" w:eastAsia="Arial" w:hAnsi="Arial"/>
                <w:sz w:val="18"/>
                <w:szCs w:val="18"/>
                <w:color w:val="auto"/>
                <w:w w:val="88"/>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$0.62</w:t>
            </w:r>
          </w:p>
        </w:tc>
      </w:tr>
      <w:tr>
        <w:trPr>
          <w:trHeight w:val="270"/>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293,648</w:t>
            </w:r>
          </w:p>
        </w:tc>
        <w:tc>
          <w:tcPr>
            <w:tcW w:w="3280" w:type="dxa"/>
            <w:vAlign w:val="bottom"/>
          </w:tcPr>
          <w:p>
            <w:pPr>
              <w:jc w:val="center"/>
              <w:ind w:right="30"/>
              <w:spacing w:after="0"/>
              <w:rPr>
                <w:sz w:val="20"/>
                <w:szCs w:val="20"/>
                <w:color w:val="auto"/>
              </w:rPr>
            </w:pPr>
            <w:r>
              <w:rPr>
                <w:rFonts w:ascii="Arial" w:cs="Arial" w:eastAsia="Arial" w:hAnsi="Arial"/>
                <w:sz w:val="18"/>
                <w:szCs w:val="18"/>
                <w:color w:val="auto"/>
                <w:w w:val="88"/>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$0.62</w:t>
            </w:r>
          </w:p>
        </w:tc>
      </w:tr>
      <w:tr>
        <w:trPr>
          <w:trHeight w:val="256"/>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344,000</w:t>
            </w:r>
          </w:p>
        </w:tc>
        <w:tc>
          <w:tcPr>
            <w:tcW w:w="3280" w:type="dxa"/>
            <w:vAlign w:val="bottom"/>
          </w:tcPr>
          <w:p>
            <w:pPr>
              <w:jc w:val="center"/>
              <w:ind w:right="30"/>
              <w:spacing w:after="0"/>
              <w:rPr>
                <w:sz w:val="20"/>
                <w:szCs w:val="20"/>
                <w:color w:val="auto"/>
              </w:rPr>
            </w:pPr>
            <w:r>
              <w:rPr>
                <w:rFonts w:ascii="Arial" w:cs="Arial" w:eastAsia="Arial" w:hAnsi="Arial"/>
                <w:sz w:val="18"/>
                <w:szCs w:val="18"/>
                <w:color w:val="auto"/>
                <w:w w:val="88"/>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$0.60</w:t>
            </w:r>
          </w:p>
        </w:tc>
      </w:tr>
      <w:tr>
        <w:trPr>
          <w:trHeight w:val="270"/>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120,339</w:t>
            </w:r>
          </w:p>
        </w:tc>
        <w:tc>
          <w:tcPr>
            <w:tcW w:w="3280" w:type="dxa"/>
            <w:vAlign w:val="bottom"/>
          </w:tcPr>
          <w:p>
            <w:pPr>
              <w:jc w:val="center"/>
              <w:ind w:right="30"/>
              <w:spacing w:after="0"/>
              <w:rPr>
                <w:sz w:val="20"/>
                <w:szCs w:val="20"/>
                <w:color w:val="auto"/>
              </w:rPr>
            </w:pPr>
            <w:r>
              <w:rPr>
                <w:rFonts w:ascii="Arial" w:cs="Arial" w:eastAsia="Arial" w:hAnsi="Arial"/>
                <w:sz w:val="18"/>
                <w:szCs w:val="18"/>
                <w:color w:val="auto"/>
                <w:w w:val="88"/>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$0.59</w:t>
            </w:r>
          </w:p>
        </w:tc>
      </w:tr>
      <w:tr>
        <w:trPr>
          <w:trHeight w:val="257"/>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235,400</w:t>
            </w:r>
          </w:p>
        </w:tc>
        <w:tc>
          <w:tcPr>
            <w:tcW w:w="3280" w:type="dxa"/>
            <w:vAlign w:val="bottom"/>
          </w:tcPr>
          <w:p>
            <w:pPr>
              <w:jc w:val="center"/>
              <w:ind w:right="30"/>
              <w:spacing w:after="0"/>
              <w:rPr>
                <w:sz w:val="20"/>
                <w:szCs w:val="20"/>
                <w:color w:val="auto"/>
              </w:rPr>
            </w:pPr>
            <w:r>
              <w:rPr>
                <w:rFonts w:ascii="Arial" w:cs="Arial" w:eastAsia="Arial" w:hAnsi="Arial"/>
                <w:sz w:val="18"/>
                <w:szCs w:val="18"/>
                <w:color w:val="auto"/>
                <w:w w:val="88"/>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$0.59</w:t>
            </w:r>
          </w:p>
        </w:tc>
      </w:tr>
      <w:tr>
        <w:trPr>
          <w:trHeight w:val="269"/>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222,437</w:t>
            </w:r>
          </w:p>
        </w:tc>
        <w:tc>
          <w:tcPr>
            <w:tcW w:w="3280" w:type="dxa"/>
            <w:vAlign w:val="bottom"/>
          </w:tcPr>
          <w:p>
            <w:pPr>
              <w:jc w:val="center"/>
              <w:ind w:right="30"/>
              <w:spacing w:after="0"/>
              <w:rPr>
                <w:sz w:val="20"/>
                <w:szCs w:val="20"/>
                <w:color w:val="auto"/>
              </w:rPr>
            </w:pPr>
            <w:r>
              <w:rPr>
                <w:rFonts w:ascii="Arial" w:cs="Arial" w:eastAsia="Arial" w:hAnsi="Arial"/>
                <w:sz w:val="18"/>
                <w:szCs w:val="18"/>
                <w:color w:val="auto"/>
                <w:w w:val="88"/>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$0.58</w:t>
            </w:r>
          </w:p>
        </w:tc>
      </w:tr>
      <w:tr>
        <w:trPr>
          <w:trHeight w:val="216"/>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200,000</w:t>
            </w:r>
          </w:p>
        </w:tc>
        <w:tc>
          <w:tcPr>
            <w:tcW w:w="3280" w:type="dxa"/>
            <w:vAlign w:val="bottom"/>
          </w:tcPr>
          <w:p>
            <w:pPr>
              <w:jc w:val="center"/>
              <w:ind w:right="10"/>
              <w:spacing w:after="0"/>
              <w:rPr>
                <w:sz w:val="20"/>
                <w:szCs w:val="20"/>
                <w:color w:val="auto"/>
              </w:rPr>
            </w:pPr>
            <w:r>
              <w:rPr>
                <w:rFonts w:ascii="Arial" w:cs="Arial" w:eastAsia="Arial" w:hAnsi="Arial"/>
                <w:sz w:val="18"/>
                <w:szCs w:val="18"/>
                <w:color w:val="auto"/>
                <w:w w:val="93"/>
              </w:rPr>
              <w:t>Options</w:t>
            </w:r>
          </w:p>
        </w:tc>
        <w:tc>
          <w:tcPr>
            <w:tcW w:w="1480" w:type="dxa"/>
            <w:vAlign w:val="bottom"/>
          </w:tcPr>
          <w:p>
            <w:pPr>
              <w:jc w:val="right"/>
              <w:spacing w:after="0"/>
              <w:rPr>
                <w:sz w:val="20"/>
                <w:szCs w:val="20"/>
                <w:color w:val="auto"/>
              </w:rPr>
            </w:pPr>
            <w:r>
              <w:rPr>
                <w:rFonts w:ascii="Arial" w:cs="Arial" w:eastAsia="Arial" w:hAnsi="Arial"/>
                <w:sz w:val="18"/>
                <w:szCs w:val="18"/>
                <w:color w:val="auto"/>
              </w:rPr>
              <w:t>$0.91</w:t>
            </w:r>
          </w:p>
        </w:tc>
      </w:tr>
      <w:tr>
        <w:trPr>
          <w:trHeight w:val="216"/>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375,000</w:t>
            </w:r>
          </w:p>
        </w:tc>
        <w:tc>
          <w:tcPr>
            <w:tcW w:w="3280" w:type="dxa"/>
            <w:vAlign w:val="bottom"/>
          </w:tcPr>
          <w:p>
            <w:pPr>
              <w:jc w:val="center"/>
              <w:ind w:right="10"/>
              <w:spacing w:after="0"/>
              <w:rPr>
                <w:sz w:val="20"/>
                <w:szCs w:val="20"/>
                <w:color w:val="auto"/>
              </w:rPr>
            </w:pPr>
            <w:r>
              <w:rPr>
                <w:rFonts w:ascii="Arial" w:cs="Arial" w:eastAsia="Arial" w:hAnsi="Arial"/>
                <w:sz w:val="18"/>
                <w:szCs w:val="18"/>
                <w:color w:val="auto"/>
                <w:w w:val="93"/>
              </w:rPr>
              <w:t>Options</w:t>
            </w:r>
          </w:p>
        </w:tc>
        <w:tc>
          <w:tcPr>
            <w:tcW w:w="1480" w:type="dxa"/>
            <w:vAlign w:val="bottom"/>
          </w:tcPr>
          <w:p>
            <w:pPr>
              <w:jc w:val="right"/>
              <w:spacing w:after="0"/>
              <w:rPr>
                <w:sz w:val="20"/>
                <w:szCs w:val="20"/>
                <w:color w:val="auto"/>
              </w:rPr>
            </w:pPr>
            <w:r>
              <w:rPr>
                <w:rFonts w:ascii="Arial" w:cs="Arial" w:eastAsia="Arial" w:hAnsi="Arial"/>
                <w:sz w:val="18"/>
                <w:szCs w:val="18"/>
                <w:color w:val="auto"/>
              </w:rPr>
              <w:t>$0.75</w:t>
            </w:r>
          </w:p>
        </w:tc>
      </w:tr>
      <w:tr>
        <w:trPr>
          <w:trHeight w:val="257"/>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156,574</w:t>
            </w:r>
          </w:p>
        </w:tc>
        <w:tc>
          <w:tcPr>
            <w:tcW w:w="3280" w:type="dxa"/>
            <w:vAlign w:val="bottom"/>
          </w:tcPr>
          <w:p>
            <w:pPr>
              <w:jc w:val="center"/>
              <w:ind w:right="30"/>
              <w:spacing w:after="0"/>
              <w:rPr>
                <w:sz w:val="20"/>
                <w:szCs w:val="20"/>
                <w:color w:val="auto"/>
              </w:rPr>
            </w:pPr>
            <w:r>
              <w:rPr>
                <w:rFonts w:ascii="Arial" w:cs="Arial" w:eastAsia="Arial" w:hAnsi="Arial"/>
                <w:sz w:val="18"/>
                <w:szCs w:val="18"/>
                <w:color w:val="auto"/>
                <w:w w:val="88"/>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$0.55</w:t>
            </w:r>
          </w:p>
        </w:tc>
      </w:tr>
      <w:tr>
        <w:trPr>
          <w:trHeight w:val="269"/>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350,300</w:t>
            </w:r>
          </w:p>
        </w:tc>
        <w:tc>
          <w:tcPr>
            <w:tcW w:w="3280" w:type="dxa"/>
            <w:vAlign w:val="bottom"/>
          </w:tcPr>
          <w:p>
            <w:pPr>
              <w:jc w:val="center"/>
              <w:ind w:right="30"/>
              <w:spacing w:after="0"/>
              <w:rPr>
                <w:sz w:val="20"/>
                <w:szCs w:val="20"/>
                <w:color w:val="auto"/>
              </w:rPr>
            </w:pPr>
            <w:r>
              <w:rPr>
                <w:rFonts w:ascii="Arial" w:cs="Arial" w:eastAsia="Arial" w:hAnsi="Arial"/>
                <w:sz w:val="18"/>
                <w:szCs w:val="18"/>
                <w:color w:val="auto"/>
                <w:w w:val="88"/>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$0.55</w:t>
            </w:r>
          </w:p>
        </w:tc>
      </w:tr>
      <w:tr>
        <w:trPr>
          <w:trHeight w:val="257"/>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102,928</w:t>
            </w:r>
          </w:p>
        </w:tc>
        <w:tc>
          <w:tcPr>
            <w:tcW w:w="3280" w:type="dxa"/>
            <w:vAlign w:val="bottom"/>
          </w:tcPr>
          <w:p>
            <w:pPr>
              <w:jc w:val="center"/>
              <w:ind w:right="30"/>
              <w:spacing w:after="0"/>
              <w:rPr>
                <w:sz w:val="20"/>
                <w:szCs w:val="20"/>
                <w:color w:val="auto"/>
              </w:rPr>
            </w:pPr>
            <w:r>
              <w:rPr>
                <w:rFonts w:ascii="Arial" w:cs="Arial" w:eastAsia="Arial" w:hAnsi="Arial"/>
                <w:sz w:val="18"/>
                <w:szCs w:val="18"/>
                <w:color w:val="auto"/>
                <w:w w:val="88"/>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$0.49</w:t>
            </w:r>
          </w:p>
        </w:tc>
      </w:tr>
      <w:tr>
        <w:trPr>
          <w:trHeight w:val="256"/>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230,000</w:t>
            </w:r>
          </w:p>
        </w:tc>
        <w:tc>
          <w:tcPr>
            <w:tcW w:w="3280" w:type="dxa"/>
            <w:vAlign w:val="bottom"/>
          </w:tcPr>
          <w:p>
            <w:pPr>
              <w:jc w:val="center"/>
              <w:ind w:right="30"/>
              <w:spacing w:after="0"/>
              <w:rPr>
                <w:sz w:val="20"/>
                <w:szCs w:val="20"/>
                <w:color w:val="auto"/>
              </w:rPr>
            </w:pPr>
            <w:r>
              <w:rPr>
                <w:rFonts w:ascii="Arial" w:cs="Arial" w:eastAsia="Arial" w:hAnsi="Arial"/>
                <w:sz w:val="18"/>
                <w:szCs w:val="18"/>
                <w:color w:val="auto"/>
                <w:w w:val="88"/>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$0.48</w:t>
            </w:r>
          </w:p>
        </w:tc>
      </w:tr>
      <w:tr>
        <w:trPr>
          <w:trHeight w:val="270"/>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293,644</w:t>
            </w:r>
          </w:p>
        </w:tc>
        <w:tc>
          <w:tcPr>
            <w:tcW w:w="3280" w:type="dxa"/>
            <w:vAlign w:val="bottom"/>
          </w:tcPr>
          <w:p>
            <w:pPr>
              <w:jc w:val="center"/>
              <w:ind w:right="30"/>
              <w:spacing w:after="0"/>
              <w:rPr>
                <w:sz w:val="20"/>
                <w:szCs w:val="20"/>
                <w:color w:val="auto"/>
              </w:rPr>
            </w:pPr>
            <w:r>
              <w:rPr>
                <w:rFonts w:ascii="Arial" w:cs="Arial" w:eastAsia="Arial" w:hAnsi="Arial"/>
                <w:sz w:val="18"/>
                <w:szCs w:val="18"/>
                <w:color w:val="auto"/>
                <w:w w:val="88"/>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$0.47</w:t>
            </w:r>
          </w:p>
        </w:tc>
      </w:tr>
      <w:tr>
        <w:trPr>
          <w:trHeight w:val="257"/>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192,600</w:t>
            </w:r>
          </w:p>
        </w:tc>
        <w:tc>
          <w:tcPr>
            <w:tcW w:w="3280" w:type="dxa"/>
            <w:vAlign w:val="bottom"/>
          </w:tcPr>
          <w:p>
            <w:pPr>
              <w:jc w:val="center"/>
              <w:ind w:right="30"/>
              <w:spacing w:after="0"/>
              <w:rPr>
                <w:sz w:val="20"/>
                <w:szCs w:val="20"/>
                <w:color w:val="auto"/>
              </w:rPr>
            </w:pPr>
            <w:r>
              <w:rPr>
                <w:rFonts w:ascii="Arial" w:cs="Arial" w:eastAsia="Arial" w:hAnsi="Arial"/>
                <w:sz w:val="18"/>
                <w:szCs w:val="18"/>
                <w:color w:val="auto"/>
                <w:w w:val="88"/>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$0.46</w:t>
            </w:r>
          </w:p>
        </w:tc>
      </w:tr>
      <w:tr>
        <w:trPr>
          <w:trHeight w:val="269"/>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90"/>
              </w:rPr>
              <w:t>12,922</w:t>
            </w:r>
          </w:p>
        </w:tc>
        <w:tc>
          <w:tcPr>
            <w:tcW w:w="3280" w:type="dxa"/>
            <w:vAlign w:val="bottom"/>
          </w:tcPr>
          <w:p>
            <w:pPr>
              <w:jc w:val="center"/>
              <w:ind w:right="30"/>
              <w:spacing w:after="0"/>
              <w:rPr>
                <w:sz w:val="20"/>
                <w:szCs w:val="20"/>
                <w:color w:val="auto"/>
              </w:rPr>
            </w:pPr>
            <w:r>
              <w:rPr>
                <w:rFonts w:ascii="Arial" w:cs="Arial" w:eastAsia="Arial" w:hAnsi="Arial"/>
                <w:sz w:val="18"/>
                <w:szCs w:val="18"/>
                <w:color w:val="auto"/>
                <w:w w:val="88"/>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$0.47</w:t>
            </w:r>
          </w:p>
        </w:tc>
      </w:tr>
      <w:tr>
        <w:trPr>
          <w:trHeight w:val="257"/>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163,000</w:t>
            </w:r>
          </w:p>
        </w:tc>
        <w:tc>
          <w:tcPr>
            <w:tcW w:w="3280" w:type="dxa"/>
            <w:vAlign w:val="bottom"/>
          </w:tcPr>
          <w:p>
            <w:pPr>
              <w:jc w:val="center"/>
              <w:ind w:right="30"/>
              <w:spacing w:after="0"/>
              <w:rPr>
                <w:sz w:val="20"/>
                <w:szCs w:val="20"/>
                <w:color w:val="auto"/>
              </w:rPr>
            </w:pPr>
            <w:r>
              <w:rPr>
                <w:rFonts w:ascii="Arial" w:cs="Arial" w:eastAsia="Arial" w:hAnsi="Arial"/>
                <w:sz w:val="18"/>
                <w:szCs w:val="18"/>
                <w:color w:val="auto"/>
                <w:w w:val="88"/>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$0.68</w:t>
            </w:r>
          </w:p>
        </w:tc>
      </w:tr>
      <w:tr>
        <w:trPr>
          <w:trHeight w:val="269"/>
        </w:trPr>
        <w:tc>
          <w:tcPr>
            <w:tcW w:w="1700" w:type="dxa"/>
            <w:vAlign w:val="bottom"/>
          </w:tcPr>
          <w:p>
            <w:pPr>
              <w:jc w:val="center"/>
              <w:ind w:right="890"/>
              <w:spacing w:after="0"/>
              <w:rPr>
                <w:sz w:val="20"/>
                <w:szCs w:val="20"/>
                <w:color w:val="auto"/>
              </w:rPr>
            </w:pPr>
            <w:r>
              <w:rPr>
                <w:rFonts w:ascii="Arial" w:cs="Arial" w:eastAsia="Arial" w:hAnsi="Arial"/>
                <w:sz w:val="18"/>
                <w:szCs w:val="18"/>
                <w:color w:val="auto"/>
                <w:w w:val="89"/>
              </w:rPr>
              <w:t>5,089,648</w:t>
            </w:r>
          </w:p>
        </w:tc>
        <w:tc>
          <w:tcPr>
            <w:tcW w:w="3280" w:type="dxa"/>
            <w:vAlign w:val="bottom"/>
          </w:tcPr>
          <w:p>
            <w:pPr>
              <w:jc w:val="center"/>
              <w:ind w:right="30"/>
              <w:spacing w:after="0"/>
              <w:rPr>
                <w:sz w:val="20"/>
                <w:szCs w:val="20"/>
                <w:color w:val="auto"/>
              </w:rPr>
            </w:pPr>
            <w:r>
              <w:rPr>
                <w:rFonts w:ascii="Arial" w:cs="Arial" w:eastAsia="Arial" w:hAnsi="Arial"/>
                <w:sz w:val="18"/>
                <w:szCs w:val="18"/>
                <w:color w:val="auto"/>
                <w:w w:val="88"/>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$0.63</w:t>
            </w:r>
          </w:p>
        </w:tc>
      </w:tr>
      <w:tr>
        <w:trPr>
          <w:trHeight w:val="257"/>
        </w:trPr>
        <w:tc>
          <w:tcPr>
            <w:tcW w:w="1700" w:type="dxa"/>
            <w:vAlign w:val="bottom"/>
          </w:tcPr>
          <w:p>
            <w:pPr>
              <w:jc w:val="center"/>
              <w:ind w:right="890"/>
              <w:spacing w:after="0"/>
              <w:rPr>
                <w:sz w:val="20"/>
                <w:szCs w:val="20"/>
                <w:color w:val="auto"/>
              </w:rPr>
            </w:pPr>
            <w:r>
              <w:rPr>
                <w:rFonts w:ascii="Arial" w:cs="Arial" w:eastAsia="Arial" w:hAnsi="Arial"/>
                <w:sz w:val="18"/>
                <w:szCs w:val="18"/>
                <w:color w:val="auto"/>
                <w:w w:val="89"/>
              </w:rPr>
              <w:t>1,200,000</w:t>
            </w:r>
          </w:p>
        </w:tc>
        <w:tc>
          <w:tcPr>
            <w:tcW w:w="3280" w:type="dxa"/>
            <w:vAlign w:val="bottom"/>
          </w:tcPr>
          <w:p>
            <w:pPr>
              <w:jc w:val="center"/>
              <w:ind w:right="30"/>
              <w:spacing w:after="0"/>
              <w:rPr>
                <w:sz w:val="20"/>
                <w:szCs w:val="20"/>
                <w:color w:val="auto"/>
              </w:rPr>
            </w:pPr>
            <w:r>
              <w:rPr>
                <w:rFonts w:ascii="Arial" w:cs="Arial" w:eastAsia="Arial" w:hAnsi="Arial"/>
                <w:sz w:val="18"/>
                <w:szCs w:val="18"/>
                <w:color w:val="auto"/>
                <w:w w:val="88"/>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$0.57</w:t>
            </w:r>
          </w:p>
        </w:tc>
      </w:tr>
      <w:tr>
        <w:trPr>
          <w:trHeight w:val="256"/>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200,000</w:t>
            </w:r>
          </w:p>
        </w:tc>
        <w:tc>
          <w:tcPr>
            <w:tcW w:w="3280" w:type="dxa"/>
            <w:vAlign w:val="bottom"/>
          </w:tcPr>
          <w:p>
            <w:pPr>
              <w:jc w:val="center"/>
              <w:ind w:right="30"/>
              <w:spacing w:after="0"/>
              <w:rPr>
                <w:sz w:val="20"/>
                <w:szCs w:val="20"/>
                <w:color w:val="auto"/>
              </w:rPr>
            </w:pPr>
            <w:r>
              <w:rPr>
                <w:rFonts w:ascii="Arial" w:cs="Arial" w:eastAsia="Arial" w:hAnsi="Arial"/>
                <w:sz w:val="18"/>
                <w:szCs w:val="18"/>
                <w:color w:val="auto"/>
                <w:w w:val="88"/>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$0.57</w:t>
            </w:r>
          </w:p>
        </w:tc>
      </w:tr>
      <w:tr>
        <w:trPr>
          <w:trHeight w:val="270"/>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150,000</w:t>
            </w:r>
          </w:p>
        </w:tc>
        <w:tc>
          <w:tcPr>
            <w:tcW w:w="3280" w:type="dxa"/>
            <w:vAlign w:val="bottom"/>
          </w:tcPr>
          <w:p>
            <w:pPr>
              <w:jc w:val="center"/>
              <w:ind w:right="30"/>
              <w:spacing w:after="0"/>
              <w:rPr>
                <w:sz w:val="20"/>
                <w:szCs w:val="20"/>
                <w:color w:val="auto"/>
              </w:rPr>
            </w:pPr>
            <w:r>
              <w:rPr>
                <w:rFonts w:ascii="Arial" w:cs="Arial" w:eastAsia="Arial" w:hAnsi="Arial"/>
                <w:sz w:val="18"/>
                <w:szCs w:val="18"/>
                <w:color w:val="auto"/>
                <w:w w:val="88"/>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$0.59</w:t>
            </w:r>
          </w:p>
        </w:tc>
      </w:tr>
      <w:tr>
        <w:trPr>
          <w:trHeight w:val="257"/>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270,000</w:t>
            </w:r>
          </w:p>
        </w:tc>
        <w:tc>
          <w:tcPr>
            <w:tcW w:w="3280" w:type="dxa"/>
            <w:vAlign w:val="bottom"/>
          </w:tcPr>
          <w:p>
            <w:pPr>
              <w:jc w:val="center"/>
              <w:ind w:right="30"/>
              <w:spacing w:after="0"/>
              <w:rPr>
                <w:sz w:val="20"/>
                <w:szCs w:val="20"/>
                <w:color w:val="auto"/>
              </w:rPr>
            </w:pPr>
            <w:r>
              <w:rPr>
                <w:rFonts w:ascii="Arial" w:cs="Arial" w:eastAsia="Arial" w:hAnsi="Arial"/>
                <w:sz w:val="18"/>
                <w:szCs w:val="18"/>
                <w:color w:val="auto"/>
                <w:w w:val="88"/>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$0.57</w:t>
            </w:r>
          </w:p>
        </w:tc>
      </w:tr>
      <w:tr>
        <w:trPr>
          <w:trHeight w:val="270"/>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171,900</w:t>
            </w:r>
          </w:p>
        </w:tc>
        <w:tc>
          <w:tcPr>
            <w:tcW w:w="3280" w:type="dxa"/>
            <w:vAlign w:val="bottom"/>
          </w:tcPr>
          <w:p>
            <w:pPr>
              <w:jc w:val="center"/>
              <w:ind w:right="30"/>
              <w:spacing w:after="0"/>
              <w:rPr>
                <w:sz w:val="20"/>
                <w:szCs w:val="20"/>
                <w:color w:val="auto"/>
              </w:rPr>
            </w:pPr>
            <w:r>
              <w:rPr>
                <w:rFonts w:ascii="Arial" w:cs="Arial" w:eastAsia="Arial" w:hAnsi="Arial"/>
                <w:sz w:val="18"/>
                <w:szCs w:val="18"/>
                <w:color w:val="auto"/>
                <w:w w:val="88"/>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$0.57</w:t>
            </w:r>
          </w:p>
        </w:tc>
      </w:tr>
      <w:tr>
        <w:trPr>
          <w:trHeight w:val="256"/>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286,000</w:t>
            </w:r>
          </w:p>
        </w:tc>
        <w:tc>
          <w:tcPr>
            <w:tcW w:w="3280" w:type="dxa"/>
            <w:vAlign w:val="bottom"/>
          </w:tcPr>
          <w:p>
            <w:pPr>
              <w:jc w:val="center"/>
              <w:ind w:right="30"/>
              <w:spacing w:after="0"/>
              <w:rPr>
                <w:sz w:val="20"/>
                <w:szCs w:val="20"/>
                <w:color w:val="auto"/>
              </w:rPr>
            </w:pPr>
            <w:r>
              <w:rPr>
                <w:rFonts w:ascii="Arial" w:cs="Arial" w:eastAsia="Arial" w:hAnsi="Arial"/>
                <w:sz w:val="18"/>
                <w:szCs w:val="18"/>
                <w:color w:val="auto"/>
                <w:w w:val="88"/>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$0.53</w:t>
            </w:r>
          </w:p>
        </w:tc>
      </w:tr>
      <w:tr>
        <w:trPr>
          <w:trHeight w:val="269"/>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266,000</w:t>
            </w:r>
          </w:p>
        </w:tc>
        <w:tc>
          <w:tcPr>
            <w:tcW w:w="3280" w:type="dxa"/>
            <w:vAlign w:val="bottom"/>
          </w:tcPr>
          <w:p>
            <w:pPr>
              <w:jc w:val="center"/>
              <w:ind w:right="30"/>
              <w:spacing w:after="0"/>
              <w:rPr>
                <w:sz w:val="20"/>
                <w:szCs w:val="20"/>
                <w:color w:val="auto"/>
              </w:rPr>
            </w:pPr>
            <w:r>
              <w:rPr>
                <w:rFonts w:ascii="Arial" w:cs="Arial" w:eastAsia="Arial" w:hAnsi="Arial"/>
                <w:sz w:val="18"/>
                <w:szCs w:val="18"/>
                <w:color w:val="auto"/>
                <w:w w:val="88"/>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257"/>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333,000</w:t>
            </w:r>
          </w:p>
        </w:tc>
        <w:tc>
          <w:tcPr>
            <w:tcW w:w="3280" w:type="dxa"/>
            <w:vAlign w:val="bottom"/>
          </w:tcPr>
          <w:p>
            <w:pPr>
              <w:jc w:val="center"/>
              <w:ind w:right="30"/>
              <w:spacing w:after="0"/>
              <w:rPr>
                <w:sz w:val="20"/>
                <w:szCs w:val="20"/>
                <w:color w:val="auto"/>
              </w:rPr>
            </w:pPr>
            <w:r>
              <w:rPr>
                <w:rFonts w:ascii="Arial" w:cs="Arial" w:eastAsia="Arial" w:hAnsi="Arial"/>
                <w:sz w:val="18"/>
                <w:szCs w:val="18"/>
                <w:color w:val="auto"/>
                <w:w w:val="88"/>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$0.52</w:t>
            </w:r>
          </w:p>
        </w:tc>
      </w:tr>
      <w:tr>
        <w:trPr>
          <w:trHeight w:val="270"/>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235,000</w:t>
            </w:r>
          </w:p>
        </w:tc>
        <w:tc>
          <w:tcPr>
            <w:tcW w:w="3280" w:type="dxa"/>
            <w:vAlign w:val="bottom"/>
          </w:tcPr>
          <w:p>
            <w:pPr>
              <w:jc w:val="center"/>
              <w:ind w:right="30"/>
              <w:spacing w:after="0"/>
              <w:rPr>
                <w:sz w:val="20"/>
                <w:szCs w:val="20"/>
                <w:color w:val="auto"/>
              </w:rPr>
            </w:pPr>
            <w:r>
              <w:rPr>
                <w:rFonts w:ascii="Arial" w:cs="Arial" w:eastAsia="Arial" w:hAnsi="Arial"/>
                <w:sz w:val="18"/>
                <w:szCs w:val="18"/>
                <w:color w:val="auto"/>
                <w:w w:val="88"/>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-7868920</wp:posOffset>
            </wp:positionV>
            <wp:extent cx="7132320" cy="163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-7568565</wp:posOffset>
            </wp:positionV>
            <wp:extent cx="71323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-7259955</wp:posOffset>
            </wp:positionV>
            <wp:extent cx="7132320" cy="163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-6925945</wp:posOffset>
            </wp:positionV>
            <wp:extent cx="7132320"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-6591300</wp:posOffset>
            </wp:positionV>
            <wp:extent cx="7132320"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-6257290</wp:posOffset>
            </wp:positionV>
            <wp:extent cx="7132320" cy="162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-5931535</wp:posOffset>
            </wp:positionV>
            <wp:extent cx="71323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-5596890</wp:posOffset>
            </wp:positionV>
            <wp:extent cx="71323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-5262880</wp:posOffset>
            </wp:positionV>
            <wp:extent cx="71323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-4928235</wp:posOffset>
            </wp:positionV>
            <wp:extent cx="7132320" cy="1625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-4594225</wp:posOffset>
            </wp:positionV>
            <wp:extent cx="7132320" cy="163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-4259580</wp:posOffset>
            </wp:positionV>
            <wp:extent cx="7132320"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-3925570</wp:posOffset>
            </wp:positionV>
            <wp:extent cx="7132320" cy="1625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-3591560</wp:posOffset>
            </wp:positionV>
            <wp:extent cx="713232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-3265170</wp:posOffset>
            </wp:positionV>
            <wp:extent cx="71323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-2990850</wp:posOffset>
            </wp:positionV>
            <wp:extent cx="71323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-2656840</wp:posOffset>
            </wp:positionV>
            <wp:extent cx="71323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-2322195</wp:posOffset>
            </wp:positionV>
            <wp:extent cx="71323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-1988185</wp:posOffset>
            </wp:positionV>
            <wp:extent cx="7132320" cy="1631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-1653540</wp:posOffset>
            </wp:positionV>
            <wp:extent cx="7132320" cy="162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-1319530</wp:posOffset>
            </wp:positionV>
            <wp:extent cx="7132320" cy="1631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-984885</wp:posOffset>
            </wp:positionV>
            <wp:extent cx="7132320" cy="162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-650875</wp:posOffset>
            </wp:positionV>
            <wp:extent cx="7132320" cy="162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-325120</wp:posOffset>
            </wp:positionV>
            <wp:extent cx="71323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-2193290</wp:posOffset>
            </wp:positionH>
            <wp:positionV relativeFrom="paragraph">
              <wp:posOffset>142240</wp:posOffset>
            </wp:positionV>
            <wp:extent cx="7153275" cy="469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2">
            <w:col w:w="2740" w:space="720"/>
            <w:col w:w="6679"/>
          </w:cols>
          <w:pgMar w:left="320" w:top="365" w:right="1440" w:bottom="144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t>February 1, 2023</w:t>
      </w:r>
      <w:r>
        <w:rPr>
          <w:rFonts w:ascii="Arial" w:cs="Arial" w:eastAsia="Arial" w:hAnsi="Arial"/>
          <w:sz w:val="26"/>
          <w:szCs w:val="26"/>
          <w:color w:val="auto"/>
          <w:vertAlign w:val="superscript"/>
        </w:rPr>
        <w:t>(6)</w:t>
      </w:r>
    </w:p>
    <w:p>
      <w:pPr>
        <w:spacing w:after="0" w:line="216" w:lineRule="auto"/>
        <w:rPr>
          <w:sz w:val="20"/>
          <w:szCs w:val="20"/>
          <w:color w:val="auto"/>
        </w:rPr>
      </w:pPr>
      <w:r>
        <w:rPr>
          <w:rFonts w:ascii="Arial" w:cs="Arial" w:eastAsia="Arial" w:hAnsi="Arial"/>
          <w:sz w:val="16"/>
          <w:szCs w:val="16"/>
          <w:color w:val="auto"/>
        </w:rPr>
        <w:t>February 2, 2023</w:t>
      </w:r>
      <w:r>
        <w:rPr>
          <w:rFonts w:ascii="Arial" w:cs="Arial" w:eastAsia="Arial" w:hAnsi="Arial"/>
          <w:sz w:val="26"/>
          <w:szCs w:val="26"/>
          <w:color w:val="auto"/>
          <w:vertAlign w:val="superscript"/>
        </w:rPr>
        <w:t>(6)</w:t>
      </w:r>
    </w:p>
    <w:p>
      <w:pPr>
        <w:spacing w:after="0" w:line="206" w:lineRule="auto"/>
        <w:rPr>
          <w:sz w:val="20"/>
          <w:szCs w:val="20"/>
          <w:color w:val="auto"/>
        </w:rPr>
      </w:pPr>
      <w:r>
        <w:rPr>
          <w:rFonts w:ascii="Arial" w:cs="Arial" w:eastAsia="Arial" w:hAnsi="Arial"/>
          <w:sz w:val="16"/>
          <w:szCs w:val="16"/>
          <w:color w:val="auto"/>
        </w:rPr>
        <w:t>February 6, 2023</w:t>
      </w:r>
      <w:r>
        <w:rPr>
          <w:rFonts w:ascii="Arial" w:cs="Arial" w:eastAsia="Arial" w:hAnsi="Arial"/>
          <w:sz w:val="26"/>
          <w:szCs w:val="26"/>
          <w:color w:val="auto"/>
          <w:vertAlign w:val="superscript"/>
        </w:rPr>
        <w:t>(6)</w:t>
      </w:r>
    </w:p>
    <w:p>
      <w:pPr>
        <w:spacing w:after="0" w:line="217" w:lineRule="auto"/>
        <w:rPr>
          <w:sz w:val="20"/>
          <w:szCs w:val="20"/>
          <w:color w:val="auto"/>
        </w:rPr>
      </w:pPr>
      <w:r>
        <w:rPr>
          <w:rFonts w:ascii="Arial" w:cs="Arial" w:eastAsia="Arial" w:hAnsi="Arial"/>
          <w:sz w:val="16"/>
          <w:szCs w:val="16"/>
          <w:color w:val="auto"/>
        </w:rPr>
        <w:t>February 7, 2023</w:t>
      </w:r>
      <w:r>
        <w:rPr>
          <w:rFonts w:ascii="Arial" w:cs="Arial" w:eastAsia="Arial" w:hAnsi="Arial"/>
          <w:sz w:val="26"/>
          <w:szCs w:val="26"/>
          <w:color w:val="auto"/>
          <w:vertAlign w:val="superscript"/>
        </w:rPr>
        <w:t>(6)</w:t>
      </w:r>
    </w:p>
    <w:p>
      <w:pPr>
        <w:spacing w:after="0" w:line="206" w:lineRule="auto"/>
        <w:rPr>
          <w:sz w:val="20"/>
          <w:szCs w:val="20"/>
          <w:color w:val="auto"/>
        </w:rPr>
      </w:pPr>
      <w:r>
        <w:rPr>
          <w:rFonts w:ascii="Arial" w:cs="Arial" w:eastAsia="Arial" w:hAnsi="Arial"/>
          <w:sz w:val="16"/>
          <w:szCs w:val="16"/>
          <w:color w:val="auto"/>
        </w:rPr>
        <w:t>February 8, 2023</w:t>
      </w:r>
      <w:r>
        <w:rPr>
          <w:rFonts w:ascii="Arial" w:cs="Arial" w:eastAsia="Arial" w:hAnsi="Arial"/>
          <w:sz w:val="26"/>
          <w:szCs w:val="26"/>
          <w:color w:val="auto"/>
          <w:vertAlign w:val="superscript"/>
        </w:rPr>
        <w:t>(6)</w:t>
      </w:r>
    </w:p>
    <w:p>
      <w:pPr>
        <w:spacing w:after="0" w:line="216" w:lineRule="auto"/>
        <w:rPr>
          <w:sz w:val="20"/>
          <w:szCs w:val="20"/>
          <w:color w:val="auto"/>
        </w:rPr>
      </w:pPr>
      <w:r>
        <w:rPr>
          <w:rFonts w:ascii="Arial" w:cs="Arial" w:eastAsia="Arial" w:hAnsi="Arial"/>
          <w:sz w:val="16"/>
          <w:szCs w:val="16"/>
          <w:color w:val="auto"/>
        </w:rPr>
        <w:t>February 9, 2023</w:t>
      </w:r>
      <w:r>
        <w:rPr>
          <w:rFonts w:ascii="Arial" w:cs="Arial" w:eastAsia="Arial" w:hAnsi="Arial"/>
          <w:sz w:val="26"/>
          <w:szCs w:val="26"/>
          <w:color w:val="auto"/>
          <w:vertAlign w:val="superscript"/>
        </w:rPr>
        <w:t>(6)</w:t>
      </w:r>
    </w:p>
    <w:p>
      <w:pPr>
        <w:spacing w:after="0" w:line="224" w:lineRule="auto"/>
        <w:rPr>
          <w:sz w:val="20"/>
          <w:szCs w:val="20"/>
          <w:color w:val="auto"/>
        </w:rPr>
      </w:pPr>
      <w:r>
        <w:rPr>
          <w:rFonts w:ascii="Arial" w:cs="Arial" w:eastAsia="Arial" w:hAnsi="Arial"/>
          <w:sz w:val="15"/>
          <w:szCs w:val="15"/>
          <w:color w:val="auto"/>
        </w:rPr>
        <w:t>February 10, 2023</w:t>
      </w:r>
      <w:r>
        <w:rPr>
          <w:rFonts w:ascii="Arial" w:cs="Arial" w:eastAsia="Arial" w:hAnsi="Arial"/>
          <w:sz w:val="24"/>
          <w:szCs w:val="24"/>
          <w:color w:val="auto"/>
          <w:vertAlign w:val="superscript"/>
        </w:rPr>
        <w:t>(6)</w:t>
      </w:r>
    </w:p>
    <w:p>
      <w:pPr>
        <w:spacing w:after="0" w:line="234" w:lineRule="auto"/>
        <w:rPr>
          <w:sz w:val="20"/>
          <w:szCs w:val="20"/>
          <w:color w:val="auto"/>
        </w:rPr>
      </w:pPr>
      <w:r>
        <w:rPr>
          <w:rFonts w:ascii="Arial" w:cs="Arial" w:eastAsia="Arial" w:hAnsi="Arial"/>
          <w:sz w:val="15"/>
          <w:szCs w:val="15"/>
          <w:color w:val="auto"/>
        </w:rPr>
        <w:t>February 13, 2023</w:t>
      </w:r>
      <w:r>
        <w:rPr>
          <w:rFonts w:ascii="Arial" w:cs="Arial" w:eastAsia="Arial" w:hAnsi="Arial"/>
          <w:sz w:val="24"/>
          <w:szCs w:val="24"/>
          <w:color w:val="auto"/>
          <w:vertAlign w:val="superscript"/>
        </w:rPr>
        <w:t>(6)</w:t>
      </w:r>
    </w:p>
    <w:p>
      <w:pPr>
        <w:spacing w:after="0" w:line="185" w:lineRule="auto"/>
        <w:rPr>
          <w:sz w:val="20"/>
          <w:szCs w:val="20"/>
          <w:color w:val="auto"/>
        </w:rPr>
      </w:pPr>
      <w:r>
        <w:rPr>
          <w:rFonts w:ascii="Arial" w:cs="Arial" w:eastAsia="Arial" w:hAnsi="Arial"/>
          <w:sz w:val="18"/>
          <w:szCs w:val="18"/>
          <w:color w:val="auto"/>
        </w:rPr>
        <w:t>March 3, 2023</w:t>
      </w:r>
      <w:r>
        <w:rPr>
          <w:rFonts w:ascii="Arial" w:cs="Arial" w:eastAsia="Arial" w:hAnsi="Arial"/>
          <w:sz w:val="29"/>
          <w:szCs w:val="29"/>
          <w:color w:val="auto"/>
          <w:vertAlign w:val="superscript"/>
        </w:rPr>
        <w:t>(6)</w:t>
      </w:r>
    </w:p>
    <w:p>
      <w:pPr>
        <w:spacing w:after="0" w:line="184" w:lineRule="auto"/>
        <w:rPr>
          <w:sz w:val="20"/>
          <w:szCs w:val="20"/>
          <w:color w:val="auto"/>
        </w:rPr>
      </w:pPr>
      <w:r>
        <w:rPr>
          <w:rFonts w:ascii="Arial" w:cs="Arial" w:eastAsia="Arial" w:hAnsi="Arial"/>
          <w:sz w:val="18"/>
          <w:szCs w:val="18"/>
          <w:color w:val="auto"/>
        </w:rPr>
        <w:t>March 6, 2023</w:t>
      </w:r>
      <w:r>
        <w:rPr>
          <w:rFonts w:ascii="Arial" w:cs="Arial" w:eastAsia="Arial" w:hAnsi="Arial"/>
          <w:sz w:val="29"/>
          <w:szCs w:val="29"/>
          <w:color w:val="auto"/>
          <w:vertAlign w:val="superscript"/>
        </w:rPr>
        <w:t>(6)</w:t>
      </w:r>
    </w:p>
    <w:p>
      <w:pPr>
        <w:spacing w:after="0" w:line="195" w:lineRule="auto"/>
        <w:rPr>
          <w:sz w:val="20"/>
          <w:szCs w:val="20"/>
          <w:color w:val="auto"/>
        </w:rPr>
      </w:pPr>
      <w:r>
        <w:rPr>
          <w:rFonts w:ascii="Arial" w:cs="Arial" w:eastAsia="Arial" w:hAnsi="Arial"/>
          <w:sz w:val="18"/>
          <w:szCs w:val="18"/>
          <w:color w:val="auto"/>
        </w:rPr>
        <w:t>March 7, 2023</w:t>
      </w:r>
      <w:r>
        <w:rPr>
          <w:rFonts w:ascii="Arial" w:cs="Arial" w:eastAsia="Arial" w:hAnsi="Arial"/>
          <w:sz w:val="29"/>
          <w:szCs w:val="29"/>
          <w:color w:val="auto"/>
          <w:vertAlign w:val="superscript"/>
        </w:rPr>
        <w:t>(6)</w:t>
      </w:r>
    </w:p>
    <w:p>
      <w:pPr>
        <w:spacing w:after="0" w:line="184" w:lineRule="auto"/>
        <w:rPr>
          <w:sz w:val="20"/>
          <w:szCs w:val="20"/>
          <w:color w:val="auto"/>
        </w:rPr>
      </w:pPr>
      <w:r>
        <w:rPr>
          <w:rFonts w:ascii="Arial" w:cs="Arial" w:eastAsia="Arial" w:hAnsi="Arial"/>
          <w:sz w:val="18"/>
          <w:szCs w:val="18"/>
          <w:color w:val="auto"/>
        </w:rPr>
        <w:t>March 8, 2023</w:t>
      </w:r>
      <w:r>
        <w:rPr>
          <w:rFonts w:ascii="Arial" w:cs="Arial" w:eastAsia="Arial" w:hAnsi="Arial"/>
          <w:sz w:val="29"/>
          <w:szCs w:val="29"/>
          <w:color w:val="auto"/>
          <w:vertAlign w:val="superscript"/>
        </w:rPr>
        <w:t>(6)</w:t>
      </w:r>
    </w:p>
    <w:p>
      <w:pPr>
        <w:spacing w:after="0" w:line="195" w:lineRule="auto"/>
        <w:rPr>
          <w:sz w:val="20"/>
          <w:szCs w:val="20"/>
          <w:color w:val="auto"/>
        </w:rPr>
      </w:pPr>
      <w:r>
        <w:rPr>
          <w:rFonts w:ascii="Arial" w:cs="Arial" w:eastAsia="Arial" w:hAnsi="Arial"/>
          <w:sz w:val="18"/>
          <w:szCs w:val="18"/>
          <w:color w:val="auto"/>
        </w:rPr>
        <w:t>March 9, 2023</w:t>
      </w:r>
      <w:r>
        <w:rPr>
          <w:rFonts w:ascii="Arial" w:cs="Arial" w:eastAsia="Arial" w:hAnsi="Arial"/>
          <w:sz w:val="29"/>
          <w:szCs w:val="29"/>
          <w:color w:val="auto"/>
          <w:vertAlign w:val="superscript"/>
        </w:rPr>
        <w:t>(6)</w:t>
      </w:r>
    </w:p>
    <w:p>
      <w:pPr>
        <w:spacing w:after="0" w:line="184" w:lineRule="auto"/>
        <w:rPr>
          <w:sz w:val="20"/>
          <w:szCs w:val="20"/>
          <w:color w:val="auto"/>
        </w:rPr>
      </w:pPr>
      <w:r>
        <w:rPr>
          <w:rFonts w:ascii="Arial" w:cs="Arial" w:eastAsia="Arial" w:hAnsi="Arial"/>
          <w:sz w:val="18"/>
          <w:szCs w:val="18"/>
          <w:color w:val="auto"/>
        </w:rPr>
        <w:t>March 13, 2023</w:t>
      </w:r>
      <w:r>
        <w:rPr>
          <w:rFonts w:ascii="Arial" w:cs="Arial" w:eastAsia="Arial" w:hAnsi="Arial"/>
          <w:sz w:val="29"/>
          <w:szCs w:val="29"/>
          <w:color w:val="auto"/>
          <w:vertAlign w:val="superscript"/>
        </w:rPr>
        <w:t>(6)</w:t>
      </w:r>
    </w:p>
    <w:p>
      <w:pPr>
        <w:spacing w:after="0" w:line="195" w:lineRule="auto"/>
        <w:rPr>
          <w:sz w:val="20"/>
          <w:szCs w:val="20"/>
          <w:color w:val="auto"/>
        </w:rPr>
      </w:pPr>
      <w:r>
        <w:rPr>
          <w:rFonts w:ascii="Arial" w:cs="Arial" w:eastAsia="Arial" w:hAnsi="Arial"/>
          <w:sz w:val="18"/>
          <w:szCs w:val="18"/>
          <w:color w:val="auto"/>
        </w:rPr>
        <w:t>March 14, 2023</w:t>
      </w:r>
      <w:r>
        <w:rPr>
          <w:rFonts w:ascii="Arial" w:cs="Arial" w:eastAsia="Arial" w:hAnsi="Arial"/>
          <w:sz w:val="29"/>
          <w:szCs w:val="29"/>
          <w:color w:val="auto"/>
          <w:vertAlign w:val="superscript"/>
        </w:rPr>
        <w:t>(6)</w:t>
      </w:r>
    </w:p>
    <w:p>
      <w:pPr>
        <w:spacing w:after="0" w:line="184" w:lineRule="auto"/>
        <w:rPr>
          <w:sz w:val="20"/>
          <w:szCs w:val="20"/>
          <w:color w:val="auto"/>
        </w:rPr>
      </w:pPr>
      <w:r>
        <w:rPr>
          <w:rFonts w:ascii="Arial" w:cs="Arial" w:eastAsia="Arial" w:hAnsi="Arial"/>
          <w:sz w:val="18"/>
          <w:szCs w:val="18"/>
          <w:color w:val="auto"/>
        </w:rPr>
        <w:t>March 14, 2023</w:t>
      </w:r>
      <w:r>
        <w:rPr>
          <w:rFonts w:ascii="Arial" w:cs="Arial" w:eastAsia="Arial" w:hAnsi="Arial"/>
          <w:sz w:val="29"/>
          <w:szCs w:val="29"/>
          <w:color w:val="auto"/>
          <w:vertAlign w:val="superscript"/>
        </w:rPr>
        <w:t>(1)</w:t>
      </w:r>
    </w:p>
    <w:p>
      <w:pPr>
        <w:spacing w:after="0" w:line="185" w:lineRule="auto"/>
        <w:rPr>
          <w:sz w:val="20"/>
          <w:szCs w:val="20"/>
          <w:color w:val="auto"/>
        </w:rPr>
      </w:pPr>
      <w:r>
        <w:rPr>
          <w:rFonts w:ascii="Arial" w:cs="Arial" w:eastAsia="Arial" w:hAnsi="Arial"/>
          <w:sz w:val="18"/>
          <w:szCs w:val="18"/>
          <w:color w:val="auto"/>
        </w:rPr>
        <w:t>March 16, 2023</w:t>
      </w:r>
      <w:r>
        <w:rPr>
          <w:rFonts w:ascii="Arial" w:cs="Arial" w:eastAsia="Arial" w:hAnsi="Arial"/>
          <w:sz w:val="29"/>
          <w:szCs w:val="29"/>
          <w:color w:val="auto"/>
          <w:vertAlign w:val="superscript"/>
        </w:rPr>
        <w:t>(6)</w:t>
      </w:r>
    </w:p>
    <w:p>
      <w:pPr>
        <w:spacing w:after="0" w:line="194" w:lineRule="auto"/>
        <w:rPr>
          <w:sz w:val="20"/>
          <w:szCs w:val="20"/>
          <w:color w:val="auto"/>
        </w:rPr>
      </w:pPr>
      <w:r>
        <w:rPr>
          <w:rFonts w:ascii="Arial" w:cs="Arial" w:eastAsia="Arial" w:hAnsi="Arial"/>
          <w:sz w:val="18"/>
          <w:szCs w:val="18"/>
          <w:color w:val="auto"/>
        </w:rPr>
        <w:t>March 17, 2023</w:t>
      </w:r>
      <w:r>
        <w:rPr>
          <w:rFonts w:ascii="Arial" w:cs="Arial" w:eastAsia="Arial" w:hAnsi="Arial"/>
          <w:sz w:val="29"/>
          <w:szCs w:val="29"/>
          <w:color w:val="auto"/>
          <w:vertAlign w:val="superscript"/>
        </w:rPr>
        <w:t>(6)</w:t>
      </w:r>
    </w:p>
    <w:p>
      <w:pPr>
        <w:spacing w:after="0" w:line="185" w:lineRule="auto"/>
        <w:rPr>
          <w:sz w:val="20"/>
          <w:szCs w:val="20"/>
          <w:color w:val="auto"/>
        </w:rPr>
      </w:pPr>
      <w:r>
        <w:rPr>
          <w:rFonts w:ascii="Arial" w:cs="Arial" w:eastAsia="Arial" w:hAnsi="Arial"/>
          <w:sz w:val="18"/>
          <w:szCs w:val="18"/>
          <w:color w:val="auto"/>
        </w:rPr>
        <w:t>March 20, 2023</w:t>
      </w:r>
      <w:r>
        <w:rPr>
          <w:rFonts w:ascii="Arial" w:cs="Arial" w:eastAsia="Arial" w:hAnsi="Arial"/>
          <w:sz w:val="29"/>
          <w:szCs w:val="29"/>
          <w:color w:val="auto"/>
          <w:vertAlign w:val="superscript"/>
        </w:rPr>
        <w:t>(6)</w:t>
      </w:r>
    </w:p>
    <w:p>
      <w:pPr>
        <w:spacing w:after="0" w:line="194" w:lineRule="auto"/>
        <w:rPr>
          <w:sz w:val="20"/>
          <w:szCs w:val="20"/>
          <w:color w:val="auto"/>
        </w:rPr>
      </w:pPr>
      <w:r>
        <w:rPr>
          <w:rFonts w:ascii="Arial" w:cs="Arial" w:eastAsia="Arial" w:hAnsi="Arial"/>
          <w:sz w:val="18"/>
          <w:szCs w:val="18"/>
          <w:color w:val="auto"/>
        </w:rPr>
        <w:t>March 21, 2023</w:t>
      </w:r>
      <w:r>
        <w:rPr>
          <w:rFonts w:ascii="Arial" w:cs="Arial" w:eastAsia="Arial" w:hAnsi="Arial"/>
          <w:sz w:val="29"/>
          <w:szCs w:val="29"/>
          <w:color w:val="auto"/>
          <w:vertAlign w:val="superscript"/>
        </w:rPr>
        <w:t>(6)</w:t>
      </w:r>
    </w:p>
    <w:p>
      <w:pPr>
        <w:spacing w:after="0" w:line="185" w:lineRule="auto"/>
        <w:rPr>
          <w:sz w:val="20"/>
          <w:szCs w:val="20"/>
          <w:color w:val="auto"/>
        </w:rPr>
      </w:pPr>
      <w:r>
        <w:rPr>
          <w:rFonts w:ascii="Arial" w:cs="Arial" w:eastAsia="Arial" w:hAnsi="Arial"/>
          <w:sz w:val="18"/>
          <w:szCs w:val="18"/>
          <w:color w:val="auto"/>
        </w:rPr>
        <w:t>March 22, 2023</w:t>
      </w:r>
      <w:r>
        <w:rPr>
          <w:rFonts w:ascii="Arial" w:cs="Arial" w:eastAsia="Arial" w:hAnsi="Arial"/>
          <w:sz w:val="29"/>
          <w:szCs w:val="29"/>
          <w:color w:val="auto"/>
          <w:vertAlign w:val="superscript"/>
        </w:rPr>
        <w:t>(6)</w:t>
      </w:r>
    </w:p>
    <w:p>
      <w:pPr>
        <w:spacing w:after="0" w:line="194" w:lineRule="auto"/>
        <w:rPr>
          <w:sz w:val="20"/>
          <w:szCs w:val="20"/>
          <w:color w:val="auto"/>
        </w:rPr>
      </w:pPr>
      <w:r>
        <w:rPr>
          <w:rFonts w:ascii="Arial" w:cs="Arial" w:eastAsia="Arial" w:hAnsi="Arial"/>
          <w:sz w:val="18"/>
          <w:szCs w:val="18"/>
          <w:color w:val="auto"/>
        </w:rPr>
        <w:t>March 28, 2023</w:t>
      </w:r>
      <w:r>
        <w:rPr>
          <w:rFonts w:ascii="Arial" w:cs="Arial" w:eastAsia="Arial" w:hAnsi="Arial"/>
          <w:sz w:val="29"/>
          <w:szCs w:val="29"/>
          <w:color w:val="auto"/>
          <w:vertAlign w:val="superscript"/>
        </w:rPr>
        <w:t>(6)</w:t>
      </w:r>
    </w:p>
    <w:p>
      <w:pPr>
        <w:spacing w:after="0" w:line="185" w:lineRule="auto"/>
        <w:rPr>
          <w:sz w:val="20"/>
          <w:szCs w:val="20"/>
          <w:color w:val="auto"/>
        </w:rPr>
      </w:pPr>
      <w:r>
        <w:rPr>
          <w:rFonts w:ascii="Arial" w:cs="Arial" w:eastAsia="Arial" w:hAnsi="Arial"/>
          <w:sz w:val="18"/>
          <w:szCs w:val="18"/>
          <w:color w:val="auto"/>
        </w:rPr>
        <w:t>March 29, 2023</w:t>
      </w:r>
      <w:r>
        <w:rPr>
          <w:rFonts w:ascii="Arial" w:cs="Arial" w:eastAsia="Arial" w:hAnsi="Arial"/>
          <w:sz w:val="29"/>
          <w:szCs w:val="29"/>
          <w:color w:val="auto"/>
          <w:vertAlign w:val="superscript"/>
        </w:rPr>
        <w:t>(6)</w:t>
      </w:r>
    </w:p>
    <w:p>
      <w:pPr>
        <w:spacing w:after="0" w:line="194" w:lineRule="auto"/>
        <w:rPr>
          <w:sz w:val="20"/>
          <w:szCs w:val="20"/>
          <w:color w:val="auto"/>
        </w:rPr>
      </w:pPr>
      <w:r>
        <w:rPr>
          <w:rFonts w:ascii="Arial" w:cs="Arial" w:eastAsia="Arial" w:hAnsi="Arial"/>
          <w:sz w:val="18"/>
          <w:szCs w:val="18"/>
          <w:color w:val="auto"/>
        </w:rPr>
        <w:t>April 19, 2023</w:t>
      </w:r>
      <w:r>
        <w:rPr>
          <w:rFonts w:ascii="Arial" w:cs="Arial" w:eastAsia="Arial" w:hAnsi="Arial"/>
          <w:sz w:val="29"/>
          <w:szCs w:val="29"/>
          <w:color w:val="auto"/>
          <w:vertAlign w:val="superscript"/>
        </w:rPr>
        <w:t>(6)</w:t>
      </w:r>
    </w:p>
    <w:p>
      <w:pPr>
        <w:spacing w:after="0" w:line="184" w:lineRule="auto"/>
        <w:rPr>
          <w:sz w:val="20"/>
          <w:szCs w:val="20"/>
          <w:color w:val="auto"/>
        </w:rPr>
      </w:pPr>
      <w:r>
        <w:rPr>
          <w:rFonts w:ascii="Arial" w:cs="Arial" w:eastAsia="Arial" w:hAnsi="Arial"/>
          <w:sz w:val="18"/>
          <w:szCs w:val="18"/>
          <w:color w:val="auto"/>
        </w:rPr>
        <w:t>April 20, 2023</w:t>
      </w:r>
      <w:r>
        <w:rPr>
          <w:rFonts w:ascii="Arial" w:cs="Arial" w:eastAsia="Arial" w:hAnsi="Arial"/>
          <w:sz w:val="29"/>
          <w:szCs w:val="29"/>
          <w:color w:val="auto"/>
          <w:vertAlign w:val="superscript"/>
        </w:rPr>
        <w:t>(6)</w:t>
      </w:r>
    </w:p>
    <w:p>
      <w:pPr>
        <w:spacing w:after="0" w:line="185" w:lineRule="auto"/>
        <w:rPr>
          <w:sz w:val="20"/>
          <w:szCs w:val="20"/>
          <w:color w:val="auto"/>
        </w:rPr>
      </w:pPr>
      <w:r>
        <w:rPr>
          <w:rFonts w:ascii="Arial" w:cs="Arial" w:eastAsia="Arial" w:hAnsi="Arial"/>
          <w:sz w:val="18"/>
          <w:szCs w:val="18"/>
          <w:color w:val="auto"/>
        </w:rPr>
        <w:t>April 21, 2023</w:t>
      </w:r>
      <w:r>
        <w:rPr>
          <w:rFonts w:ascii="Arial" w:cs="Arial" w:eastAsia="Arial" w:hAnsi="Arial"/>
          <w:sz w:val="29"/>
          <w:szCs w:val="29"/>
          <w:color w:val="auto"/>
          <w:vertAlign w:val="superscript"/>
        </w:rPr>
        <w:t>(6)</w:t>
      </w:r>
    </w:p>
    <w:p>
      <w:pPr>
        <w:spacing w:after="0" w:line="194" w:lineRule="auto"/>
        <w:rPr>
          <w:sz w:val="20"/>
          <w:szCs w:val="20"/>
          <w:color w:val="auto"/>
        </w:rPr>
      </w:pPr>
      <w:r>
        <w:rPr>
          <w:rFonts w:ascii="Arial" w:cs="Arial" w:eastAsia="Arial" w:hAnsi="Arial"/>
          <w:sz w:val="18"/>
          <w:szCs w:val="18"/>
          <w:color w:val="auto"/>
        </w:rPr>
        <w:t xml:space="preserve">April 26, 2023 </w:t>
      </w:r>
      <w:r>
        <w:rPr>
          <w:rFonts w:ascii="Arial" w:cs="Arial" w:eastAsia="Arial" w:hAnsi="Arial"/>
          <w:sz w:val="29"/>
          <w:szCs w:val="29"/>
          <w:color w:val="auto"/>
          <w:vertAlign w:val="superscript"/>
        </w:rPr>
        <w:t>(6)</w:t>
      </w:r>
    </w:p>
    <w:p>
      <w:pPr>
        <w:spacing w:after="0" w:line="185" w:lineRule="auto"/>
        <w:rPr>
          <w:sz w:val="20"/>
          <w:szCs w:val="20"/>
          <w:color w:val="auto"/>
        </w:rPr>
      </w:pPr>
      <w:r>
        <w:rPr>
          <w:rFonts w:ascii="Arial" w:cs="Arial" w:eastAsia="Arial" w:hAnsi="Arial"/>
          <w:sz w:val="18"/>
          <w:szCs w:val="18"/>
          <w:color w:val="auto"/>
        </w:rPr>
        <w:t xml:space="preserve">May 4, 2023 </w:t>
      </w:r>
      <w:r>
        <w:rPr>
          <w:rFonts w:ascii="Arial" w:cs="Arial" w:eastAsia="Arial" w:hAnsi="Arial"/>
          <w:sz w:val="29"/>
          <w:szCs w:val="29"/>
          <w:color w:val="auto"/>
          <w:vertAlign w:val="superscript"/>
        </w:rPr>
        <w:t>(6)</w:t>
      </w:r>
    </w:p>
    <w:p>
      <w:pPr>
        <w:spacing w:after="0" w:line="194" w:lineRule="auto"/>
        <w:rPr>
          <w:sz w:val="20"/>
          <w:szCs w:val="20"/>
          <w:color w:val="auto"/>
        </w:rPr>
      </w:pPr>
      <w:r>
        <w:rPr>
          <w:rFonts w:ascii="Arial" w:cs="Arial" w:eastAsia="Arial" w:hAnsi="Arial"/>
          <w:sz w:val="18"/>
          <w:szCs w:val="18"/>
          <w:color w:val="auto"/>
        </w:rPr>
        <w:t xml:space="preserve">May 5, 2023 </w:t>
      </w:r>
      <w:r>
        <w:rPr>
          <w:rFonts w:ascii="Arial" w:cs="Arial" w:eastAsia="Arial" w:hAnsi="Arial"/>
          <w:sz w:val="29"/>
          <w:szCs w:val="29"/>
          <w:color w:val="auto"/>
          <w:vertAlign w:val="superscript"/>
        </w:rPr>
        <w:t>(6)</w:t>
      </w:r>
    </w:p>
    <w:p>
      <w:pPr>
        <w:spacing w:after="0" w:line="185" w:lineRule="auto"/>
        <w:rPr>
          <w:sz w:val="20"/>
          <w:szCs w:val="20"/>
          <w:color w:val="auto"/>
        </w:rPr>
      </w:pPr>
      <w:r>
        <w:rPr>
          <w:rFonts w:ascii="Arial" w:cs="Arial" w:eastAsia="Arial" w:hAnsi="Arial"/>
          <w:sz w:val="18"/>
          <w:szCs w:val="18"/>
          <w:color w:val="auto"/>
        </w:rPr>
        <w:t>May 9, 2023</w:t>
      </w:r>
      <w:r>
        <w:rPr>
          <w:rFonts w:ascii="Arial" w:cs="Arial" w:eastAsia="Arial" w:hAnsi="Arial"/>
          <w:sz w:val="29"/>
          <w:szCs w:val="29"/>
          <w:color w:val="auto"/>
          <w:vertAlign w:val="superscript"/>
        </w:rPr>
        <w:t>(6)</w:t>
      </w:r>
    </w:p>
    <w:p>
      <w:pPr>
        <w:spacing w:after="0" w:line="194" w:lineRule="auto"/>
        <w:rPr>
          <w:sz w:val="20"/>
          <w:szCs w:val="20"/>
          <w:color w:val="auto"/>
        </w:rPr>
      </w:pPr>
      <w:r>
        <w:rPr>
          <w:rFonts w:ascii="Arial" w:cs="Arial" w:eastAsia="Arial" w:hAnsi="Arial"/>
          <w:sz w:val="18"/>
          <w:szCs w:val="18"/>
          <w:color w:val="auto"/>
        </w:rPr>
        <w:t>May 10, 2023</w:t>
      </w:r>
      <w:r>
        <w:rPr>
          <w:rFonts w:ascii="Arial" w:cs="Arial" w:eastAsia="Arial" w:hAnsi="Arial"/>
          <w:sz w:val="29"/>
          <w:szCs w:val="29"/>
          <w:color w:val="auto"/>
          <w:vertAlign w:val="superscript"/>
        </w:rPr>
        <w:t>(6)</w:t>
      </w:r>
    </w:p>
    <w:p>
      <w:pPr>
        <w:spacing w:after="0" w:line="185" w:lineRule="auto"/>
        <w:rPr>
          <w:sz w:val="20"/>
          <w:szCs w:val="20"/>
          <w:color w:val="auto"/>
        </w:rPr>
      </w:pPr>
      <w:r>
        <w:rPr>
          <w:rFonts w:ascii="Arial" w:cs="Arial" w:eastAsia="Arial" w:hAnsi="Arial"/>
          <w:sz w:val="18"/>
          <w:szCs w:val="18"/>
          <w:color w:val="auto"/>
        </w:rPr>
        <w:t>May 11, 2023</w:t>
      </w:r>
      <w:r>
        <w:rPr>
          <w:rFonts w:ascii="Arial" w:cs="Arial" w:eastAsia="Arial" w:hAnsi="Arial"/>
          <w:sz w:val="29"/>
          <w:szCs w:val="29"/>
          <w:color w:val="auto"/>
          <w:vertAlign w:val="superscript"/>
        </w:rPr>
        <w:t>(6)</w:t>
      </w:r>
    </w:p>
    <w:p>
      <w:pPr>
        <w:spacing w:after="0" w:line="184" w:lineRule="auto"/>
        <w:rPr>
          <w:sz w:val="20"/>
          <w:szCs w:val="20"/>
          <w:color w:val="auto"/>
        </w:rPr>
      </w:pPr>
      <w:r>
        <w:rPr>
          <w:rFonts w:ascii="Arial" w:cs="Arial" w:eastAsia="Arial" w:hAnsi="Arial"/>
          <w:sz w:val="18"/>
          <w:szCs w:val="18"/>
          <w:color w:val="auto"/>
        </w:rPr>
        <w:t>May 12, 2023</w:t>
      </w:r>
      <w:r>
        <w:rPr>
          <w:rFonts w:ascii="Arial" w:cs="Arial" w:eastAsia="Arial" w:hAnsi="Arial"/>
          <w:sz w:val="29"/>
          <w:szCs w:val="29"/>
          <w:color w:val="auto"/>
          <w:vertAlign w:val="superscript"/>
        </w:rPr>
        <w:t>(6)</w:t>
      </w:r>
    </w:p>
    <w:p>
      <w:pPr>
        <w:spacing w:after="0" w:line="195" w:lineRule="auto"/>
        <w:rPr>
          <w:sz w:val="20"/>
          <w:szCs w:val="20"/>
          <w:color w:val="auto"/>
        </w:rPr>
      </w:pPr>
      <w:r>
        <w:rPr>
          <w:rFonts w:ascii="Arial" w:cs="Arial" w:eastAsia="Arial" w:hAnsi="Arial"/>
          <w:sz w:val="18"/>
          <w:szCs w:val="18"/>
          <w:color w:val="auto"/>
        </w:rPr>
        <w:t>May 16, 2023</w:t>
      </w:r>
      <w:r>
        <w:rPr>
          <w:rFonts w:ascii="Arial" w:cs="Arial" w:eastAsia="Arial" w:hAnsi="Arial"/>
          <w:sz w:val="29"/>
          <w:szCs w:val="29"/>
          <w:color w:val="auto"/>
          <w:vertAlign w:val="superscript"/>
        </w:rPr>
        <w:t>(6)</w:t>
      </w:r>
    </w:p>
    <w:p>
      <w:pPr>
        <w:spacing w:after="0" w:line="184" w:lineRule="auto"/>
        <w:rPr>
          <w:sz w:val="20"/>
          <w:szCs w:val="20"/>
          <w:color w:val="auto"/>
        </w:rPr>
      </w:pPr>
      <w:r>
        <w:rPr>
          <w:rFonts w:ascii="Arial" w:cs="Arial" w:eastAsia="Arial" w:hAnsi="Arial"/>
          <w:sz w:val="18"/>
          <w:szCs w:val="18"/>
          <w:color w:val="auto"/>
        </w:rPr>
        <w:t>May 17, 2023</w:t>
      </w:r>
      <w:r>
        <w:rPr>
          <w:rFonts w:ascii="Arial" w:cs="Arial" w:eastAsia="Arial" w:hAnsi="Arial"/>
          <w:sz w:val="29"/>
          <w:szCs w:val="29"/>
          <w:color w:val="auto"/>
          <w:vertAlign w:val="superscript"/>
        </w:rPr>
        <w:t>(6)</w:t>
      </w:r>
    </w:p>
    <w:p>
      <w:pPr>
        <w:spacing w:after="0" w:line="195" w:lineRule="auto"/>
        <w:rPr>
          <w:sz w:val="20"/>
          <w:szCs w:val="20"/>
          <w:color w:val="auto"/>
        </w:rPr>
      </w:pPr>
      <w:r>
        <w:rPr>
          <w:rFonts w:ascii="Arial" w:cs="Arial" w:eastAsia="Arial" w:hAnsi="Arial"/>
          <w:sz w:val="18"/>
          <w:szCs w:val="18"/>
          <w:color w:val="auto"/>
        </w:rPr>
        <w:t>May 18, 2023</w:t>
      </w:r>
      <w:r>
        <w:rPr>
          <w:rFonts w:ascii="Arial" w:cs="Arial" w:eastAsia="Arial" w:hAnsi="Arial"/>
          <w:sz w:val="29"/>
          <w:szCs w:val="29"/>
          <w:color w:val="auto"/>
          <w:vertAlign w:val="superscript"/>
        </w:rPr>
        <w:t>(6)</w:t>
      </w:r>
    </w:p>
    <w:p>
      <w:pPr>
        <w:spacing w:after="0" w:line="184" w:lineRule="auto"/>
        <w:rPr>
          <w:sz w:val="20"/>
          <w:szCs w:val="20"/>
          <w:color w:val="auto"/>
        </w:rPr>
      </w:pPr>
      <w:r>
        <w:rPr>
          <w:rFonts w:ascii="Arial" w:cs="Arial" w:eastAsia="Arial" w:hAnsi="Arial"/>
          <w:sz w:val="18"/>
          <w:szCs w:val="18"/>
          <w:color w:val="auto"/>
        </w:rPr>
        <w:t>May 19, 2023</w:t>
      </w:r>
      <w:r>
        <w:rPr>
          <w:rFonts w:ascii="Arial" w:cs="Arial" w:eastAsia="Arial" w:hAnsi="Arial"/>
          <w:sz w:val="29"/>
          <w:szCs w:val="29"/>
          <w:color w:val="auto"/>
          <w:vertAlign w:val="superscript"/>
        </w:rPr>
        <w:t>(6)</w:t>
      </w:r>
    </w:p>
    <w:p>
      <w:pPr>
        <w:spacing w:after="0" w:line="195" w:lineRule="auto"/>
        <w:rPr>
          <w:sz w:val="20"/>
          <w:szCs w:val="20"/>
          <w:color w:val="auto"/>
        </w:rPr>
      </w:pPr>
      <w:r>
        <w:rPr>
          <w:rFonts w:ascii="Arial" w:cs="Arial" w:eastAsia="Arial" w:hAnsi="Arial"/>
          <w:sz w:val="18"/>
          <w:szCs w:val="18"/>
          <w:color w:val="auto"/>
        </w:rPr>
        <w:t>May 23, 2023</w:t>
      </w:r>
      <w:r>
        <w:rPr>
          <w:rFonts w:ascii="Arial" w:cs="Arial" w:eastAsia="Arial" w:hAnsi="Arial"/>
          <w:sz w:val="29"/>
          <w:szCs w:val="29"/>
          <w:color w:val="auto"/>
          <w:vertAlign w:val="superscript"/>
        </w:rPr>
        <w:t>(6)</w:t>
      </w:r>
    </w:p>
    <w:p>
      <w:pPr>
        <w:spacing w:after="0" w:line="184" w:lineRule="auto"/>
        <w:rPr>
          <w:sz w:val="20"/>
          <w:szCs w:val="20"/>
          <w:color w:val="auto"/>
        </w:rPr>
      </w:pPr>
      <w:r>
        <w:rPr>
          <w:rFonts w:ascii="Arial" w:cs="Arial" w:eastAsia="Arial" w:hAnsi="Arial"/>
          <w:sz w:val="18"/>
          <w:szCs w:val="18"/>
          <w:color w:val="auto"/>
        </w:rPr>
        <w:t>May 23, 2023</w:t>
      </w:r>
      <w:r>
        <w:rPr>
          <w:rFonts w:ascii="Arial" w:cs="Arial" w:eastAsia="Arial" w:hAnsi="Arial"/>
          <w:sz w:val="29"/>
          <w:szCs w:val="29"/>
          <w:color w:val="auto"/>
          <w:vertAlign w:val="superscript"/>
        </w:rPr>
        <w:t>(6)</w:t>
      </w:r>
    </w:p>
    <w:p>
      <w:pPr>
        <w:spacing w:after="0" w:line="194" w:lineRule="auto"/>
        <w:rPr>
          <w:sz w:val="20"/>
          <w:szCs w:val="20"/>
          <w:color w:val="auto"/>
        </w:rPr>
      </w:pPr>
      <w:r>
        <w:rPr>
          <w:rFonts w:ascii="Arial" w:cs="Arial" w:eastAsia="Arial" w:hAnsi="Arial"/>
          <w:sz w:val="18"/>
          <w:szCs w:val="18"/>
          <w:color w:val="auto"/>
        </w:rPr>
        <w:t>May 24, 2023</w:t>
      </w:r>
      <w:r>
        <w:rPr>
          <w:rFonts w:ascii="Arial" w:cs="Arial" w:eastAsia="Arial" w:hAnsi="Arial"/>
          <w:sz w:val="29"/>
          <w:szCs w:val="29"/>
          <w:color w:val="auto"/>
          <w:vertAlign w:val="superscript"/>
        </w:rPr>
        <w:t>(6)</w:t>
      </w:r>
    </w:p>
    <w:p>
      <w:pPr>
        <w:spacing w:after="0" w:line="185" w:lineRule="auto"/>
        <w:rPr>
          <w:sz w:val="20"/>
          <w:szCs w:val="20"/>
          <w:color w:val="auto"/>
        </w:rPr>
      </w:pPr>
      <w:r>
        <w:rPr>
          <w:rFonts w:ascii="Arial" w:cs="Arial" w:eastAsia="Arial" w:hAnsi="Arial"/>
          <w:sz w:val="18"/>
          <w:szCs w:val="18"/>
          <w:color w:val="auto"/>
        </w:rPr>
        <w:t>May 25, 2023</w:t>
      </w:r>
      <w:r>
        <w:rPr>
          <w:rFonts w:ascii="Arial" w:cs="Arial" w:eastAsia="Arial" w:hAnsi="Arial"/>
          <w:sz w:val="29"/>
          <w:szCs w:val="29"/>
          <w:color w:val="auto"/>
          <w:vertAlign w:val="superscript"/>
        </w:rPr>
        <w:t>(6)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May 26, 2023</w:t>
      </w:r>
      <w:r>
        <w:rPr>
          <w:rFonts w:ascii="Arial" w:cs="Arial" w:eastAsia="Arial" w:hAnsi="Arial"/>
          <w:sz w:val="29"/>
          <w:szCs w:val="29"/>
          <w:color w:val="auto"/>
          <w:vertAlign w:val="superscript"/>
        </w:rPr>
        <w:t>(6)</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Notes: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124,600</w:t>
            </w:r>
          </w:p>
        </w:tc>
        <w:tc>
          <w:tcPr>
            <w:tcW w:w="3280" w:type="dxa"/>
            <w:vAlign w:val="bottom"/>
          </w:tcPr>
          <w:p>
            <w:pPr>
              <w:ind w:left="980"/>
              <w:spacing w:after="0"/>
              <w:rPr>
                <w:sz w:val="20"/>
                <w:szCs w:val="20"/>
                <w:color w:val="auto"/>
              </w:rPr>
            </w:pPr>
            <w:r>
              <w:rPr>
                <w:rFonts w:ascii="Arial" w:cs="Arial" w:eastAsia="Arial" w:hAnsi="Arial"/>
                <w:sz w:val="18"/>
                <w:szCs w:val="18"/>
                <w:color w:val="auto"/>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257"/>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167,400</w:t>
            </w:r>
          </w:p>
        </w:tc>
        <w:tc>
          <w:tcPr>
            <w:tcW w:w="3280" w:type="dxa"/>
            <w:vAlign w:val="bottom"/>
          </w:tcPr>
          <w:p>
            <w:pPr>
              <w:ind w:left="980"/>
              <w:spacing w:after="0"/>
              <w:rPr>
                <w:sz w:val="20"/>
                <w:szCs w:val="20"/>
                <w:color w:val="auto"/>
              </w:rPr>
            </w:pPr>
            <w:r>
              <w:rPr>
                <w:rFonts w:ascii="Arial" w:cs="Arial" w:eastAsia="Arial" w:hAnsi="Arial"/>
                <w:sz w:val="18"/>
                <w:szCs w:val="18"/>
                <w:color w:val="auto"/>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269"/>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212,000</w:t>
            </w:r>
          </w:p>
        </w:tc>
        <w:tc>
          <w:tcPr>
            <w:tcW w:w="3280" w:type="dxa"/>
            <w:vAlign w:val="bottom"/>
          </w:tcPr>
          <w:p>
            <w:pPr>
              <w:ind w:left="980"/>
              <w:spacing w:after="0"/>
              <w:rPr>
                <w:sz w:val="20"/>
                <w:szCs w:val="20"/>
                <w:color w:val="auto"/>
              </w:rPr>
            </w:pPr>
            <w:r>
              <w:rPr>
                <w:rFonts w:ascii="Arial" w:cs="Arial" w:eastAsia="Arial" w:hAnsi="Arial"/>
                <w:sz w:val="18"/>
                <w:szCs w:val="18"/>
                <w:color w:val="auto"/>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$0.59</w:t>
            </w:r>
          </w:p>
        </w:tc>
      </w:tr>
      <w:tr>
        <w:trPr>
          <w:trHeight w:val="257"/>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125,000</w:t>
            </w:r>
          </w:p>
        </w:tc>
        <w:tc>
          <w:tcPr>
            <w:tcW w:w="3280" w:type="dxa"/>
            <w:vAlign w:val="bottom"/>
          </w:tcPr>
          <w:p>
            <w:pPr>
              <w:ind w:left="980"/>
              <w:spacing w:after="0"/>
              <w:rPr>
                <w:sz w:val="20"/>
                <w:szCs w:val="20"/>
                <w:color w:val="auto"/>
              </w:rPr>
            </w:pPr>
            <w:r>
              <w:rPr>
                <w:rFonts w:ascii="Arial" w:cs="Arial" w:eastAsia="Arial" w:hAnsi="Arial"/>
                <w:sz w:val="18"/>
                <w:szCs w:val="18"/>
                <w:color w:val="auto"/>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$0.57</w:t>
            </w:r>
          </w:p>
        </w:tc>
      </w:tr>
      <w:tr>
        <w:trPr>
          <w:trHeight w:val="256"/>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290,000</w:t>
            </w:r>
          </w:p>
        </w:tc>
        <w:tc>
          <w:tcPr>
            <w:tcW w:w="3280" w:type="dxa"/>
            <w:vAlign w:val="bottom"/>
          </w:tcPr>
          <w:p>
            <w:pPr>
              <w:ind w:left="980"/>
              <w:spacing w:after="0"/>
              <w:rPr>
                <w:sz w:val="20"/>
                <w:szCs w:val="20"/>
                <w:color w:val="auto"/>
              </w:rPr>
            </w:pPr>
            <w:r>
              <w:rPr>
                <w:rFonts w:ascii="Arial" w:cs="Arial" w:eastAsia="Arial" w:hAnsi="Arial"/>
                <w:sz w:val="18"/>
                <w:szCs w:val="18"/>
                <w:color w:val="auto"/>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$0.58</w:t>
            </w:r>
          </w:p>
        </w:tc>
      </w:tr>
      <w:tr>
        <w:trPr>
          <w:trHeight w:val="270"/>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300,000</w:t>
            </w:r>
          </w:p>
        </w:tc>
        <w:tc>
          <w:tcPr>
            <w:tcW w:w="3280" w:type="dxa"/>
            <w:vAlign w:val="bottom"/>
          </w:tcPr>
          <w:p>
            <w:pPr>
              <w:ind w:left="980"/>
              <w:spacing w:after="0"/>
              <w:rPr>
                <w:sz w:val="20"/>
                <w:szCs w:val="20"/>
                <w:color w:val="auto"/>
              </w:rPr>
            </w:pPr>
            <w:r>
              <w:rPr>
                <w:rFonts w:ascii="Arial" w:cs="Arial" w:eastAsia="Arial" w:hAnsi="Arial"/>
                <w:sz w:val="18"/>
                <w:szCs w:val="18"/>
                <w:color w:val="auto"/>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$0.58</w:t>
            </w:r>
          </w:p>
        </w:tc>
      </w:tr>
      <w:tr>
        <w:trPr>
          <w:trHeight w:val="257"/>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580,000</w:t>
            </w:r>
          </w:p>
        </w:tc>
        <w:tc>
          <w:tcPr>
            <w:tcW w:w="3280" w:type="dxa"/>
            <w:vAlign w:val="bottom"/>
          </w:tcPr>
          <w:p>
            <w:pPr>
              <w:ind w:left="980"/>
              <w:spacing w:after="0"/>
              <w:rPr>
                <w:sz w:val="20"/>
                <w:szCs w:val="20"/>
                <w:color w:val="auto"/>
              </w:rPr>
            </w:pPr>
            <w:r>
              <w:rPr>
                <w:rFonts w:ascii="Arial" w:cs="Arial" w:eastAsia="Arial" w:hAnsi="Arial"/>
                <w:sz w:val="18"/>
                <w:szCs w:val="18"/>
                <w:color w:val="auto"/>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$0.59</w:t>
            </w:r>
          </w:p>
        </w:tc>
      </w:tr>
      <w:tr>
        <w:trPr>
          <w:trHeight w:val="270"/>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700,000</w:t>
            </w:r>
          </w:p>
        </w:tc>
        <w:tc>
          <w:tcPr>
            <w:tcW w:w="3280" w:type="dxa"/>
            <w:vAlign w:val="bottom"/>
          </w:tcPr>
          <w:p>
            <w:pPr>
              <w:ind w:left="980"/>
              <w:spacing w:after="0"/>
              <w:rPr>
                <w:sz w:val="20"/>
                <w:szCs w:val="20"/>
                <w:color w:val="auto"/>
              </w:rPr>
            </w:pPr>
            <w:r>
              <w:rPr>
                <w:rFonts w:ascii="Arial" w:cs="Arial" w:eastAsia="Arial" w:hAnsi="Arial"/>
                <w:sz w:val="18"/>
                <w:szCs w:val="18"/>
                <w:color w:val="auto"/>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$0.58</w:t>
            </w:r>
          </w:p>
        </w:tc>
      </w:tr>
      <w:tr>
        <w:trPr>
          <w:trHeight w:val="257"/>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123,400</w:t>
            </w:r>
          </w:p>
        </w:tc>
        <w:tc>
          <w:tcPr>
            <w:tcW w:w="3280" w:type="dxa"/>
            <w:vAlign w:val="bottom"/>
          </w:tcPr>
          <w:p>
            <w:pPr>
              <w:ind w:left="980"/>
              <w:spacing w:after="0"/>
              <w:rPr>
                <w:sz w:val="20"/>
                <w:szCs w:val="20"/>
                <w:color w:val="auto"/>
              </w:rPr>
            </w:pPr>
            <w:r>
              <w:rPr>
                <w:rFonts w:ascii="Arial" w:cs="Arial" w:eastAsia="Arial" w:hAnsi="Arial"/>
                <w:sz w:val="18"/>
                <w:szCs w:val="18"/>
                <w:color w:val="auto"/>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$0.66</w:t>
            </w:r>
          </w:p>
        </w:tc>
      </w:tr>
      <w:tr>
        <w:trPr>
          <w:trHeight w:val="269"/>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884,000</w:t>
            </w:r>
          </w:p>
        </w:tc>
        <w:tc>
          <w:tcPr>
            <w:tcW w:w="3280" w:type="dxa"/>
            <w:vAlign w:val="bottom"/>
          </w:tcPr>
          <w:p>
            <w:pPr>
              <w:ind w:left="980"/>
              <w:spacing w:after="0"/>
              <w:rPr>
                <w:sz w:val="20"/>
                <w:szCs w:val="20"/>
                <w:color w:val="auto"/>
              </w:rPr>
            </w:pPr>
            <w:r>
              <w:rPr>
                <w:rFonts w:ascii="Arial" w:cs="Arial" w:eastAsia="Arial" w:hAnsi="Arial"/>
                <w:sz w:val="18"/>
                <w:szCs w:val="18"/>
                <w:color w:val="auto"/>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$0.61</w:t>
            </w:r>
          </w:p>
        </w:tc>
      </w:tr>
      <w:tr>
        <w:trPr>
          <w:trHeight w:val="257"/>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102,000</w:t>
            </w:r>
          </w:p>
        </w:tc>
        <w:tc>
          <w:tcPr>
            <w:tcW w:w="3280" w:type="dxa"/>
            <w:vAlign w:val="bottom"/>
          </w:tcPr>
          <w:p>
            <w:pPr>
              <w:ind w:left="980"/>
              <w:spacing w:after="0"/>
              <w:rPr>
                <w:sz w:val="20"/>
                <w:szCs w:val="20"/>
                <w:color w:val="auto"/>
              </w:rPr>
            </w:pPr>
            <w:r>
              <w:rPr>
                <w:rFonts w:ascii="Arial" w:cs="Arial" w:eastAsia="Arial" w:hAnsi="Arial"/>
                <w:sz w:val="18"/>
                <w:szCs w:val="18"/>
                <w:color w:val="auto"/>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$0.60</w:t>
            </w:r>
          </w:p>
        </w:tc>
      </w:tr>
      <w:tr>
        <w:trPr>
          <w:trHeight w:val="269"/>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90"/>
              </w:rPr>
              <w:t>50,000</w:t>
            </w:r>
          </w:p>
        </w:tc>
        <w:tc>
          <w:tcPr>
            <w:tcW w:w="3280" w:type="dxa"/>
            <w:vAlign w:val="bottom"/>
          </w:tcPr>
          <w:p>
            <w:pPr>
              <w:ind w:left="980"/>
              <w:spacing w:after="0"/>
              <w:rPr>
                <w:sz w:val="20"/>
                <w:szCs w:val="20"/>
                <w:color w:val="auto"/>
              </w:rPr>
            </w:pPr>
            <w:r>
              <w:rPr>
                <w:rFonts w:ascii="Arial" w:cs="Arial" w:eastAsia="Arial" w:hAnsi="Arial"/>
                <w:sz w:val="18"/>
                <w:szCs w:val="18"/>
                <w:color w:val="auto"/>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$0.60</w:t>
            </w:r>
          </w:p>
        </w:tc>
      </w:tr>
      <w:tr>
        <w:trPr>
          <w:trHeight w:val="257"/>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620,000</w:t>
            </w:r>
          </w:p>
        </w:tc>
        <w:tc>
          <w:tcPr>
            <w:tcW w:w="3280" w:type="dxa"/>
            <w:vAlign w:val="bottom"/>
          </w:tcPr>
          <w:p>
            <w:pPr>
              <w:ind w:left="980"/>
              <w:spacing w:after="0"/>
              <w:rPr>
                <w:sz w:val="20"/>
                <w:szCs w:val="20"/>
                <w:color w:val="auto"/>
              </w:rPr>
            </w:pPr>
            <w:r>
              <w:rPr>
                <w:rFonts w:ascii="Arial" w:cs="Arial" w:eastAsia="Arial" w:hAnsi="Arial"/>
                <w:sz w:val="18"/>
                <w:szCs w:val="18"/>
                <w:color w:val="auto"/>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$0.55</w:t>
            </w:r>
          </w:p>
        </w:tc>
      </w:tr>
      <w:tr>
        <w:trPr>
          <w:trHeight w:val="257"/>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125,837</w:t>
            </w:r>
          </w:p>
        </w:tc>
        <w:tc>
          <w:tcPr>
            <w:tcW w:w="3280" w:type="dxa"/>
            <w:vAlign w:val="bottom"/>
          </w:tcPr>
          <w:p>
            <w:pPr>
              <w:ind w:left="980"/>
              <w:spacing w:after="0"/>
              <w:rPr>
                <w:sz w:val="20"/>
                <w:szCs w:val="20"/>
                <w:color w:val="auto"/>
              </w:rPr>
            </w:pPr>
            <w:r>
              <w:rPr>
                <w:rFonts w:ascii="Arial" w:cs="Arial" w:eastAsia="Arial" w:hAnsi="Arial"/>
                <w:sz w:val="18"/>
                <w:szCs w:val="18"/>
                <w:color w:val="auto"/>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$0.55</w:t>
            </w:r>
          </w:p>
        </w:tc>
      </w:tr>
      <w:tr>
        <w:trPr>
          <w:trHeight w:val="270"/>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446,000</w:t>
            </w:r>
          </w:p>
        </w:tc>
        <w:tc>
          <w:tcPr>
            <w:tcW w:w="3280" w:type="dxa"/>
            <w:vAlign w:val="bottom"/>
          </w:tcPr>
          <w:p>
            <w:pPr>
              <w:ind w:left="980"/>
              <w:spacing w:after="0"/>
              <w:rPr>
                <w:sz w:val="20"/>
                <w:szCs w:val="20"/>
                <w:color w:val="auto"/>
              </w:rPr>
            </w:pPr>
            <w:r>
              <w:rPr>
                <w:rFonts w:ascii="Arial" w:cs="Arial" w:eastAsia="Arial" w:hAnsi="Arial"/>
                <w:sz w:val="18"/>
                <w:szCs w:val="18"/>
                <w:color w:val="auto"/>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$0.54</w:t>
            </w:r>
          </w:p>
        </w:tc>
      </w:tr>
      <w:tr>
        <w:trPr>
          <w:trHeight w:val="257"/>
        </w:trPr>
        <w:tc>
          <w:tcPr>
            <w:tcW w:w="1700" w:type="dxa"/>
            <w:vAlign w:val="bottom"/>
          </w:tcPr>
          <w:p>
            <w:pPr>
              <w:jc w:val="center"/>
              <w:ind w:right="890"/>
              <w:spacing w:after="0"/>
              <w:rPr>
                <w:sz w:val="20"/>
                <w:szCs w:val="20"/>
                <w:color w:val="auto"/>
              </w:rPr>
            </w:pPr>
            <w:r>
              <w:rPr>
                <w:rFonts w:ascii="Arial" w:cs="Arial" w:eastAsia="Arial" w:hAnsi="Arial"/>
                <w:sz w:val="18"/>
                <w:szCs w:val="18"/>
                <w:color w:val="auto"/>
                <w:w w:val="89"/>
              </w:rPr>
              <w:t>2,387,222</w:t>
            </w:r>
          </w:p>
        </w:tc>
        <w:tc>
          <w:tcPr>
            <w:tcW w:w="3280" w:type="dxa"/>
            <w:vAlign w:val="bottom"/>
          </w:tcPr>
          <w:p>
            <w:pPr>
              <w:ind w:left="980"/>
              <w:spacing w:after="0"/>
              <w:rPr>
                <w:sz w:val="20"/>
                <w:szCs w:val="20"/>
                <w:color w:val="auto"/>
              </w:rPr>
            </w:pPr>
            <w:r>
              <w:rPr>
                <w:rFonts w:ascii="Arial" w:cs="Arial" w:eastAsia="Arial" w:hAnsi="Arial"/>
                <w:sz w:val="18"/>
                <w:szCs w:val="18"/>
                <w:color w:val="auto"/>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$0.52</w:t>
            </w:r>
          </w:p>
        </w:tc>
      </w:tr>
      <w:tr>
        <w:trPr>
          <w:trHeight w:val="269"/>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200,000</w:t>
            </w:r>
          </w:p>
        </w:tc>
        <w:tc>
          <w:tcPr>
            <w:tcW w:w="3280" w:type="dxa"/>
            <w:vAlign w:val="bottom"/>
          </w:tcPr>
          <w:p>
            <w:pPr>
              <w:ind w:left="980"/>
              <w:spacing w:after="0"/>
              <w:rPr>
                <w:sz w:val="20"/>
                <w:szCs w:val="20"/>
                <w:color w:val="auto"/>
              </w:rPr>
            </w:pPr>
            <w:r>
              <w:rPr>
                <w:rFonts w:ascii="Arial" w:cs="Arial" w:eastAsia="Arial" w:hAnsi="Arial"/>
                <w:sz w:val="18"/>
                <w:szCs w:val="18"/>
                <w:color w:val="auto"/>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$0.53</w:t>
            </w:r>
          </w:p>
        </w:tc>
      </w:tr>
      <w:tr>
        <w:trPr>
          <w:trHeight w:val="257"/>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90"/>
              </w:rPr>
              <w:t>80,000</w:t>
            </w:r>
          </w:p>
        </w:tc>
        <w:tc>
          <w:tcPr>
            <w:tcW w:w="3280" w:type="dxa"/>
            <w:vAlign w:val="bottom"/>
          </w:tcPr>
          <w:p>
            <w:pPr>
              <w:ind w:left="980"/>
              <w:spacing w:after="0"/>
              <w:rPr>
                <w:sz w:val="20"/>
                <w:szCs w:val="20"/>
                <w:color w:val="auto"/>
              </w:rPr>
            </w:pPr>
            <w:r>
              <w:rPr>
                <w:rFonts w:ascii="Arial" w:cs="Arial" w:eastAsia="Arial" w:hAnsi="Arial"/>
                <w:sz w:val="18"/>
                <w:szCs w:val="18"/>
                <w:color w:val="auto"/>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$0.52</w:t>
            </w:r>
          </w:p>
        </w:tc>
      </w:tr>
      <w:tr>
        <w:trPr>
          <w:trHeight w:val="269"/>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254,000</w:t>
            </w:r>
          </w:p>
        </w:tc>
        <w:tc>
          <w:tcPr>
            <w:tcW w:w="3280" w:type="dxa"/>
            <w:vAlign w:val="bottom"/>
          </w:tcPr>
          <w:p>
            <w:pPr>
              <w:ind w:left="980"/>
              <w:spacing w:after="0"/>
              <w:rPr>
                <w:sz w:val="20"/>
                <w:szCs w:val="20"/>
                <w:color w:val="auto"/>
              </w:rPr>
            </w:pPr>
            <w:r>
              <w:rPr>
                <w:rFonts w:ascii="Arial" w:cs="Arial" w:eastAsia="Arial" w:hAnsi="Arial"/>
                <w:sz w:val="18"/>
                <w:szCs w:val="18"/>
                <w:color w:val="auto"/>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257"/>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180,000</w:t>
            </w:r>
          </w:p>
        </w:tc>
        <w:tc>
          <w:tcPr>
            <w:tcW w:w="3280" w:type="dxa"/>
            <w:vAlign w:val="bottom"/>
          </w:tcPr>
          <w:p>
            <w:pPr>
              <w:ind w:left="980"/>
              <w:spacing w:after="0"/>
              <w:rPr>
                <w:sz w:val="20"/>
                <w:szCs w:val="20"/>
                <w:color w:val="auto"/>
              </w:rPr>
            </w:pPr>
            <w:r>
              <w:rPr>
                <w:rFonts w:ascii="Arial" w:cs="Arial" w:eastAsia="Arial" w:hAnsi="Arial"/>
                <w:sz w:val="18"/>
                <w:szCs w:val="18"/>
                <w:color w:val="auto"/>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256"/>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170,000</w:t>
            </w:r>
          </w:p>
        </w:tc>
        <w:tc>
          <w:tcPr>
            <w:tcW w:w="3280" w:type="dxa"/>
            <w:vAlign w:val="bottom"/>
          </w:tcPr>
          <w:p>
            <w:pPr>
              <w:ind w:left="980"/>
              <w:spacing w:after="0"/>
              <w:rPr>
                <w:sz w:val="20"/>
                <w:szCs w:val="20"/>
                <w:color w:val="auto"/>
              </w:rPr>
            </w:pPr>
            <w:r>
              <w:rPr>
                <w:rFonts w:ascii="Arial" w:cs="Arial" w:eastAsia="Arial" w:hAnsi="Arial"/>
                <w:sz w:val="18"/>
                <w:szCs w:val="18"/>
                <w:color w:val="auto"/>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270"/>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439,000</w:t>
            </w:r>
          </w:p>
        </w:tc>
        <w:tc>
          <w:tcPr>
            <w:tcW w:w="3280" w:type="dxa"/>
            <w:vAlign w:val="bottom"/>
          </w:tcPr>
          <w:p>
            <w:pPr>
              <w:ind w:left="980"/>
              <w:spacing w:after="0"/>
              <w:rPr>
                <w:sz w:val="20"/>
                <w:szCs w:val="20"/>
                <w:color w:val="auto"/>
              </w:rPr>
            </w:pPr>
            <w:r>
              <w:rPr>
                <w:rFonts w:ascii="Arial" w:cs="Arial" w:eastAsia="Arial" w:hAnsi="Arial"/>
                <w:sz w:val="18"/>
                <w:szCs w:val="18"/>
                <w:color w:val="auto"/>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$0.52</w:t>
            </w:r>
          </w:p>
        </w:tc>
      </w:tr>
      <w:tr>
        <w:trPr>
          <w:trHeight w:val="257"/>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90"/>
              </w:rPr>
              <w:t>47,300</w:t>
            </w:r>
          </w:p>
        </w:tc>
        <w:tc>
          <w:tcPr>
            <w:tcW w:w="3280" w:type="dxa"/>
            <w:vAlign w:val="bottom"/>
          </w:tcPr>
          <w:p>
            <w:pPr>
              <w:ind w:left="980"/>
              <w:spacing w:after="0"/>
              <w:rPr>
                <w:sz w:val="20"/>
                <w:szCs w:val="20"/>
                <w:color w:val="auto"/>
              </w:rPr>
            </w:pPr>
            <w:r>
              <w:rPr>
                <w:rFonts w:ascii="Arial" w:cs="Arial" w:eastAsia="Arial" w:hAnsi="Arial"/>
                <w:sz w:val="18"/>
                <w:szCs w:val="18"/>
                <w:color w:val="auto"/>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270"/>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350,000</w:t>
            </w:r>
          </w:p>
        </w:tc>
        <w:tc>
          <w:tcPr>
            <w:tcW w:w="3280" w:type="dxa"/>
            <w:vAlign w:val="bottom"/>
          </w:tcPr>
          <w:p>
            <w:pPr>
              <w:ind w:left="980"/>
              <w:spacing w:after="0"/>
              <w:rPr>
                <w:sz w:val="20"/>
                <w:szCs w:val="20"/>
                <w:color w:val="auto"/>
              </w:rPr>
            </w:pPr>
            <w:r>
              <w:rPr>
                <w:rFonts w:ascii="Arial" w:cs="Arial" w:eastAsia="Arial" w:hAnsi="Arial"/>
                <w:sz w:val="18"/>
                <w:szCs w:val="18"/>
                <w:color w:val="auto"/>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$0.49</w:t>
            </w:r>
          </w:p>
        </w:tc>
      </w:tr>
      <w:tr>
        <w:trPr>
          <w:trHeight w:val="257"/>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200,000</w:t>
            </w:r>
          </w:p>
        </w:tc>
        <w:tc>
          <w:tcPr>
            <w:tcW w:w="3280" w:type="dxa"/>
            <w:vAlign w:val="bottom"/>
          </w:tcPr>
          <w:p>
            <w:pPr>
              <w:ind w:left="980"/>
              <w:spacing w:after="0"/>
              <w:rPr>
                <w:sz w:val="20"/>
                <w:szCs w:val="20"/>
                <w:color w:val="auto"/>
              </w:rPr>
            </w:pPr>
            <w:r>
              <w:rPr>
                <w:rFonts w:ascii="Arial" w:cs="Arial" w:eastAsia="Arial" w:hAnsi="Arial"/>
                <w:sz w:val="18"/>
                <w:szCs w:val="18"/>
                <w:color w:val="auto"/>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$0.48</w:t>
            </w:r>
          </w:p>
        </w:tc>
      </w:tr>
      <w:tr>
        <w:trPr>
          <w:trHeight w:val="269"/>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153,000</w:t>
            </w:r>
          </w:p>
        </w:tc>
        <w:tc>
          <w:tcPr>
            <w:tcW w:w="3280" w:type="dxa"/>
            <w:vAlign w:val="bottom"/>
          </w:tcPr>
          <w:p>
            <w:pPr>
              <w:ind w:left="980"/>
              <w:spacing w:after="0"/>
              <w:rPr>
                <w:sz w:val="20"/>
                <w:szCs w:val="20"/>
                <w:color w:val="auto"/>
              </w:rPr>
            </w:pPr>
            <w:r>
              <w:rPr>
                <w:rFonts w:ascii="Arial" w:cs="Arial" w:eastAsia="Arial" w:hAnsi="Arial"/>
                <w:sz w:val="18"/>
                <w:szCs w:val="18"/>
                <w:color w:val="auto"/>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$0.49</w:t>
            </w:r>
          </w:p>
        </w:tc>
      </w:tr>
      <w:tr>
        <w:trPr>
          <w:trHeight w:val="257"/>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257,600</w:t>
            </w:r>
          </w:p>
        </w:tc>
        <w:tc>
          <w:tcPr>
            <w:tcW w:w="3280" w:type="dxa"/>
            <w:vAlign w:val="bottom"/>
          </w:tcPr>
          <w:p>
            <w:pPr>
              <w:ind w:left="980"/>
              <w:spacing w:after="0"/>
              <w:rPr>
                <w:sz w:val="20"/>
                <w:szCs w:val="20"/>
                <w:color w:val="auto"/>
              </w:rPr>
            </w:pPr>
            <w:r>
              <w:rPr>
                <w:rFonts w:ascii="Arial" w:cs="Arial" w:eastAsia="Arial" w:hAnsi="Arial"/>
                <w:sz w:val="18"/>
                <w:szCs w:val="18"/>
                <w:color w:val="auto"/>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$0.47</w:t>
            </w:r>
          </w:p>
        </w:tc>
      </w:tr>
      <w:tr>
        <w:trPr>
          <w:trHeight w:val="269"/>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300,000</w:t>
            </w:r>
          </w:p>
        </w:tc>
        <w:tc>
          <w:tcPr>
            <w:tcW w:w="3280" w:type="dxa"/>
            <w:vAlign w:val="bottom"/>
          </w:tcPr>
          <w:p>
            <w:pPr>
              <w:ind w:left="980"/>
              <w:spacing w:after="0"/>
              <w:rPr>
                <w:sz w:val="20"/>
                <w:szCs w:val="20"/>
                <w:color w:val="auto"/>
              </w:rPr>
            </w:pPr>
            <w:r>
              <w:rPr>
                <w:rFonts w:ascii="Arial" w:cs="Arial" w:eastAsia="Arial" w:hAnsi="Arial"/>
                <w:sz w:val="18"/>
                <w:szCs w:val="18"/>
                <w:color w:val="auto"/>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$0.43</w:t>
            </w:r>
          </w:p>
        </w:tc>
      </w:tr>
      <w:tr>
        <w:trPr>
          <w:trHeight w:val="257"/>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323,000</w:t>
            </w:r>
          </w:p>
        </w:tc>
        <w:tc>
          <w:tcPr>
            <w:tcW w:w="3280" w:type="dxa"/>
            <w:vAlign w:val="bottom"/>
          </w:tcPr>
          <w:p>
            <w:pPr>
              <w:ind w:left="980"/>
              <w:spacing w:after="0"/>
              <w:rPr>
                <w:sz w:val="20"/>
                <w:szCs w:val="20"/>
                <w:color w:val="auto"/>
              </w:rPr>
            </w:pPr>
            <w:r>
              <w:rPr>
                <w:rFonts w:ascii="Arial" w:cs="Arial" w:eastAsia="Arial" w:hAnsi="Arial"/>
                <w:sz w:val="18"/>
                <w:szCs w:val="18"/>
                <w:color w:val="auto"/>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$0.42</w:t>
            </w:r>
          </w:p>
        </w:tc>
      </w:tr>
      <w:tr>
        <w:trPr>
          <w:trHeight w:val="257"/>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250,000</w:t>
            </w:r>
          </w:p>
        </w:tc>
        <w:tc>
          <w:tcPr>
            <w:tcW w:w="3280" w:type="dxa"/>
            <w:vAlign w:val="bottom"/>
          </w:tcPr>
          <w:p>
            <w:pPr>
              <w:ind w:left="980"/>
              <w:spacing w:after="0"/>
              <w:rPr>
                <w:sz w:val="20"/>
                <w:szCs w:val="20"/>
                <w:color w:val="auto"/>
              </w:rPr>
            </w:pPr>
            <w:r>
              <w:rPr>
                <w:rFonts w:ascii="Arial" w:cs="Arial" w:eastAsia="Arial" w:hAnsi="Arial"/>
                <w:sz w:val="18"/>
                <w:szCs w:val="18"/>
                <w:color w:val="auto"/>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$0.41</w:t>
            </w:r>
          </w:p>
        </w:tc>
      </w:tr>
      <w:tr>
        <w:trPr>
          <w:trHeight w:val="270"/>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300,000</w:t>
            </w:r>
          </w:p>
        </w:tc>
        <w:tc>
          <w:tcPr>
            <w:tcW w:w="3280" w:type="dxa"/>
            <w:vAlign w:val="bottom"/>
          </w:tcPr>
          <w:p>
            <w:pPr>
              <w:ind w:left="980"/>
              <w:spacing w:after="0"/>
              <w:rPr>
                <w:sz w:val="20"/>
                <w:szCs w:val="20"/>
                <w:color w:val="auto"/>
              </w:rPr>
            </w:pPr>
            <w:r>
              <w:rPr>
                <w:rFonts w:ascii="Arial" w:cs="Arial" w:eastAsia="Arial" w:hAnsi="Arial"/>
                <w:sz w:val="18"/>
                <w:szCs w:val="18"/>
                <w:color w:val="auto"/>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$0.40</w:t>
            </w:r>
          </w:p>
        </w:tc>
      </w:tr>
      <w:tr>
        <w:trPr>
          <w:trHeight w:val="256"/>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250,000</w:t>
            </w:r>
          </w:p>
        </w:tc>
        <w:tc>
          <w:tcPr>
            <w:tcW w:w="3280" w:type="dxa"/>
            <w:vAlign w:val="bottom"/>
          </w:tcPr>
          <w:p>
            <w:pPr>
              <w:ind w:left="980"/>
              <w:spacing w:after="0"/>
              <w:rPr>
                <w:sz w:val="20"/>
                <w:szCs w:val="20"/>
                <w:color w:val="auto"/>
              </w:rPr>
            </w:pPr>
            <w:r>
              <w:rPr>
                <w:rFonts w:ascii="Arial" w:cs="Arial" w:eastAsia="Arial" w:hAnsi="Arial"/>
                <w:sz w:val="18"/>
                <w:szCs w:val="18"/>
                <w:color w:val="auto"/>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$0.41</w:t>
            </w:r>
          </w:p>
        </w:tc>
      </w:tr>
      <w:tr>
        <w:trPr>
          <w:trHeight w:val="269"/>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392,000</w:t>
            </w:r>
          </w:p>
        </w:tc>
        <w:tc>
          <w:tcPr>
            <w:tcW w:w="3280" w:type="dxa"/>
            <w:vAlign w:val="bottom"/>
          </w:tcPr>
          <w:p>
            <w:pPr>
              <w:ind w:left="980"/>
              <w:spacing w:after="0"/>
              <w:rPr>
                <w:sz w:val="20"/>
                <w:szCs w:val="20"/>
                <w:color w:val="auto"/>
              </w:rPr>
            </w:pPr>
            <w:r>
              <w:rPr>
                <w:rFonts w:ascii="Arial" w:cs="Arial" w:eastAsia="Arial" w:hAnsi="Arial"/>
                <w:sz w:val="18"/>
                <w:szCs w:val="18"/>
                <w:color w:val="auto"/>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$0.40</w:t>
            </w:r>
          </w:p>
        </w:tc>
      </w:tr>
      <w:tr>
        <w:trPr>
          <w:trHeight w:val="257"/>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400,000</w:t>
            </w:r>
          </w:p>
        </w:tc>
        <w:tc>
          <w:tcPr>
            <w:tcW w:w="3280" w:type="dxa"/>
            <w:vAlign w:val="bottom"/>
          </w:tcPr>
          <w:p>
            <w:pPr>
              <w:ind w:left="980"/>
              <w:spacing w:after="0"/>
              <w:rPr>
                <w:sz w:val="20"/>
                <w:szCs w:val="20"/>
                <w:color w:val="auto"/>
              </w:rPr>
            </w:pPr>
            <w:r>
              <w:rPr>
                <w:rFonts w:ascii="Arial" w:cs="Arial" w:eastAsia="Arial" w:hAnsi="Arial"/>
                <w:sz w:val="18"/>
                <w:szCs w:val="18"/>
                <w:color w:val="auto"/>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$0.40</w:t>
            </w:r>
          </w:p>
        </w:tc>
      </w:tr>
      <w:tr>
        <w:trPr>
          <w:trHeight w:val="269"/>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104,836</w:t>
            </w:r>
          </w:p>
        </w:tc>
        <w:tc>
          <w:tcPr>
            <w:tcW w:w="3280" w:type="dxa"/>
            <w:vAlign w:val="bottom"/>
          </w:tcPr>
          <w:p>
            <w:pPr>
              <w:ind w:left="980"/>
              <w:spacing w:after="0"/>
              <w:rPr>
                <w:sz w:val="20"/>
                <w:szCs w:val="20"/>
                <w:color w:val="auto"/>
              </w:rPr>
            </w:pPr>
            <w:r>
              <w:rPr>
                <w:rFonts w:ascii="Arial" w:cs="Arial" w:eastAsia="Arial" w:hAnsi="Arial"/>
                <w:sz w:val="18"/>
                <w:szCs w:val="18"/>
                <w:color w:val="auto"/>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$0.39</w:t>
            </w:r>
          </w:p>
        </w:tc>
      </w:tr>
      <w:tr>
        <w:trPr>
          <w:trHeight w:val="257"/>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250,000</w:t>
            </w:r>
          </w:p>
        </w:tc>
        <w:tc>
          <w:tcPr>
            <w:tcW w:w="3280" w:type="dxa"/>
            <w:vAlign w:val="bottom"/>
          </w:tcPr>
          <w:p>
            <w:pPr>
              <w:ind w:left="980"/>
              <w:spacing w:after="0"/>
              <w:rPr>
                <w:sz w:val="20"/>
                <w:szCs w:val="20"/>
                <w:color w:val="auto"/>
              </w:rPr>
            </w:pPr>
            <w:r>
              <w:rPr>
                <w:rFonts w:ascii="Arial" w:cs="Arial" w:eastAsia="Arial" w:hAnsi="Arial"/>
                <w:sz w:val="18"/>
                <w:szCs w:val="18"/>
                <w:color w:val="auto"/>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$0.40</w:t>
            </w:r>
          </w:p>
        </w:tc>
      </w:tr>
      <w:tr>
        <w:trPr>
          <w:trHeight w:val="257"/>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275,000</w:t>
            </w:r>
          </w:p>
        </w:tc>
        <w:tc>
          <w:tcPr>
            <w:tcW w:w="3280" w:type="dxa"/>
            <w:vAlign w:val="bottom"/>
          </w:tcPr>
          <w:p>
            <w:pPr>
              <w:ind w:left="980"/>
              <w:spacing w:after="0"/>
              <w:rPr>
                <w:sz w:val="20"/>
                <w:szCs w:val="20"/>
                <w:color w:val="auto"/>
              </w:rPr>
            </w:pPr>
            <w:r>
              <w:rPr>
                <w:rFonts w:ascii="Arial" w:cs="Arial" w:eastAsia="Arial" w:hAnsi="Arial"/>
                <w:sz w:val="18"/>
                <w:szCs w:val="18"/>
                <w:color w:val="auto"/>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$0.40</w:t>
            </w:r>
          </w:p>
        </w:tc>
      </w:tr>
      <w:tr>
        <w:trPr>
          <w:trHeight w:val="270"/>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387,000</w:t>
            </w:r>
          </w:p>
        </w:tc>
        <w:tc>
          <w:tcPr>
            <w:tcW w:w="3280" w:type="dxa"/>
            <w:vAlign w:val="bottom"/>
          </w:tcPr>
          <w:p>
            <w:pPr>
              <w:ind w:left="980"/>
              <w:spacing w:after="0"/>
              <w:rPr>
                <w:sz w:val="20"/>
                <w:szCs w:val="20"/>
                <w:color w:val="auto"/>
              </w:rPr>
            </w:pPr>
            <w:r>
              <w:rPr>
                <w:rFonts w:ascii="Arial" w:cs="Arial" w:eastAsia="Arial" w:hAnsi="Arial"/>
                <w:sz w:val="18"/>
                <w:szCs w:val="18"/>
                <w:color w:val="auto"/>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$0.39</w:t>
            </w:r>
          </w:p>
        </w:tc>
      </w:tr>
      <w:tr>
        <w:trPr>
          <w:trHeight w:val="256"/>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429,000</w:t>
            </w:r>
          </w:p>
        </w:tc>
        <w:tc>
          <w:tcPr>
            <w:tcW w:w="3280" w:type="dxa"/>
            <w:vAlign w:val="bottom"/>
          </w:tcPr>
          <w:p>
            <w:pPr>
              <w:ind w:left="980"/>
              <w:spacing w:after="0"/>
              <w:rPr>
                <w:sz w:val="20"/>
                <w:szCs w:val="20"/>
                <w:color w:val="auto"/>
              </w:rPr>
            </w:pPr>
            <w:r>
              <w:rPr>
                <w:rFonts w:ascii="Arial" w:cs="Arial" w:eastAsia="Arial" w:hAnsi="Arial"/>
                <w:sz w:val="18"/>
                <w:szCs w:val="18"/>
                <w:color w:val="auto"/>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$0.38</w:t>
            </w:r>
          </w:p>
        </w:tc>
      </w:tr>
      <w:tr>
        <w:trPr>
          <w:trHeight w:val="270"/>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300,000</w:t>
            </w:r>
          </w:p>
        </w:tc>
        <w:tc>
          <w:tcPr>
            <w:tcW w:w="3280" w:type="dxa"/>
            <w:vAlign w:val="bottom"/>
          </w:tcPr>
          <w:p>
            <w:pPr>
              <w:ind w:left="980"/>
              <w:spacing w:after="0"/>
              <w:rPr>
                <w:sz w:val="20"/>
                <w:szCs w:val="20"/>
                <w:color w:val="auto"/>
              </w:rPr>
            </w:pPr>
            <w:r>
              <w:rPr>
                <w:rFonts w:ascii="Arial" w:cs="Arial" w:eastAsia="Arial" w:hAnsi="Arial"/>
                <w:sz w:val="18"/>
                <w:szCs w:val="18"/>
                <w:color w:val="auto"/>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$0.37</w:t>
            </w:r>
          </w:p>
        </w:tc>
      </w:tr>
      <w:tr>
        <w:trPr>
          <w:trHeight w:val="257"/>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463,000</w:t>
            </w:r>
          </w:p>
        </w:tc>
        <w:tc>
          <w:tcPr>
            <w:tcW w:w="3280" w:type="dxa"/>
            <w:vAlign w:val="bottom"/>
          </w:tcPr>
          <w:p>
            <w:pPr>
              <w:ind w:left="980"/>
              <w:spacing w:after="0"/>
              <w:rPr>
                <w:sz w:val="20"/>
                <w:szCs w:val="20"/>
                <w:color w:val="auto"/>
              </w:rPr>
            </w:pPr>
            <w:r>
              <w:rPr>
                <w:rFonts w:ascii="Arial" w:cs="Arial" w:eastAsia="Arial" w:hAnsi="Arial"/>
                <w:sz w:val="18"/>
                <w:szCs w:val="18"/>
                <w:color w:val="auto"/>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$0.37</w:t>
            </w:r>
          </w:p>
        </w:tc>
      </w:tr>
      <w:tr>
        <w:trPr>
          <w:trHeight w:val="270"/>
        </w:trPr>
        <w:tc>
          <w:tcPr>
            <w:tcW w:w="1700" w:type="dxa"/>
            <w:vAlign w:val="bottom"/>
          </w:tcPr>
          <w:p>
            <w:pPr>
              <w:jc w:val="center"/>
              <w:ind w:right="870"/>
              <w:spacing w:after="0"/>
              <w:rPr>
                <w:sz w:val="20"/>
                <w:szCs w:val="20"/>
                <w:color w:val="auto"/>
              </w:rPr>
            </w:pPr>
            <w:r>
              <w:rPr>
                <w:rFonts w:ascii="Arial" w:cs="Arial" w:eastAsia="Arial" w:hAnsi="Arial"/>
                <w:sz w:val="18"/>
                <w:szCs w:val="18"/>
                <w:color w:val="auto"/>
                <w:w w:val="89"/>
              </w:rPr>
              <w:t>400,000</w:t>
            </w:r>
          </w:p>
        </w:tc>
        <w:tc>
          <w:tcPr>
            <w:tcW w:w="3280" w:type="dxa"/>
            <w:vAlign w:val="bottom"/>
          </w:tcPr>
          <w:p>
            <w:pPr>
              <w:ind w:left="980"/>
              <w:spacing w:after="0"/>
              <w:rPr>
                <w:sz w:val="20"/>
                <w:szCs w:val="20"/>
                <w:color w:val="auto"/>
              </w:rPr>
            </w:pPr>
            <w:r>
              <w:rPr>
                <w:rFonts w:ascii="Arial" w:cs="Arial" w:eastAsia="Arial" w:hAnsi="Arial"/>
                <w:sz w:val="18"/>
                <w:szCs w:val="18"/>
                <w:color w:val="auto"/>
              </w:rPr>
              <w:t>Common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$0.37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-6986270</wp:posOffset>
            </wp:positionV>
            <wp:extent cx="7132320" cy="163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-6651625</wp:posOffset>
            </wp:positionV>
            <wp:extent cx="7132320" cy="163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-6316980</wp:posOffset>
            </wp:positionV>
            <wp:extent cx="7132320" cy="163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-5982970</wp:posOffset>
            </wp:positionV>
            <wp:extent cx="7132320" cy="1631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-5648960</wp:posOffset>
            </wp:positionV>
            <wp:extent cx="7132320" cy="1631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-5322570</wp:posOffset>
            </wp:positionV>
            <wp:extent cx="713232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-4988560</wp:posOffset>
            </wp:positionV>
            <wp:extent cx="713232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-4654550</wp:posOffset>
            </wp:positionV>
            <wp:extent cx="713232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-4319905</wp:posOffset>
            </wp:positionV>
            <wp:extent cx="7132320" cy="1631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-3985895</wp:posOffset>
            </wp:positionV>
            <wp:extent cx="7132320" cy="163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-3651250</wp:posOffset>
            </wp:positionV>
            <wp:extent cx="7132320" cy="1631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-3316605</wp:posOffset>
            </wp:positionV>
            <wp:extent cx="7132320" cy="162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-2982595</wp:posOffset>
            </wp:positionV>
            <wp:extent cx="7132320" cy="1625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-2656840</wp:posOffset>
            </wp:positionV>
            <wp:extent cx="713232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-2322830</wp:posOffset>
            </wp:positionV>
            <wp:extent cx="713232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-1988185</wp:posOffset>
            </wp:positionV>
            <wp:extent cx="713232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-1653540</wp:posOffset>
            </wp:positionV>
            <wp:extent cx="7132320" cy="1625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-1319530</wp:posOffset>
            </wp:positionV>
            <wp:extent cx="7132320" cy="1631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-985520</wp:posOffset>
            </wp:positionV>
            <wp:extent cx="7132320" cy="1625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-650875</wp:posOffset>
            </wp:positionV>
            <wp:extent cx="7132320" cy="1631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-316865</wp:posOffset>
            </wp:positionV>
            <wp:extent cx="7132320" cy="1625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655" w:lineRule="exact"/>
        <w:rPr>
          <w:sz w:val="20"/>
          <w:szCs w:val="20"/>
          <w:color w:val="auto"/>
        </w:rPr>
      </w:pPr>
    </w:p>
    <w:p>
      <w:pPr>
        <w:sectPr>
          <w:pgSz w:w="11900" w:h="16838" w:orient="portrait"/>
          <w:cols w:equalWidth="0" w:num="2">
            <w:col w:w="2740" w:space="720"/>
            <w:col w:w="7780"/>
          </w:cols>
          <w:pgMar w:left="320" w:top="341" w:right="339" w:bottom="1440" w:gutter="0" w:footer="0" w:header="0"/>
        </w:sectPr>
      </w:pPr>
    </w:p>
    <w:p>
      <w:pPr>
        <w:spacing w:after="0" w:line="12" w:lineRule="exact"/>
        <w:rPr>
          <w:sz w:val="20"/>
          <w:szCs w:val="20"/>
          <w:color w:val="auto"/>
        </w:rPr>
      </w:pPr>
    </w:p>
    <w:p>
      <w:pPr>
        <w:ind w:left="900" w:hanging="460"/>
        <w:spacing w:after="0"/>
        <w:tabs>
          <w:tab w:leader="none" w:pos="9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Common Shares issued in exchange for Class B Shares.</w:t>
      </w:r>
    </w:p>
    <w:p>
      <w:pPr>
        <w:spacing w:after="0" w:line="8" w:lineRule="exact"/>
        <w:rPr>
          <w:rFonts w:ascii="Arial" w:cs="Arial" w:eastAsia="Arial" w:hAnsi="Arial"/>
          <w:sz w:val="22"/>
          <w:szCs w:val="22"/>
          <w:color w:val="auto"/>
        </w:rPr>
      </w:pPr>
    </w:p>
    <w:p>
      <w:pPr>
        <w:ind w:left="900" w:hanging="460"/>
        <w:spacing w:after="0" w:line="230" w:lineRule="auto"/>
        <w:tabs>
          <w:tab w:leader="none" w:pos="9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Common Shares issued on exercise of warrants to purchase Common Shares.</w:t>
      </w:r>
    </w:p>
    <w:p>
      <w:pPr>
        <w:ind w:left="880" w:hanging="440"/>
        <w:spacing w:after="0" w:line="230" w:lineRule="auto"/>
        <w:tabs>
          <w:tab w:leader="none" w:pos="916" w:val="left"/>
        </w:tabs>
        <w:numPr>
          <w:ilvl w:val="0"/>
          <w:numId w:val="14"/>
        </w:numPr>
        <w:rPr>
          <w:rFonts w:ascii="Arial" w:cs="Arial" w:eastAsia="Arial" w:hAnsi="Arial"/>
          <w:sz w:val="22"/>
          <w:szCs w:val="22"/>
          <w:color w:val="auto"/>
        </w:rPr>
      </w:pPr>
      <w:r>
        <w:rPr>
          <w:rFonts w:ascii="Arial" w:cs="Arial" w:eastAsia="Arial" w:hAnsi="Arial"/>
          <w:sz w:val="22"/>
          <w:szCs w:val="22"/>
          <w:color w:val="auto"/>
        </w:rPr>
        <w:t>Price per Class B Share of Cybin U.S., which are exchangeable for 4,560 Common Shares, resulting in an effective issue price of $1.02 per Common Share.</w:t>
      </w:r>
    </w:p>
    <w:p>
      <w:pPr>
        <w:spacing w:after="0" w:line="1" w:lineRule="exact"/>
        <w:rPr>
          <w:rFonts w:ascii="Arial" w:cs="Arial" w:eastAsia="Arial" w:hAnsi="Arial"/>
          <w:sz w:val="22"/>
          <w:szCs w:val="22"/>
          <w:color w:val="auto"/>
        </w:rPr>
      </w:pPr>
    </w:p>
    <w:p>
      <w:pPr>
        <w:ind w:left="880" w:hanging="440"/>
        <w:spacing w:after="0" w:line="230" w:lineRule="auto"/>
        <w:tabs>
          <w:tab w:leader="none" w:pos="916" w:val="left"/>
        </w:tabs>
        <w:numPr>
          <w:ilvl w:val="0"/>
          <w:numId w:val="14"/>
        </w:numPr>
        <w:rPr>
          <w:rFonts w:ascii="Arial" w:cs="Arial" w:eastAsia="Arial" w:hAnsi="Arial"/>
          <w:sz w:val="22"/>
          <w:szCs w:val="22"/>
          <w:color w:val="auto"/>
        </w:rPr>
      </w:pPr>
      <w:r>
        <w:rPr>
          <w:rFonts w:ascii="Arial" w:cs="Arial" w:eastAsia="Arial" w:hAnsi="Arial"/>
          <w:sz w:val="22"/>
          <w:szCs w:val="22"/>
          <w:color w:val="auto"/>
        </w:rPr>
        <w:t>Price per Class B Share of Cybin U.S., which are exchangeable for 2,669,331 Common Shares, resulting in an effective issue price of $0.762 per Common Share.</w:t>
      </w:r>
    </w:p>
    <w:p>
      <w:pPr>
        <w:spacing w:after="0" w:line="1" w:lineRule="exact"/>
        <w:rPr>
          <w:rFonts w:ascii="Arial" w:cs="Arial" w:eastAsia="Arial" w:hAnsi="Arial"/>
          <w:sz w:val="22"/>
          <w:szCs w:val="22"/>
          <w:color w:val="auto"/>
        </w:rPr>
      </w:pPr>
    </w:p>
    <w:p>
      <w:pPr>
        <w:ind w:left="880" w:hanging="440"/>
        <w:spacing w:after="0" w:line="236" w:lineRule="auto"/>
        <w:tabs>
          <w:tab w:leader="none" w:pos="916" w:val="left"/>
        </w:tabs>
        <w:numPr>
          <w:ilvl w:val="0"/>
          <w:numId w:val="14"/>
        </w:numPr>
        <w:rPr>
          <w:rFonts w:ascii="Arial" w:cs="Arial" w:eastAsia="Arial" w:hAnsi="Arial"/>
          <w:sz w:val="22"/>
          <w:szCs w:val="22"/>
          <w:color w:val="auto"/>
        </w:rPr>
      </w:pPr>
      <w:r>
        <w:rPr>
          <w:rFonts w:ascii="Arial" w:cs="Arial" w:eastAsia="Arial" w:hAnsi="Arial"/>
          <w:sz w:val="22"/>
          <w:szCs w:val="22"/>
          <w:color w:val="auto"/>
        </w:rPr>
        <w:t>Price per Class B Share of Cybin U.S., which are exchangeable for 373,662 Common Shares, resulting in an effective issue price of $0.75 per Common Share.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24" w:name="page25"/>
    <w:bookmarkEnd w:id="24"/>
    <w:p>
      <w:pPr>
        <w:jc w:val="both"/>
        <w:ind w:left="880" w:hanging="440"/>
        <w:spacing w:after="0" w:line="300" w:lineRule="auto"/>
        <w:tabs>
          <w:tab w:leader="none" w:pos="916" w:val="left"/>
        </w:tabs>
        <w:numPr>
          <w:ilvl w:val="0"/>
          <w:numId w:val="15"/>
        </w:numPr>
        <w:rPr>
          <w:rFonts w:ascii="Arial" w:cs="Arial" w:eastAsia="Arial" w:hAnsi="Arial"/>
          <w:sz w:val="19"/>
          <w:szCs w:val="19"/>
          <w:color w:val="auto"/>
        </w:rPr>
      </w:pPr>
      <w:r>
        <w:rPr>
          <w:rFonts w:ascii="Arial" w:cs="Arial" w:eastAsia="Arial" w:hAnsi="Arial"/>
          <w:sz w:val="19"/>
          <w:szCs w:val="19"/>
          <w:color w:val="auto"/>
        </w:rPr>
        <w:t>Common shares issued in connection with the Corporation's at-the-market equity program (the "</w:t>
      </w:r>
      <w:r>
        <w:rPr>
          <w:rFonts w:ascii="Arial" w:cs="Arial" w:eastAsia="Arial" w:hAnsi="Arial"/>
          <w:sz w:val="19"/>
          <w:szCs w:val="19"/>
          <w:b w:val="1"/>
          <w:bCs w:val="1"/>
          <w:color w:val="auto"/>
        </w:rPr>
        <w:t>ATM Program</w:t>
      </w:r>
      <w:r>
        <w:rPr>
          <w:rFonts w:ascii="Arial" w:cs="Arial" w:eastAsia="Arial" w:hAnsi="Arial"/>
          <w:sz w:val="19"/>
          <w:szCs w:val="19"/>
          <w:color w:val="auto"/>
        </w:rPr>
        <w:t>") which allows the Corporation to issue and sell up to US$35,000,000 of Common Shares to the public, from time to time, at its discretion. The ATM Program is qualified by the prospectus supplement dated August 8, 2022.</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RISK FACTORS</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i w:val="1"/>
          <w:iCs w:val="1"/>
          <w:color w:val="auto"/>
        </w:rPr>
        <w:t>An investment in the Common Shares is highly speculative and subject to a number of risks. Before deciding whether to invest, investors should consider carefully the risks factors set forth below and in the documents incorporated by reference in the Base Shelf Prospectus and this Prospectus Supplement (including those discussed under the heading "Risk Factors" in the Base Shelf Prospectus and the Corporation's most recent annual information form, annual management discussion &amp; analysis and interim management discussion &amp; analysis) and all of the other information in the Prospectus Supplement (including, without limitation, the documents incorporated by reference). The risks described in this Prospectus Supplement are not the only risks that affect the Corporation. Additional risks and uncertainties that the Corporation is unaware of, or that the Corporation currently deems not to be material, may also become important factors that affect the Corporation. If any such risks actually occur, the Corporation's business, financial condition or results of operations could be materially adversely affected, with the result that the trading price of the Common Shares could decline and investors could lose all or part of their investment.</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 Factors Related to the Offering</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An Investment in the Common Shares is Highly Speculative</w:t>
      </w:r>
    </w:p>
    <w:p>
      <w:pPr>
        <w:spacing w:after="0" w:line="20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An investment in the Common Shares and the Corporation's prospects generally are speculative due to the risky nature of its business and the present stage of its development. Investors may lose their entire investment. There is no assurance that risk management steps taken will avoid future loss due to the occurrence of the risks described or incorporated by reference herein, or other unforeseen risks. If any of such risks actually occur, then the Corporation's business, financial condition and operating results could be adversely affected. Investors should carefully consider all risks and consult with their professional advisors to assess any investment in the Corporation.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Completion of the Offering</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 xml:space="preserve">The completion of the Offering remains subject to a number of conditions, and there can be no certainty that the Offering will be completed. If the Offering is not completed, the Corporation may not be able to raise the funds set out herein for the purposes contemplated under </w:t>
      </w:r>
      <w:r>
        <w:rPr>
          <w:rFonts w:ascii="Arial" w:cs="Arial" w:eastAsia="Arial" w:hAnsi="Arial"/>
          <w:sz w:val="21"/>
          <w:szCs w:val="21"/>
          <w:i w:val="1"/>
          <w:iCs w:val="1"/>
          <w:color w:val="auto"/>
        </w:rPr>
        <w:t>"Use of Proceeds"</w:t>
      </w:r>
      <w:r>
        <w:rPr>
          <w:rFonts w:ascii="Arial" w:cs="Arial" w:eastAsia="Arial" w:hAnsi="Arial"/>
          <w:sz w:val="21"/>
          <w:szCs w:val="21"/>
          <w:color w:val="auto"/>
        </w:rPr>
        <w:t xml:space="preserve"> from other sources on commercially reasonable terms, or at all.</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Negative Operating Cash Flow and Going Concern</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Corporation has had negative cash flow from operating activities since inception. Drug development involves long lead times, is very expensive and involves many variables of uncertainty. As such, significant capital investment will be required to achieve the Corporation's existing plans. The Corporation's net losses have had and will continue to have an adverse effect on, among other things, shareholder equity, total assets and working capital. The Corporation expects that losses may fluctuate from quarter to quarter and year to year, and that such fluctuations may be substantial based on the stage of development of its principal programs. The Corporation cannot predict when it will become profitable, if at all. Accordingly, the Corporation may be required to obtain additional financing in order to meet its future cash commitments.</w:t>
      </w:r>
    </w:p>
    <w:p>
      <w:pPr>
        <w:spacing w:after="0" w:line="18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 xml:space="preserve">The threat of the Corporation's ability to continue as a going concern will be removed only when, in the opinion of the Corporation's auditor, the Corporation's revenues have reached a level that is able to sustain its business operations. If the Corporation is unable to obtain additional financing from outside sources and eventually generate enough revenues, the Corporation may be forced to sell a portion or all of the Corporation's assets, or curtail or discontinue the Corporation's operations. If any of these events happen, shareholders could lose all or part of their investment. The Corporation's financial statements do not include any adjustments to the Corporation's recorded assets or liabilities that might be necessary if the Corporation becomes unable to continue as a going concern. See </w:t>
      </w:r>
      <w:r>
        <w:rPr>
          <w:rFonts w:ascii="Arial" w:cs="Arial" w:eastAsia="Arial" w:hAnsi="Arial"/>
          <w:sz w:val="22"/>
          <w:szCs w:val="22"/>
          <w:i w:val="1"/>
          <w:iCs w:val="1"/>
          <w:color w:val="auto"/>
        </w:rPr>
        <w:t>"Risk Factors - Risks Related to the Offering - Potential Need</w:t>
      </w:r>
      <w:r>
        <w:rPr>
          <w:rFonts w:ascii="Arial" w:cs="Arial" w:eastAsia="Arial" w:hAnsi="Arial"/>
          <w:sz w:val="22"/>
          <w:szCs w:val="22"/>
          <w:color w:val="auto"/>
        </w:rPr>
        <w:t xml:space="preserve"> </w:t>
      </w:r>
      <w:r>
        <w:rPr>
          <w:rFonts w:ascii="Arial" w:cs="Arial" w:eastAsia="Arial" w:hAnsi="Arial"/>
          <w:sz w:val="22"/>
          <w:szCs w:val="22"/>
          <w:i w:val="1"/>
          <w:iCs w:val="1"/>
          <w:color w:val="auto"/>
        </w:rPr>
        <w:t>for Additional Financing"</w:t>
      </w:r>
      <w:r>
        <w:rPr>
          <w:rFonts w:ascii="Arial" w:cs="Arial" w:eastAsia="Arial" w:hAnsi="Arial"/>
          <w:sz w:val="22"/>
          <w:szCs w:val="22"/>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Discretion in the Use of Proceeds</w:t>
      </w: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The Corporation will have discretion concerning the use of the net proceeds of the Offering as well as the timing of their expenditures, and may apply the net proceeds of the Offering in ways other than as described under </w:t>
      </w:r>
      <w:r>
        <w:rPr>
          <w:rFonts w:ascii="Arial" w:cs="Arial" w:eastAsia="Arial" w:hAnsi="Arial"/>
          <w:sz w:val="19"/>
          <w:szCs w:val="19"/>
          <w:i w:val="1"/>
          <w:iCs w:val="1"/>
          <w:color w:val="auto"/>
        </w:rPr>
        <w:t>"Use of Proceeds"</w:t>
      </w:r>
      <w:r>
        <w:rPr>
          <w:rFonts w:ascii="Arial" w:cs="Arial" w:eastAsia="Arial" w:hAnsi="Arial"/>
          <w:sz w:val="19"/>
          <w:szCs w:val="19"/>
          <w:color w:val="auto"/>
        </w:rPr>
        <w:t>. As a result, an investor will be relying on the judgment of management for the application of the net proceeds of the Offering. Management may use the net proceeds of the Offering in ways that an investor may not consider desirable. The results and the effectiveness of the application of the net proceeds are uncertain. If the net proceeds are not applied effectively, the Corporation's business, prospects, financial position, financial condition or results of operations may suffer.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28" w:right="339" w:bottom="971" w:gutter="0" w:footer="0" w:header="0"/>
        </w:sectPr>
      </w:pPr>
    </w:p>
    <w:bookmarkStart w:id="25" w:name="page26"/>
    <w:bookmarkEnd w:id="25"/>
    <w:p>
      <w:pPr>
        <w:spacing w:after="0"/>
        <w:rPr>
          <w:sz w:val="20"/>
          <w:szCs w:val="20"/>
          <w:color w:val="auto"/>
        </w:rPr>
      </w:pPr>
      <w:r>
        <w:rPr>
          <w:rFonts w:ascii="Arial" w:cs="Arial" w:eastAsia="Arial" w:hAnsi="Arial"/>
          <w:sz w:val="22"/>
          <w:szCs w:val="22"/>
          <w:b w:val="1"/>
          <w:bCs w:val="1"/>
          <w:i w:val="1"/>
          <w:iCs w:val="1"/>
          <w:color w:val="auto"/>
        </w:rPr>
        <w:t>Potential Need for Additional Financing</w:t>
      </w:r>
    </w:p>
    <w:p>
      <w:pPr>
        <w:spacing w:after="0" w:line="206"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 xml:space="preserve">The continued development of the Corporation will require additional financing. The Corporation's activities do have scope for flexibility in terms of the amount and timing of expenditures, and expenditures may be adjusted accordingly. However, further operations will require additional capital and will depend on the Corporation's ability to obtain financing through debt, equity or other means. The Corporation's ability to meet its obligations and maintain operations may be contingent upon successful completion of additional financing arrangements. There is no assurance that the Corporation will be successful in obtaining the required financing in the future or that such financing will be available on terms acceptable to the Corporation. In addition, any future financing may also be dilutive to existing shareholders of the Corporation. </w:t>
      </w:r>
      <w:r>
        <w:rPr>
          <w:rFonts w:ascii="Arial" w:cs="Arial" w:eastAsia="Arial" w:hAnsi="Arial"/>
          <w:sz w:val="22"/>
          <w:szCs w:val="22"/>
          <w:i w:val="1"/>
          <w:iCs w:val="1"/>
          <w:color w:val="auto"/>
        </w:rPr>
        <w:t>See "Risk Factors - Risks Related to the</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Offering - Negative Operating Cash Flow and Going Concern" </w:t>
      </w:r>
      <w:r>
        <w:rPr>
          <w:rFonts w:ascii="Arial" w:cs="Arial" w:eastAsia="Arial" w:hAnsi="Arial"/>
          <w:sz w:val="22"/>
          <w:szCs w:val="22"/>
          <w:color w:val="auto"/>
        </w:rPr>
        <w:t>and</w:t>
      </w:r>
      <w:r>
        <w:rPr>
          <w:rFonts w:ascii="Arial" w:cs="Arial" w:eastAsia="Arial" w:hAnsi="Arial"/>
          <w:sz w:val="22"/>
          <w:szCs w:val="22"/>
          <w:i w:val="1"/>
          <w:iCs w:val="1"/>
          <w:color w:val="auto"/>
        </w:rPr>
        <w:t xml:space="preserve"> "Risk Factors - Risks Related to the Offering - Potential Dilution".</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Potential Dilution</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The Corporation's articles of incorporation and by-laws allow it to issue an unlimited number of Common Shares for such consideration and on such terms and conditions as established by the board of directors of the Corporation, in many cases, without the approval of the Corporation's shareholders. With any additional issuance of Common Shares, investors will suffer dilution to their voting power and the Corporation may experience dilution in its earnings per share. </w:t>
      </w:r>
      <w:r>
        <w:rPr>
          <w:rFonts w:ascii="Arial" w:cs="Arial" w:eastAsia="Arial" w:hAnsi="Arial"/>
          <w:sz w:val="22"/>
          <w:szCs w:val="22"/>
          <w:i w:val="1"/>
          <w:iCs w:val="1"/>
          <w:color w:val="auto"/>
        </w:rPr>
        <w:t>"Risk Factors - Risks Related</w:t>
      </w:r>
      <w:r>
        <w:rPr>
          <w:rFonts w:ascii="Arial" w:cs="Arial" w:eastAsia="Arial" w:hAnsi="Arial"/>
          <w:sz w:val="22"/>
          <w:szCs w:val="22"/>
          <w:color w:val="auto"/>
        </w:rPr>
        <w:t xml:space="preserve"> </w:t>
      </w:r>
      <w:r>
        <w:rPr>
          <w:rFonts w:ascii="Arial" w:cs="Arial" w:eastAsia="Arial" w:hAnsi="Arial"/>
          <w:sz w:val="22"/>
          <w:szCs w:val="22"/>
          <w:i w:val="1"/>
          <w:iCs w:val="1"/>
          <w:color w:val="auto"/>
        </w:rPr>
        <w:t>to an Offering - Potential Need for Additional Financing".</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Trading Market</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Corporation cannot assure that a market will continue to develop or be sustained for the Common Shares. If a market does not continue to develop or is not sustained, it may be difficult for purchasers to sell Common Shares at an attractive price or at all. The Corporation cannot predict the prices at which the Common Shares will trade.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Significant Sales of Common Shares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Significant sales of Common Shares, or the availability of such securities for sale, could adversely affect the prevailing market prices for the Common Shares. A decline in the market prices of the Common Shares could impair the Corporation's ability to raise additional capital through the sale of securities should it desire to do so.</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Positive Return Not Guaranteed</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There is no guarantee that the Common Shares will earn any positive return in the short term or long term. A holding of Common Shares is highly speculative and involves a high degree of risk and should be undertaken only by holders whose financial resources are sufficient to enable them to assume such risks and who have no need for immediate liquidity in their investment. A holding of Common Shares is appropriate only for holders who have the capacity to absorb a loss of some or all of their holdings.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Application and Interpretation of Tax Laws</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Corporation is subject to direct and indirect taxes in various foreign jurisdictions. The amount of tax that the Corporation pays, directly or indirectly, is subject to the interpretation of applicable tax laws in the jurisdictions of operations in which the Corporation has interests. The Corporation has taken and will continue to take tax positions based on the application and interpretation of tax laws, but tax accounting often involves complex matters and judgment is required in determining the Corporation's foreign provisions for taxes and other tax liabilities. There can be no assurance that a taxing authority will not have a different interpretation of the law and assess the Corporation, or the operations in which the Corporation has interests, with additional taxes. Further, the Corporation's future effective tax rates could be impacted by changes in tax laws or regulations, and changing interpretation of existing laws or regulations. Both domestic and international tax laws, and interpretation of the tax laws, are subject to change as a result of changes in fiscal policy, changes in legislation, evolution of regulation and court rulings. The application of these tax laws and related regulations is subject to legal and factual interpretation, judgment and uncertainty.</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Enforcement of Civil Liabilities</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6" w:name="page27"/>
    <w:bookmarkEnd w:id="26"/>
    <w:p>
      <w:pPr>
        <w:jc w:val="both"/>
        <w:spacing w:after="0" w:line="273" w:lineRule="auto"/>
        <w:rPr>
          <w:sz w:val="20"/>
          <w:szCs w:val="20"/>
          <w:color w:val="auto"/>
        </w:rPr>
      </w:pPr>
      <w:r>
        <w:rPr>
          <w:rFonts w:ascii="Arial" w:cs="Arial" w:eastAsia="Arial" w:hAnsi="Arial"/>
          <w:sz w:val="19"/>
          <w:szCs w:val="19"/>
          <w:color w:val="auto"/>
        </w:rPr>
        <w:t>The Corporation has subsidiaries incorporated in the United States and Ireland.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and Ireland. Courts in such jurisdictions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 consuming and costly process. Certain matters of procedure will also be governed by foreign law.</w:t>
      </w:r>
    </w:p>
    <w:p>
      <w:pPr>
        <w:spacing w:after="0" w:line="16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The Corporation expects to be a "passive foreign investment company", which may have adverse U.S. federal income tax consequences for U.S. investors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Based on current business plans and financial expectations, the Corporation expects to be a PFIC (as defined below) for its current tax year and may be a PFIC in future tax years. If the Corporation is a PFIC for any year during a U.S. taxpayer's holding period of Common Shares, then such U.S. taxpayer generally will be required to treat any gain realized upon a disposition of the Common Shares or any so-called "excess distribution" received on its Common Shares as ordinary income, and to pay an interest charge on a portion of such gain or distribution. In certain circumstances, the sum of the tax and the interest charge may exceed the total amount of proceeds realized on the disposition, or the amount of excess distribution received, by the U.S. taxpayer. Subject to certain limitations, these tax consequences may be mitigated if a U.S. taxpayer makes a timely and effective QEF Election (as defined below) or a Mark-to-Market Election (as defined below). Subject to certain limitations, such elections may be made with respect to the Common Shares. A U.S. taxpayer who makes a timely and effective QEF Election generally must report on a current basis its share of the Corporation's net capital gain and ordinary earnings for any year in which the Corporation is a PFIC, whether or not the Corporation distributes any amounts to its shareholders. A U.S. taxpayer who makes the Mark-to-Market Election generally must include as ordinary income each year the excess of the fair market value of the Common Shares over the taxpayer's basis therein. This paragraph is qualified in its entirety by the discussion below under the heading "</w:t>
      </w:r>
      <w:r>
        <w:rPr>
          <w:rFonts w:ascii="Arial" w:cs="Arial" w:eastAsia="Arial" w:hAnsi="Arial"/>
          <w:sz w:val="19"/>
          <w:szCs w:val="19"/>
          <w:i w:val="1"/>
          <w:iCs w:val="1"/>
          <w:color w:val="auto"/>
        </w:rPr>
        <w:t>Certain United States Federal Income Tax Considerations - Passive Foreign Investment Company Rules</w:t>
      </w:r>
      <w:r>
        <w:rPr>
          <w:rFonts w:ascii="Arial" w:cs="Arial" w:eastAsia="Arial" w:hAnsi="Arial"/>
          <w:sz w:val="19"/>
          <w:szCs w:val="19"/>
          <w:color w:val="auto"/>
        </w:rPr>
        <w:t>." Each potential investor who is a U.S. taxpayer should consult its own tax advisor regarding the tax consequences of the PFIC rules and the acquisition, ownership, and disposition of the Common Shares.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CERTAIN CANADIAN INCOME TAX CONSIDERATIONS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following is, as at the date of this Prospectus Supplement, a summary of certain Canadian federal income tax considerations under the Income Tax Act (Canada) (the "</w:t>
      </w:r>
      <w:r>
        <w:rPr>
          <w:rFonts w:ascii="Arial" w:cs="Arial" w:eastAsia="Arial" w:hAnsi="Arial"/>
          <w:sz w:val="19"/>
          <w:szCs w:val="19"/>
          <w:b w:val="1"/>
          <w:bCs w:val="1"/>
          <w:color w:val="auto"/>
        </w:rPr>
        <w:t>Tax Act</w:t>
      </w:r>
      <w:r>
        <w:rPr>
          <w:rFonts w:ascii="Arial" w:cs="Arial" w:eastAsia="Arial" w:hAnsi="Arial"/>
          <w:sz w:val="19"/>
          <w:szCs w:val="19"/>
          <w:color w:val="auto"/>
        </w:rPr>
        <w:t>") generally applicable to an investor who acquires Common Shares as beneficial owner pursuant to the Offering and who, for the purposes of the Tax Act and at all relevant times, deals at arm's length with the Corporation, and who acquires and holds the Common Shares as capital property (a "</w:t>
      </w:r>
      <w:r>
        <w:rPr>
          <w:rFonts w:ascii="Arial" w:cs="Arial" w:eastAsia="Arial" w:hAnsi="Arial"/>
          <w:sz w:val="19"/>
          <w:szCs w:val="19"/>
          <w:b w:val="1"/>
          <w:bCs w:val="1"/>
          <w:color w:val="auto"/>
        </w:rPr>
        <w:t>Holder</w:t>
      </w:r>
      <w:r>
        <w:rPr>
          <w:rFonts w:ascii="Arial" w:cs="Arial" w:eastAsia="Arial" w:hAnsi="Arial"/>
          <w:sz w:val="19"/>
          <w:szCs w:val="19"/>
          <w:color w:val="auto"/>
        </w:rPr>
        <w:t>"). Generally, the Common Shares will be considered to be capital property to a Holder thereof provided that the Holder does not use the Common Shares in the course of carrying on a business of trading or dealing in securities and such Holder has not acquired them in one or more transactions considered to be an adventure or concern in the nature of trade.</w:t>
      </w:r>
    </w:p>
    <w:p>
      <w:pPr>
        <w:spacing w:after="0" w:line="15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This summary is generally applicable to a Holder who, at all relevant times, for purposes of the Tax Act: (i) is not, and is not deemed to be, resident in Canada for the purposes of the Tax Act or any applicable income tax treaty or convention; and (ii) does not and will not use or hold, and is not and will not be deemed to hold, the Common Shares in connection with carrying on a business in Canada ("</w:t>
      </w:r>
      <w:r>
        <w:rPr>
          <w:rFonts w:ascii="Arial" w:cs="Arial" w:eastAsia="Arial" w:hAnsi="Arial"/>
          <w:sz w:val="19"/>
          <w:szCs w:val="19"/>
          <w:b w:val="1"/>
          <w:bCs w:val="1"/>
          <w:color w:val="auto"/>
        </w:rPr>
        <w:t>Non-Resident Holders</w:t>
      </w:r>
      <w:r>
        <w:rPr>
          <w:rFonts w:ascii="Arial" w:cs="Arial" w:eastAsia="Arial" w:hAnsi="Arial"/>
          <w:sz w:val="19"/>
          <w:szCs w:val="19"/>
          <w:color w:val="auto"/>
        </w:rPr>
        <w:t>"). This summary is not applicable to a Non-Resident Holder that is (i) an insurer carrying on an insurance business in Canada and elsewhere; or (ii) an "authorized foreign bank" (as defined in the Tax Act). Such Holders should consult their own tax advisors with respect to an investment in Common Shares.</w:t>
      </w:r>
    </w:p>
    <w:p>
      <w:pPr>
        <w:spacing w:after="0" w:line="150"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summary is based upon the current provisions of the Tax Act and the regulations thereunder in force as of the date hereof and counsel's understanding of the current published administrative policies and assessing practices of the Canada Revenue Agency (the "</w:t>
      </w:r>
      <w:r>
        <w:rPr>
          <w:rFonts w:ascii="Arial" w:cs="Arial" w:eastAsia="Arial" w:hAnsi="Arial"/>
          <w:sz w:val="19"/>
          <w:szCs w:val="19"/>
          <w:b w:val="1"/>
          <w:bCs w:val="1"/>
          <w:color w:val="auto"/>
        </w:rPr>
        <w:t>CRA</w:t>
      </w:r>
      <w:r>
        <w:rPr>
          <w:rFonts w:ascii="Arial" w:cs="Arial" w:eastAsia="Arial" w:hAnsi="Arial"/>
          <w:sz w:val="19"/>
          <w:szCs w:val="19"/>
          <w:color w:val="auto"/>
        </w:rPr>
        <w:t>"). This summary takes into account all specific proposals to amend the Tax Act and the regulations thereunder publicly announced by or on behalf of the Minister of Finance (Canada) prior to the date hereof (the "</w:t>
      </w:r>
      <w:r>
        <w:rPr>
          <w:rFonts w:ascii="Arial" w:cs="Arial" w:eastAsia="Arial" w:hAnsi="Arial"/>
          <w:sz w:val="19"/>
          <w:szCs w:val="19"/>
          <w:b w:val="1"/>
          <w:bCs w:val="1"/>
          <w:color w:val="auto"/>
        </w:rPr>
        <w:t>Tax Proposals</w:t>
      </w:r>
      <w:r>
        <w:rPr>
          <w:rFonts w:ascii="Arial" w:cs="Arial" w:eastAsia="Arial" w:hAnsi="Arial"/>
          <w:sz w:val="19"/>
          <w:szCs w:val="19"/>
          <w:color w:val="auto"/>
        </w:rPr>
        <w:t>") and assumes that the Tax Proposals will be enacted in the form proposed, although no assurance can be given that the Tax Proposals will be enacted in their current form or at all. This summary does not otherwise take into account any changes in law or in the administrative policies or assessing practices of the CRA, whether by legislative, governmental or judicial decision or action, nor does it take into account or consider other federal or any provincial, territorial or foreign income tax considerations, which considerations may differ significantly from the Canadian federal income tax considerations discussed in this summary.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7" w:name="page28"/>
    <w:bookmarkEnd w:id="27"/>
    <w:p>
      <w:pPr>
        <w:jc w:val="both"/>
        <w:spacing w:after="0" w:line="280" w:lineRule="auto"/>
        <w:rPr>
          <w:sz w:val="20"/>
          <w:szCs w:val="20"/>
          <w:color w:val="auto"/>
        </w:rPr>
      </w:pPr>
      <w:r>
        <w:rPr>
          <w:rFonts w:ascii="Arial" w:cs="Arial" w:eastAsia="Arial" w:hAnsi="Arial"/>
          <w:sz w:val="19"/>
          <w:szCs w:val="19"/>
          <w:b w:val="1"/>
          <w:bCs w:val="1"/>
          <w:color w:val="auto"/>
        </w:rPr>
        <w:t>This summary is of a general nature only, is not exhaustive of all possible Canadian federal income tax considerations and is not intended to be, nor should it be construed to be, legal or tax advice to any particular Non-Resident Holder. Non-Resident Holders should consult their own tax advisors with respect to their particular circumstances. Moreover, no advance income tax ruling has been applied for or obtained from the CRA to confirm the tax consequences of any of the transactions described herein. Non-Resident Holders should consult their own legal and tax advisors for advice with respect to the tax consequences of an investment in the Common Shares based on their particular circumstances.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Currency Conversion</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Subject to certain exceptions that are not discussed herein, for the purposes of the Tax Act, all amounts relating to the acquisition, holding or disposition of Common Shares (including dividends, adjusted cost base and proceeds of disposition) must be expressed in Canadian dollars. Amounts denominated in U.S. dollars must generally be converted into Canadian dollars based on the single daily exchange rate as quoted by the Bank of Canada on the date such amounts arise or such other rate of exchange as is acceptable to the CRA.</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Dividends paid or credited or deemed to be paid or credited to a Non-Resident Holder by the Corporation are subject to Canadian withholding tax at the rate of 25% on the gross amount of the dividend unless such rate is reduced by the terms of an applicable tax treaty. For example, under the Canada-United States Tax Convention (1980), as amended (the "Treaty"), the rate of withholding tax on dividends paid or credited to a beneficially entitled Non-Resident Holder who is resident in the U.S. for purposes of the Treaty and who is fully entitled to the benefits of the Treaty (a "U.S. Holder") is generally limited to 15% of the gross amount of the dividend (or 5% in the case of a U.S. Holder that is a corporation beneficially owning at least 10% of the Corporation's voting shares). A Non-Resident Holder is urged to consult its own tax advisors to determine its entitlement to relief under an applicable income tax treaty.</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Dispositions of Common Shares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Upon a disposition (or a deemed disposition) of a Common Share (other than to the Corporation unless purchased by the Corporation in the open market in the manner in which shares are normally purchased by any member of the public in the open market), a Non-Resident Holder generally will realize a capital gain (or a capital loss) equal to the amount by which the proceeds of disposition of such security, as applicable, net of any reasonable costs of disposition, are greater (or are less) than the adjusted cost base of such security to the Non-Resident Holder.</w:t>
      </w:r>
    </w:p>
    <w:p>
      <w:pPr>
        <w:spacing w:after="0" w:line="187"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 Non-Resident Holder generally will not be subject to tax under the Tax Act in respect of a capital gain realized on the disposition or deemed disposition of a Common Share, unless the Common Share constitutes "taxable Canadian property" to the Non-Resident Holder thereof for purposes of the Tax Act, and the Non-Resident Holder is not entitled to relief under the terms of an applicable tax treaty. In addition, capital losses arising on the disposition or deemed disposition of a Common Share will not be recognized under the Tax Act, unless the Common Share constitutes "taxable Canadian property" to the Non-Resident Holder thereof for purposes of the Tax Act, and the Non-Resident Holder is not entitled to relief under the terms of an applicable tax treaty.</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Provided the Common Shares are listed on a "designated stock exchange", as defined in the Tax Act (which currently includes the NYSE and NEO), at the time of disposition, the Common Shares generally will not constitute taxable Canadian property of a Non-Resident Holder at that time, unless at any time during the 60 month period immediately preceding the disposition the following two conditions are met concurrently: (i) one or any combination of (a) the Non-Resident Holder, (b) persons with whom the Non-Resident Holder did not deal at arm's length, or (c) partnerships in which the Non-Resident Holder or a person with whom the Non-Resident Holder did not deal at arm's length held a membership interest directly or indirectly through one or more partnerships owned 25% or more of the issued shares of any class or series of shares of the Corporation; and (ii) more than 50% of the fair market value of the shares of the Corporation was derived directly or indirectly from one or any combination of</w:t>
      </w:r>
    </w:p>
    <w:p>
      <w:pPr>
        <w:spacing w:after="0" w:line="3" w:lineRule="exact"/>
        <w:rPr>
          <w:sz w:val="20"/>
          <w:szCs w:val="20"/>
          <w:color w:val="auto"/>
        </w:rPr>
      </w:pPr>
    </w:p>
    <w:p>
      <w:pPr>
        <w:jc w:val="both"/>
        <w:ind w:firstLine="8"/>
        <w:spacing w:after="0" w:line="233" w:lineRule="auto"/>
        <w:tabs>
          <w:tab w:leader="none" w:pos="315" w:val="left"/>
        </w:tabs>
        <w:numPr>
          <w:ilvl w:val="0"/>
          <w:numId w:val="16"/>
        </w:numPr>
        <w:rPr>
          <w:rFonts w:ascii="Arial" w:cs="Arial" w:eastAsia="Arial" w:hAnsi="Arial"/>
          <w:sz w:val="22"/>
          <w:szCs w:val="22"/>
          <w:color w:val="auto"/>
        </w:rPr>
      </w:pPr>
      <w:r>
        <w:rPr>
          <w:rFonts w:ascii="Arial" w:cs="Arial" w:eastAsia="Arial" w:hAnsi="Arial"/>
          <w:sz w:val="22"/>
          <w:szCs w:val="22"/>
          <w:color w:val="auto"/>
        </w:rPr>
        <w:t>real or immovable property situated in Canada, (b) "Canadian resource properties" (as defined in the Tax Act), (c) "timber resource properties" (as defined in the Tax Act) or (d) an option, an interest or right in any of the foregoing property, whether or not such property exists. Notwithstanding the foregoing, a Common Share may otherwise be deemed to be taxable Canadian property to a Non-Resident Holder for purposes of the Tax Act.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8" w:name="page29"/>
    <w:bookmarkEnd w:id="28"/>
    <w:p>
      <w:pPr>
        <w:jc w:val="both"/>
        <w:spacing w:after="0" w:line="256" w:lineRule="auto"/>
        <w:rPr>
          <w:sz w:val="20"/>
          <w:szCs w:val="20"/>
          <w:color w:val="auto"/>
        </w:rPr>
      </w:pPr>
      <w:r>
        <w:rPr>
          <w:rFonts w:ascii="Arial" w:cs="Arial" w:eastAsia="Arial" w:hAnsi="Arial"/>
          <w:sz w:val="22"/>
          <w:szCs w:val="22"/>
          <w:b w:val="1"/>
          <w:bCs w:val="1"/>
          <w:color w:val="auto"/>
        </w:rPr>
        <w:t>A Non-Resident Holders should consult its own tax advisors as to whether its Common Shares constitute "taxable Canadian property".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CERTAIN UNITED STATES FEDERAL INCOME TAX CONSIDERATIONS</w:t>
      </w:r>
    </w:p>
    <w:p>
      <w:pPr>
        <w:spacing w:after="0" w:line="212"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The following is a general summary of certain material U.S. federal income tax considerations applicable to a U.S. Holder (as defined below) arising from and relating to the acquisition, ownership and disposition of Common Shares acquired pursuant to this Offering. This summary is for general information purposes only and does not purport to be a complete analysis or listing of all potential U.S. federal income tax considerations that may apply to a U.S. Holder arising from or relating to the acquisition, ownership and disposition of Common Shares as acquired pursuant to this Offering. In addition, this summary does not take into account the individual facts and circumstances of any particular U.S. Holder that may affect the U.S. federal income tax consequences to such U.S. Holder, including, without limitation, specific tax consequences to a U.S. Holder under an applicable income tax treaty. Accordingly, this summary is not intended to be, and should not be construed as, legal or U.S. federal income tax advice with respect to any U.S. Holder. This summary does not address the U.S. federal alternative minimum, U.S. federal net investment income, U.S. federal estate and gift, U.S. state and local, and non-U.S. tax consequences to U.S. Holders of the acquisition, ownership and disposition of Common Shares. In addition, except as specifically set forth below, this summary does not discuss applicable income tax reporting requirements. Each prospective U.S. Holder should consult its own tax advisors regarding the U.S. federal, U.S. federal alternative minimum, U.S. federal net investment income, U.S. federal estate and gift, U.S. state and local, and non-U.S. tax consequences relating to the acquisition, ownership and disposition of Common Shares. This summary also does not discuss any tax consequences with respect to the acquisition, ownership or disposition of the Commitment Shares. U.S. Holders should consult their own tax advisors regarding the U.S. federal, U.S. federal alternative minimum, U.S. federal net investment income, U.S. federal estate and gift, U.S. state and local, and non-U.S. tax consequences relating to the acquisition, ownership and disposition of the Commitment Shares.</w:t>
      </w:r>
    </w:p>
    <w:p>
      <w:pPr>
        <w:spacing w:after="0" w:line="160"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No ruling from the Internal Revenue Service (the "</w:t>
      </w:r>
      <w:r>
        <w:rPr>
          <w:rFonts w:ascii="Arial" w:cs="Arial" w:eastAsia="Arial" w:hAnsi="Arial"/>
          <w:sz w:val="19"/>
          <w:szCs w:val="19"/>
          <w:b w:val="1"/>
          <w:bCs w:val="1"/>
          <w:color w:val="auto"/>
        </w:rPr>
        <w:t>IRS</w:t>
      </w:r>
      <w:r>
        <w:rPr>
          <w:rFonts w:ascii="Arial" w:cs="Arial" w:eastAsia="Arial" w:hAnsi="Arial"/>
          <w:sz w:val="19"/>
          <w:szCs w:val="19"/>
          <w:color w:val="auto"/>
        </w:rPr>
        <w:t>") has been requested, or will be obtained, regarding the U.S. federal income tax consequences of the acquisition, ownership and disposition of Common Shares. This summary is not binding on the IRS, and the IRS is not precluded from taking a position that is different from, or contrary to, the positions taken in this summary. In addition, because the authorities on which this summary is based are subject to various interpretations, the IRS and the U.S. courts could disagree with one or more of the conclusions described in this summary.</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Scope of this Summary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Authorities</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summary is based on the U.S. Internal Revenue Code of 1986, as amended (the "</w:t>
      </w:r>
      <w:r>
        <w:rPr>
          <w:rFonts w:ascii="Arial" w:cs="Arial" w:eastAsia="Arial" w:hAnsi="Arial"/>
          <w:sz w:val="19"/>
          <w:szCs w:val="19"/>
          <w:b w:val="1"/>
          <w:bCs w:val="1"/>
          <w:color w:val="auto"/>
        </w:rPr>
        <w:t>Code</w:t>
      </w:r>
      <w:r>
        <w:rPr>
          <w:rFonts w:ascii="Arial" w:cs="Arial" w:eastAsia="Arial" w:hAnsi="Arial"/>
          <w:sz w:val="19"/>
          <w:szCs w:val="19"/>
          <w:color w:val="auto"/>
        </w:rPr>
        <w:t xml:space="preserve">"), Treasury Regulations (whether final, temporary, or proposed), published rulings of the IRS, published administrative positions of the IRS, the current provisions of the Canada-United States Tax Convention (1980) (the " </w:t>
      </w:r>
      <w:r>
        <w:rPr>
          <w:rFonts w:ascii="Arial" w:cs="Arial" w:eastAsia="Arial" w:hAnsi="Arial"/>
          <w:sz w:val="19"/>
          <w:szCs w:val="19"/>
          <w:b w:val="1"/>
          <w:bCs w:val="1"/>
          <w:color w:val="auto"/>
        </w:rPr>
        <w:t>Canada-U.S. Tax Convention</w:t>
      </w:r>
      <w:r>
        <w:rPr>
          <w:rFonts w:ascii="Arial" w:cs="Arial" w:eastAsia="Arial" w:hAnsi="Arial"/>
          <w:sz w:val="19"/>
          <w:szCs w:val="19"/>
          <w:color w:val="auto"/>
        </w:rPr>
        <w:t>"), and U.S. court decisions that are applicable, and, in each case, as in effect and available, as of the date of this document. Any of the authorities on which this summary is based could be changed in a material and adverse manner at any time, and any such change could be applied on a retroactive or prospective basis, which could affect the U.S. federal income tax considerations described in this summary. Except as provided herein, this summary does not discuss the potential effects, whether adverse or beneficial, of any proposed legislation that, if enacted, could be applied on a retroactive or prospective basis.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U.S. Holders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For purposes of this summary, the term "U.S. Holder" means a beneficial owner of Common Shares acquired pursuant to this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Offering that is for U.S. federal income tax purposes: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 individual who is a citizen or resident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660"/>
        <w:spacing w:after="0" w:line="230" w:lineRule="auto"/>
        <w:rPr>
          <w:sz w:val="20"/>
          <w:szCs w:val="20"/>
          <w:color w:val="auto"/>
        </w:rPr>
      </w:pPr>
      <w:r>
        <w:rPr>
          <w:rFonts w:ascii="Arial" w:cs="Arial" w:eastAsia="Arial" w:hAnsi="Arial"/>
          <w:sz w:val="22"/>
          <w:szCs w:val="22"/>
          <w:color w:val="auto"/>
        </w:rPr>
        <w:t>a corporation (or other entity treated as a corporation for U.S. federal income tax purposes) organized under the laws of the United States, any state thereof or the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-257810</wp:posOffset>
            </wp:positionV>
            <wp:extent cx="68580" cy="685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1" w:lineRule="auto"/>
        <w:rPr>
          <w:sz w:val="20"/>
          <w:szCs w:val="20"/>
          <w:color w:val="auto"/>
        </w:rPr>
      </w:pPr>
      <w:r>
        <w:rPr>
          <w:rFonts w:ascii="Arial" w:cs="Arial" w:eastAsia="Arial" w:hAnsi="Arial"/>
          <w:sz w:val="22"/>
          <w:szCs w:val="22"/>
          <w:color w:val="auto"/>
        </w:rPr>
        <w:t>an estate whose income is subject to U.S. federal income taxation regardless of its source;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-103505</wp:posOffset>
            </wp:positionV>
            <wp:extent cx="68580" cy="685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660"/>
        <w:spacing w:after="0" w:line="234" w:lineRule="auto"/>
        <w:rPr>
          <w:sz w:val="20"/>
          <w:szCs w:val="20"/>
          <w:color w:val="auto"/>
        </w:rPr>
      </w:pPr>
      <w:r>
        <w:rPr>
          <w:rFonts w:ascii="Arial" w:cs="Arial" w:eastAsia="Arial" w:hAnsi="Arial"/>
          <w:sz w:val="22"/>
          <w:szCs w:val="22"/>
          <w:color w:val="auto"/>
        </w:rPr>
        <w:t>a trust that (1) is subject to the primary supervision of a court within the U.S. and the control of one or more U.S. persons for all substantial decisions or (2) has a valid election in effect under applicable Treasury Regulations to be treated as a U.S.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-419735</wp:posOffset>
            </wp:positionV>
            <wp:extent cx="68580" cy="685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9" w:name="page30"/>
    <w:bookmarkEnd w:id="29"/>
    <w:p>
      <w:pPr>
        <w:spacing w:after="0"/>
        <w:rPr>
          <w:sz w:val="20"/>
          <w:szCs w:val="20"/>
          <w:color w:val="auto"/>
        </w:rPr>
      </w:pPr>
      <w:r>
        <w:rPr>
          <w:rFonts w:ascii="Arial" w:cs="Arial" w:eastAsia="Arial" w:hAnsi="Arial"/>
          <w:sz w:val="22"/>
          <w:szCs w:val="22"/>
          <w:i w:val="1"/>
          <w:iCs w:val="1"/>
          <w:color w:val="auto"/>
        </w:rPr>
        <w:t>Non-U.S. Holders</w:t>
      </w:r>
    </w:p>
    <w:p>
      <w:pPr>
        <w:spacing w:after="0" w:line="20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For purposes of this summary, a "non-U.S. Holder" is a beneficial owner of Common Shares that is not a U.S. Holder or an entity classified as a partnership for U.S. federal income tax purposes. This summary does not address the U.S. federal, state or local tax consequences to non-U.S. Holders arising from or relating to the acquisition, ownership and disposition of Common Shares. Accordingly, a non-U.S. Holder should consult its own tax advisors regarding the U.S. federal, state or local and non-U.S. tax consequences (including the potential application of and operation of any income tax treaties) relating to the acquisition, ownership and disposition of Common Shares.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U.S. Holders Subject to Special U.S. Federal Income Tax Rules Not Addressed</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This summary does not address the U.S. federal income tax considerations applicable to U.S. Holders that are subject to special provisions under the Code, including, but not limited to U.S. Holders that: (a) are tax-exempt organizations, qualified retirement plans, individual retirement accounts, or other tax-deferred accounts; (b) are financial institutions, underwriters, insurance companies, real estate investment trusts, or regulated investment companies; (c) are broker-dealers, dealers, or traders in securities or currencies that elect to apply a mark-to-market accounting method; (d) have a "functional currency" other than the U.S. dollar; (e) own Common Shares as part of a straddle, hedging transaction, conversion transaction, constructive sale, or other integrated transaction; (f) acquire Common Shares in connection with the exercise of employee stock options or otherwise as compensation for services; (g) hold Common Shares other than as a capital asset within the meaning of Section 1221 of the Code (generally, property held for investment purposes); (h) are subject to the alternative minimum tax; (i) are subject to special tax accounting rules with respect to Common Shares; (j) are partnerships or other "pass-through" entities (and partners or other owners thereof); (k) are S corporations (and shareholders thereof); (l) are U.S. expatriates or former long-term residents of the United States subject to Section 877 or 877A of the Code; (m) hold Common Shares in connection with a trade or business, permanent establishment, or fixed base outside the United States; or (n) own or have owned or will own (directly, indirectly, or by attribution) 10% or more of the total combined voting power or value of the outstanding shares of the Corporation. U.S. Holders that are subject to special provisions under the Code, including, but not limited to, U.S. Holders described immediately above, should consult their own tax advisors regarding the U.S. federal, U.S. federal alternative minimum, U.S. federal net investment income, U.S. federal estate and gift, U.S. state and local, and non-U.S. tax consequences relating to the acquisition, ownership and disposition of Common Shares.</w:t>
      </w:r>
    </w:p>
    <w:p>
      <w:pPr>
        <w:spacing w:after="0" w:line="200" w:lineRule="exact"/>
        <w:rPr>
          <w:sz w:val="20"/>
          <w:szCs w:val="20"/>
          <w:color w:val="auto"/>
        </w:rPr>
      </w:pP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If an entity or arrangement that is classified as a partnership (or other "pass-through" entity) for U.S. federal income tax purposes holds Common Shares, the U.S. federal income tax consequences to such entity or arrangement and the partners (or other owners or participants) of such entity or arrangement generally will depend on the activities of the entity or arrangement and the status of such partners (or owners or participants). This summary does not address the tax consequences to any such partner (or owner or participant). Partners (or other owners or participants) of entities or arrangements that are classified as partnerships or as "pass-through" entities for U.S. federal income tax purposes should consult their own tax advisors regarding the U.S. federal income tax consequences arising from and relating to the acquisition, ownership and disposition of Common Shares.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Passive Foreign Investment Company Rules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PFIC Status</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If the Corporation was to constitute a "passive foreign investment company" under the meaning of Section 1297 of the Code (a "</w:t>
      </w:r>
      <w:r>
        <w:rPr>
          <w:rFonts w:ascii="Arial" w:cs="Arial" w:eastAsia="Arial" w:hAnsi="Arial"/>
          <w:sz w:val="19"/>
          <w:szCs w:val="19"/>
          <w:b w:val="1"/>
          <w:bCs w:val="1"/>
          <w:color w:val="auto"/>
        </w:rPr>
        <w:t>PFIC</w:t>
      </w:r>
      <w:r>
        <w:rPr>
          <w:rFonts w:ascii="Arial" w:cs="Arial" w:eastAsia="Arial" w:hAnsi="Arial"/>
          <w:sz w:val="19"/>
          <w:szCs w:val="19"/>
          <w:color w:val="auto"/>
        </w:rPr>
        <w:t>", as defined below) for any year during a U.S. Holder's holding period, then certain potentially adverse rules would affect the U.S. federal income tax consequences to a U.S. Holder as a result of the acquisition, ownership and disposition of Common Shares. Based on current business plans and financial expectations, the Corporation expects to be a PFIC for its current tax year and may be a PFIC in future tax years. No opinion of legal counsel or ruling from the IRS concerning the status of the Corporation as a PFIC has been obtained or is currently planned to be requested. The determination of whether any corporation was, or will be, a PFIC for a tax year depends, in part, on the application of complex U.S. federal income tax rules, which are subject to differing interpretations. In addition, whether any corporation will be a PFIC for any tax year depends on the assets and income of such corporation over the course of each such tax year and, as a result, cannot be predicted with certainty as of the date of this document. Accordingly, there can be no assurance that the IRS will not challenge any determination made by the Corporation (or any subsidiary of the Corporation) concerning its PFIC status. Each U.S. Holder should consult its own tax advisors regarding the PFIC status of the Corporation and each subsidiary of the Corporation.</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In any year in which the Corporation is classified as a PFIC, a U.S. Holder will be required to file an annual report with the IRS containing such information as Treasury Regulations and/or other IRS guidance may require. In addition to penalties, a failure to satisfy such reporting requirements may result in an extension of the time period during which the IRS can assess a tax. U.S. Holders should consult their own tax advisors regarding the requirements of filing such information returns under these rules, including the requirement to file an IRS Form 8621 annually.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106" w:gutter="0" w:footer="0" w:header="0"/>
        </w:sectPr>
      </w:pPr>
    </w:p>
    <w:bookmarkStart w:id="30" w:name="page31"/>
    <w:bookmarkEnd w:id="30"/>
    <w:p>
      <w:pPr>
        <w:jc w:val="both"/>
        <w:spacing w:after="0" w:line="274" w:lineRule="auto"/>
        <w:rPr>
          <w:sz w:val="20"/>
          <w:szCs w:val="20"/>
          <w:color w:val="auto"/>
        </w:rPr>
      </w:pPr>
      <w:r>
        <w:rPr>
          <w:rFonts w:ascii="Arial" w:cs="Arial" w:eastAsia="Arial" w:hAnsi="Arial"/>
          <w:sz w:val="19"/>
          <w:szCs w:val="19"/>
          <w:color w:val="auto"/>
        </w:rPr>
        <w:t>The Corporation generally will be a PFIC if, for a tax year, (a) 75% or more of the gross income of the Corporation is passive income (the "</w:t>
      </w:r>
      <w:r>
        <w:rPr>
          <w:rFonts w:ascii="Arial" w:cs="Arial" w:eastAsia="Arial" w:hAnsi="Arial"/>
          <w:sz w:val="19"/>
          <w:szCs w:val="19"/>
          <w:b w:val="1"/>
          <w:bCs w:val="1"/>
          <w:color w:val="auto"/>
        </w:rPr>
        <w:t>PFIC income test</w:t>
      </w:r>
      <w:r>
        <w:rPr>
          <w:rFonts w:ascii="Arial" w:cs="Arial" w:eastAsia="Arial" w:hAnsi="Arial"/>
          <w:sz w:val="19"/>
          <w:szCs w:val="19"/>
          <w:color w:val="auto"/>
        </w:rPr>
        <w:t>") or (b) 50% or more of the value of the Corporation's assets either produce passive income or are held for the production of passive income, based on the quarterly average of the fair market value of such assets (the "</w:t>
      </w:r>
      <w:r>
        <w:rPr>
          <w:rFonts w:ascii="Arial" w:cs="Arial" w:eastAsia="Arial" w:hAnsi="Arial"/>
          <w:sz w:val="19"/>
          <w:szCs w:val="19"/>
          <w:b w:val="1"/>
          <w:bCs w:val="1"/>
          <w:color w:val="auto"/>
        </w:rPr>
        <w:t>PFIC</w:t>
      </w:r>
      <w:r>
        <w:rPr>
          <w:rFonts w:ascii="Arial" w:cs="Arial" w:eastAsia="Arial" w:hAnsi="Arial"/>
          <w:sz w:val="19"/>
          <w:szCs w:val="19"/>
          <w:color w:val="auto"/>
        </w:rPr>
        <w:t xml:space="preserve"> </w:t>
      </w:r>
      <w:r>
        <w:rPr>
          <w:rFonts w:ascii="Arial" w:cs="Arial" w:eastAsia="Arial" w:hAnsi="Arial"/>
          <w:sz w:val="19"/>
          <w:szCs w:val="19"/>
          <w:b w:val="1"/>
          <w:bCs w:val="1"/>
          <w:color w:val="auto"/>
        </w:rPr>
        <w:t>asset test</w:t>
      </w:r>
      <w:r>
        <w:rPr>
          <w:rFonts w:ascii="Arial" w:cs="Arial" w:eastAsia="Arial" w:hAnsi="Arial"/>
          <w:sz w:val="19"/>
          <w:szCs w:val="19"/>
          <w:color w:val="auto"/>
        </w:rPr>
        <w:t>"). "Gross income" generally includes all sales revenues less the cost of goods sold, plus income from investments and</w:t>
      </w:r>
      <w:r>
        <w:rPr>
          <w:rFonts w:ascii="Arial" w:cs="Arial" w:eastAsia="Arial" w:hAnsi="Arial"/>
          <w:sz w:val="19"/>
          <w:szCs w:val="19"/>
          <w:b w:val="1"/>
          <w:bCs w:val="1"/>
          <w:color w:val="auto"/>
        </w:rPr>
        <w:t xml:space="preserve"> </w:t>
      </w:r>
      <w:r>
        <w:rPr>
          <w:rFonts w:ascii="Arial" w:cs="Arial" w:eastAsia="Arial" w:hAnsi="Arial"/>
          <w:sz w:val="19"/>
          <w:szCs w:val="19"/>
          <w:color w:val="auto"/>
        </w:rPr>
        <w:t>from incidental or outside operations or sources, and "passive income" generally includes, for example, dividends, interest, certain rents and royalties, certain gains from the sale of stock and securities, and certain gains from commodities transactions. Active business gains arising from the sale of commodities generally are excluded from passive income if substantially all of a foreign corporation's commodities are stock in trade or inventory, depreciable property used in a trade or business, or supplies regularly used or consumed in the ordinary course of its trade or business, and certain other requirements are satisfied.</w:t>
      </w:r>
    </w:p>
    <w:p>
      <w:pPr>
        <w:spacing w:after="0" w:line="15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For purposes of the PFIC income test and PFIC asset test described above, if the Corporation owns, directly or indirectly, 25% or more of the total value of the outstanding shares of another corporation, the Corporation will be treated as if the Corporation (a) held a proportionate share of the assets of such other corporation and (b) received directly a proportionate share of the income of such other corporation. In addition, for purposes of the PFIC income test and PFIC asset test described above, and assuming certain other requirements are met, "passive income" does not include certain interest, dividends, rents, or royalties that are received or accrued by the Corporation from certain "related persons" (as defined in Section 954(d)(3) of the Code) also organized in Canada, to the extent such items are properly allocable to the income of such related person that is not passive income.</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Under certain attribution rules, if the Corporation is a PFIC, U.S. Holders will generally be deemed to own their proportionate share of the Corporation's direct or indirect equity interest in any company that is also a PFIC (a "</w:t>
      </w:r>
      <w:r>
        <w:rPr>
          <w:rFonts w:ascii="Arial" w:cs="Arial" w:eastAsia="Arial" w:hAnsi="Arial"/>
          <w:sz w:val="19"/>
          <w:szCs w:val="19"/>
          <w:b w:val="1"/>
          <w:bCs w:val="1"/>
          <w:color w:val="auto"/>
        </w:rPr>
        <w:t>Subsidiary PFIC</w:t>
      </w:r>
      <w:r>
        <w:rPr>
          <w:rFonts w:ascii="Arial" w:cs="Arial" w:eastAsia="Arial" w:hAnsi="Arial"/>
          <w:sz w:val="19"/>
          <w:szCs w:val="19"/>
          <w:color w:val="auto"/>
        </w:rPr>
        <w:t>"), and will generally be subject to U.S. federal income tax on their proportionate share of (a) any "excess distributions," as described below, on the stock of a Subsidiary PFIC and (b) a disposition or deemed disposition of the stock of a Subsidiary PFIC by the Corporation or another Subsidiary PFIC, both as if such U.S. Holders directly held the shares of such Subsidiary PFIC. In addition, U.S. Holders may be subject to U.S. federal income tax on any indirect gain realized on the stock of a Subsidiary PFIC on the sale or disposition of Common Shares. Accordingly, U.S. Holders should be aware that they could be subject to tax under the PFIC rules even if no distributions are received and no redemptions or other dispositions of Common Shares are made.</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Default PFIC Rules Under Section 1291 of the Code</w:t>
      </w:r>
    </w:p>
    <w:p>
      <w:pPr>
        <w:spacing w:after="0" w:line="20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If the Corporation is a PFIC for any tax year during which a U.S. Holder owns Common Shares, the U.S. federal income tax consequences to such U.S. Holder of the acquisition, ownership, and disposition of Common Shares will depend on whether and when such U.S. Holder makes an election to treat the Corporation and each Subsidiary PFIC, if any, as a "qualified electing fund" or "QEF" under Section 1295 of the Code (a "</w:t>
      </w:r>
      <w:r>
        <w:rPr>
          <w:rFonts w:ascii="Arial" w:cs="Arial" w:eastAsia="Arial" w:hAnsi="Arial"/>
          <w:sz w:val="21"/>
          <w:szCs w:val="21"/>
          <w:b w:val="1"/>
          <w:bCs w:val="1"/>
          <w:color w:val="auto"/>
        </w:rPr>
        <w:t>QEF Election</w:t>
      </w:r>
      <w:r>
        <w:rPr>
          <w:rFonts w:ascii="Arial" w:cs="Arial" w:eastAsia="Arial" w:hAnsi="Arial"/>
          <w:sz w:val="21"/>
          <w:szCs w:val="21"/>
          <w:color w:val="auto"/>
        </w:rPr>
        <w:t>") or makes a mark-to-market election under Section 1296 of the Code (a "</w:t>
      </w:r>
      <w:r>
        <w:rPr>
          <w:rFonts w:ascii="Arial" w:cs="Arial" w:eastAsia="Arial" w:hAnsi="Arial"/>
          <w:sz w:val="21"/>
          <w:szCs w:val="21"/>
          <w:b w:val="1"/>
          <w:bCs w:val="1"/>
          <w:color w:val="auto"/>
        </w:rPr>
        <w:t>Mark-to-Market Election</w:t>
      </w:r>
      <w:r>
        <w:rPr>
          <w:rFonts w:ascii="Arial" w:cs="Arial" w:eastAsia="Arial" w:hAnsi="Arial"/>
          <w:sz w:val="21"/>
          <w:szCs w:val="21"/>
          <w:color w:val="auto"/>
        </w:rPr>
        <w:t>"). A U.S. Holder that does not make either a QEF Election or a Mark-to-Market Election will be referred to in this summary as a "Non-Electing U.S. Holder".</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 Non-Electing U.S. Holder will be subject to the rules of Section 1291 of the Code (described below) with respect to: (a) any gain recognized on the sale or other taxable disposition of Common Shares; and (b) any "excess distribution" received on the Common Shares. A distribution generally will be an "excess distribution" to the extent that such distribution (together with all other distributions received in the current tax year) exceeds 125% of the average distributions received during the three preceding tax years (or during a U.S. Holder's holding period for the Common Shares, if shorter).</w:t>
      </w:r>
    </w:p>
    <w:p>
      <w:pPr>
        <w:spacing w:after="0" w:line="147"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Under Section 1291 of the Code, any gain recognized on the sale or other taxable disposition of Common Shares (including an indirect disposition of the stock of any Subsidiary PFIC), and any "excess distribution" received on Common Shares or with respect to the stock of a Subsidiary PFIC, must be ratably allocated to each day in a Non-Electing U.S. Holder's holding period for the respective Common Shares. The amount of any such gain or excess distribution allocated to the tax year of disposition or distribution of the excess distribution and to years before the entity became a PFIC, if any, would be taxed as ordinary income (and not eligible for certain preferred rates). The amounts allocated to any other tax year would be subject to U.S. federal income tax at the highest tax rate applicable to ordinary income in each such year, and an interest charge would be imposed on the tax liability for each such year, calculated as if such tax liability had been due in each such year. A Non-Electing U.S. Holder that is not a corporation must treat any such interest paid as "personal interest," which is not deductible.</w:t>
      </w:r>
    </w:p>
    <w:p>
      <w:pPr>
        <w:spacing w:after="0" w:line="15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If the Corporation is a PFIC for any tax year during which a Non-Electing U.S. Holder holds Common Shares, the Corporation will continue to be treated as a PFIC with respect to such Non-Electing U.S. Holder, regardless of whether the Corporation ceases to be a PFIC in one or more subsequent tax years. A Non-Electing U.S. Holder may terminate this deemed PFIC status by electing to recognize gain (which will be taxed under the rules of Section 1291 of the Code discussed above), but not loss, as if such Common Shares were sold on the last day of the last tax year for which the Corporation was a PFIC.</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1" w:name="page32"/>
    <w:bookmarkEnd w:id="31"/>
    <w:p>
      <w:pPr>
        <w:spacing w:after="0"/>
        <w:rPr>
          <w:sz w:val="20"/>
          <w:szCs w:val="20"/>
          <w:color w:val="auto"/>
        </w:rPr>
      </w:pPr>
      <w:r>
        <w:rPr>
          <w:rFonts w:ascii="Arial" w:cs="Arial" w:eastAsia="Arial" w:hAnsi="Arial"/>
          <w:sz w:val="22"/>
          <w:szCs w:val="22"/>
          <w:i w:val="1"/>
          <w:iCs w:val="1"/>
          <w:color w:val="auto"/>
        </w:rPr>
        <w:t>QEF Election</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A U.S. Holder that makes a timely and effective QEF Election for the first tax year in which the holding period of its Common Shares begins generally will not be subject to the rules of Section 1291 of the Code discussed above with respect to its Common Shares. A U.S. Holder that makes a timely and effective QEF Election will be subject to U.S. federal income tax on such U.S. Holder's pro rata share of (a) the net capital gain of the Corporation, which will be taxed as long-term capital gain to such U.S. Holder, and (b) the ordinary earnings of the Corporation, which will be taxed as ordinary income to such U.S. Holder. Generally, "net capital gain" is the excess of (a) net long-term capital gain over (b) net short-term capital loss, and "ordinary earnings" are the excess of (a) "earnings and profits" over (b) net capital gain. A U.S. Holder that makes a QEF Election will be subject to U.S. federal income tax on such amounts for each tax year in which the Corporation is a PFIC, regardless of whether such amounts are actually distributed to such U.S. Holder by the Corporation. However, for any tax year in which the Corporation is a PFIC and has no net income or gain, U.S. Holders that have made a QEF Election would not have any income inclusions as a result of the QEF Election. If a U.S. Holder that made a QEF Election has an income inclusion, such a U.S. Holder may, subject to certain limitations, elect to defer payment of current U.S. federal income tax on such amounts, subject to an interest charge. If such U.S. Holder is not a corporation, any such interest paid will be treated as "personal interest," which is not deductible.</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A U.S. Holder that makes a timely and effective QEF Election with respect to the Corporation generally (a) may receive a tax-free distribution from the Corporation to the extent that such distribution represents "earnings and profits" of the Corporation that were previously included in income by the U.S. Holder because of such QEF Election and (b) will adjust such U.S. Holder's tax basis in the Common Shares to reflect the amount included in income or allowed as a tax-free distribution because of such QEF Election. In addition, a U.S. Holder that makes a QEF Election generally will recognize capital gain or loss on the sale or other taxable disposition of Common Shares.</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procedure for making a QEF Election, and the U.S. federal income tax consequences of making a QEF Election, will depend on whether such QEF Election is timely. A QEF Election will be treated as "timely" if such QEF Election is made for the first year in the U.S. Holder's holding period for the Common Shares in which the Corporation was a PFIC. A U.S. Holder may make a timely QEF Election by filing the appropriate QEF Election documents at the time such U.S. Holder files a U.S. federal income tax return for such year. If a U.S. Holder does not make a timely and effective QEF Election for the first year in the U.S. Holder's holding period for the Common Shares, the U.S. Holder may still be able to make a timely and effective QEF Election in a subsequent year if such U.S. Holder meets certain requirements and makes a "purging" election to recognize gain (which will be taxed under the rules of Section 1291 of the Code discussed above) as if such Common Shares were sold for their fair market value on the day the QEF Election is effective. If a U.S. Holder makes a QEF Election but does not make a "purging" election to recognize gain as discussed in the preceding sentence, then such U.S. Holder shall be subject to the QEF Election rules and shall continue to be subject to tax under the rules of Section 1291 discussed above with respect to its Common Shares. If a U.S. Holder owns PFIC stock indirectly through another PFIC, separate QEF Elections must be made for the PFIC in which the U.S. Holder is a direct shareholder and the Subsidiary PFIC for the QEF rules to apply to both PFICs.</w:t>
      </w:r>
    </w:p>
    <w:p>
      <w:pPr>
        <w:spacing w:after="0" w:line="15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 QEF Election will apply to the tax year for which such QEF Election is timely made and to all subsequent tax years, unless such QEF Election is invalidated or terminated or the IRS consents to revocation of such QEF Election. If a U.S. Holder makes a QEF Election and, in a subsequent tax year, the Corporation ceases to be a PFIC, the QEF Election will remain in effect (although it will not be applicable) during those tax years in which the Corporation is not a PFIC. Accordingly, if the Corporation becomes a PFIC in another subsequent tax year, the QEF Election will be effective and the U.S. Holder will be subject to the QEF rules described above during any subsequent tax year in which the Corporation qualifies as a PFIC.</w:t>
      </w:r>
    </w:p>
    <w:p>
      <w:pPr>
        <w:spacing w:after="0" w:line="150"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For each tax year that the Corporation qualifies as a PFIC, the Corporation: (a) intends to make publicly available to U.S. Holders, upon their written request, a "PFIC Annual Information Statement" for the Corporation as described in Treasury Regulation Section 1.1295-1(g) (or any successor Treasury Regulation) and (b) upon written request, intends to use commercially reasonable efforts to provide such additional information that such U.S. Holder is reasonably required to obtain in connection with maintaining such QEF Election with regard to the Corporation. The Corporation may elect to provide such information on the Corporation's website. However, U.S. Holders should be aware that the Corporation can provide no assurances that the Corporation will provide any such information relating to any Subsidiary PFIC and as a result, a QEF Election may not be available with respect to any Subsidiary PFIC. Because the Corporation may own shares in one or more Subsidiary PFICs at any time, U.S. Holders will continue to be subject to the rules discussed above with respect to the taxation of gains and excess distributions with respect to any Subsidiary PFIC for which the U.S. Holders do not obtain such required information. Each U.S. Holder should consult its own tax advisors regarding the availability of, and procedure for making, a QEF Election with respect to the Corporation and any Subsidiary PFIC.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2" w:name="page33"/>
    <w:bookmarkEnd w:id="32"/>
    <w:p>
      <w:pPr>
        <w:jc w:val="both"/>
        <w:spacing w:after="0" w:line="249" w:lineRule="auto"/>
        <w:rPr>
          <w:sz w:val="20"/>
          <w:szCs w:val="20"/>
          <w:color w:val="auto"/>
        </w:rPr>
      </w:pPr>
      <w:r>
        <w:rPr>
          <w:rFonts w:ascii="Arial" w:cs="Arial" w:eastAsia="Arial" w:hAnsi="Arial"/>
          <w:sz w:val="21"/>
          <w:szCs w:val="21"/>
          <w:color w:val="auto"/>
        </w:rPr>
        <w:t>A U.S. Holder makes a QEF Election by attaching a completed IRS Form 8621, including a PFIC Annual Information Statement, to a timely filed United States federal income tax return. However, if the Corporation does not provide the required information with regard to the Corporation or any of its Subsidiary PFICs, U.S. Holders will not be able to make a QEF Election for such entity and will continue to be subject to the rules of Section 1291 of the Code discussed above that apply to Non-Electing U.S. Holders with respect to the taxation of gains and excess distributions.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Mark-to-Market Election</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A U.S. Holder may make a Mark-to-Market Election only if the Common Shares are marketable stock. The Common Shares generally will be "marketable stock" if the Common Shares are regularly traded on (a) a national securities exchange that is registered with the SEC, (b) the national market system established pursuant to section 11A of the Exchange Act, or (c) a foreign securities exchange that is regulated or supervised by a governmental authority of the country in which the market is located, provided that (i) such foreign exchange has trading volume, listing, financial disclosure, and surveillance requirements, and meets other requirements and the laws of the country in which such foreign exchange is located, together with the rules of such foreign exchange, ensure that such requirements are actually enforced and (ii) the rules of such foreign exchange effectively promote active trading of listed stocks. If such stock is traded on such a qualified exchange or other market, such stock generally will be "regularly traded" for any calendar year during which such stock is traded, other than in de minimis quantities, on at least 15 days during each calendar quarter. Each U.S. Holder should consult its own tax advisor in this matter.</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 U.S. Holder that makes a Mark-to-Market Election with respect to its Common Shares generally will not be subject to the rules of Section 1291 of the Code discussed above with respect to such Common Shares. However, if a U.S. Holder does not make a Mark-to-Market Election beginning in the first tax year of such U.S. Holder's holding period for the Common Shares for which the Corporation is a PFIC and such U.S. Holder has not made a timely QEF Election, the rules of Section 1291 of the Code discussed above will apply to certain dispositions of, and distributions on, the Common Shares.</w:t>
      </w:r>
    </w:p>
    <w:p>
      <w:pPr>
        <w:spacing w:after="0" w:line="147"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A U.S. Holder that makes a Mark-to-Market Election will include in ordinary income, for each tax year in which the Corporation is a PFIC, an amount equal to the excess, if any, of (a) the fair market value of the Common Shares, as of the close of such tax year over (b) such U.S. Holder's adjusted tax basis in such Common Shares. A U.S. Holder that makes a Mark-to-Market Election will be allowed a deduction in an amount equal to the excess, if any, of (a) such U.S. Holder's adjusted tax basis in the Common Shares, over (b) the fair market value of such Common Shares (but only to the extent of the net amount of previously included income as a result of the Mark-to-Market Election for prior tax years).</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 U.S. Holder that makes a Mark-to-Market Election generally also will adjust such U.S. Holder's tax basis in the Common Shares to reflect the amount included in gross income or allowed as a deduction because of such Mark-to-Market Election. In addition, upon a sale or other taxable disposition of Common Shares, a U.S. Holder that makes a Mark-to-Market Election will recognize ordinary income or ordinary loss (not to exceed the excess, if any, of (a) the amount included in ordinary income because of such Mark-to-Market Election for prior tax years over (b) the amount allowed as a deduction because of such Mark-to-Market Election for prior tax years). Losses that exceed this limitation are subject to the rules generally applicable to losses provided in the Code and Treasury Regulations.</w:t>
      </w:r>
    </w:p>
    <w:p>
      <w:pPr>
        <w:spacing w:after="0" w:line="18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 U.S. Holder makes a Mark-to-Market Election by attaching a completed IRS Form 8621 to a timely filed United States federal income tax return. A Mark-to-Market Election applies to the tax year in which such Mark-to-Market Election is made and to each subsequent tax year, unless the Common Shares cease to be "marketable stock" or the IRS consents to revocation of such election. Each U.S. Holder should consult its own tax advisors regarding the availability of, and procedure for making, a Mark-to-Market Election.</w:t>
      </w:r>
    </w:p>
    <w:p>
      <w:pPr>
        <w:spacing w:after="0" w:line="18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Although a U.S. Holder may be eligible to make a Mark-to-Market Election with respect to the Common Shares, no such election may be made with respect to the stock of any Subsidiary PFIC that a U.S. Holder is treated as owning, because such stock is not marketable. Hence, the Mark-to-Market Election will not be effective to avoid the application of the default rules of Section 1291 of the Code described above with respect to deemed dispositions of Subsidiary PFIC stock or excess distributions from a Subsidiary PFIC to its shareholder.</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Other PFIC Rules</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Under Section 1291(f) of the Code, the IRS has issued proposed Treasury Regulations that, subject to certain exceptions, would cause a U.S. Holder that had not made a timely QEF Election to recognize gain (but not loss) upon certain transfers of Common Shares that would otherwise be tax-deferred (e.g., gifts and exchanges pursuant to corporate reorganizations). However, the specific U.S. federal income tax consequences to a U.S. Holder may vary based on the manner in which Common Shares are transferred.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3" w:name="page34"/>
    <w:bookmarkEnd w:id="33"/>
    <w:p>
      <w:pPr>
        <w:jc w:val="both"/>
        <w:spacing w:after="0" w:line="238" w:lineRule="auto"/>
        <w:rPr>
          <w:sz w:val="20"/>
          <w:szCs w:val="20"/>
          <w:color w:val="auto"/>
        </w:rPr>
      </w:pPr>
      <w:r>
        <w:rPr>
          <w:rFonts w:ascii="Arial" w:cs="Arial" w:eastAsia="Arial" w:hAnsi="Arial"/>
          <w:sz w:val="22"/>
          <w:szCs w:val="22"/>
          <w:color w:val="auto"/>
        </w:rPr>
        <w:t>Certain additional adverse rules may apply with respect to a U.S. Holder if the Corporation is a PFIC, regardless of whether such U.S. Holder makes a QEF Election. For example, under Section 1298(b)(6) of the Code, a U.S. Holder that uses Common Shares as security for a loan will, except as may be provided in Treasury Regulations, be treated as having made a taxable disposition of such Common Shares.</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addition, a U.S. Holder who acquires Common Shares from a decedent will not receive a "step up" in tax basis of such Common Shares to fair market value unless such decedent had a timely and effective QEF Election in place.</w:t>
      </w:r>
    </w:p>
    <w:p>
      <w:pPr>
        <w:spacing w:after="0" w:line="17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Special rules also apply to the amount of foreign tax credit that a U.S. Holder may claim on a distribution from a PFIC. Subject to such special rules, foreign taxes paid with respect to any distribution in respect of stock in a PFIC are generally eligible for the foreign tax credit. The rules relating to distributions by a PFIC and their eligibility for the foreign tax credit are complicated, and a U.S. Holder should consult with its own tax advisors regarding the availability of the foreign tax credit with respect to distributions by a PFIC.</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PFIC rules are complex, and each U.S. Holder should consult its own tax advisors regarding the PFIC rules and how the PFIC rules may affect the U.S. federal income tax consequences of the acquisition, ownership, and disposition of Common Shares.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Rules Applicable to the Ownership and Disposition of Common Shares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discussion is subject, in its entirety, to the rules described above under the heading "Passive Foreign Investment Company Rules".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Distributions on Common Shares</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A U.S. Holder that receives a distribution, including a constructive distribution, with respect to an Common Share will be required to include the amount of such distribution in gross income as a dividend (without reduction for any Canadian income tax withheld from such distribution) to the extent of the current or accumulated "earnings and profits" of the Corporation, as computed for U.S. federal income tax purposes. A dividend generally will be taxed to a U.S. Holder at ordinary income tax rates if the Corporation is a PFIC for the tax year of such distribution or the preceding tax year. To the extent that a distribution exceeds the current and accumulated "earnings and profits" of the Corporation, such distribution will be treated first as a tax-free return of capital to the extent of a U.S. Holder's tax basis in the Common Shares and thereafter as gain from the sale or exchange of such Common Shares. (See "Sale or Other Taxable Disposition of Common Shares" below). However, the Corporation does not intend to maintain the calculations of its earnings and profits in accordance with U.S. federal income tax principles, and each U.S. Holder therefore should assume that any distribution by the Corporation with respect to the Common Shares will constitute ordinary dividend income. Dividends received on Common Shares by corporate U.S. Holders generally will not be eligible for the "dividends received deduction". Subject to applicable limitations and provided the Corporation is eligible for the benefits of the Canada-U.S. Tax Convention or the Common Shares are readily tradable on a United States securities market, dividends paid by the Corporation to non-corporate U.S. Holders, including individuals, generally will be eligible for the preferential tax rates applicable to long-term capital gains for dividends, provided certain holding period and other conditions are satisfied, including that the Corporation not be classified as a PFIC in the tax year of distribution or in the preceding tax year. The dividend rules are complex, and each U.S. Holder should consult its own tax advisors regarding the application of such rules.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Sale or Other Taxable Disposition of Common Shares</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Upon the sale or other taxable disposition of Common Shares, a U.S. Holder generally will recognize capital gain or loss in an amount equal to the difference between the U.S. dollar value of cash received plus the fair market value of any property received and such U.S. Holder's tax basis in such Common Shares sold or otherwise disposed of. Gain or loss recognized on such sale or other disposition generally will be long-term capital gain or loss if, at the time of the sale or other disposition, the Common Shares have been held for more than one year.</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Preferential tax rates currently apply to long-term capital gain of a U.S. Holder that is an individual, estate, or trust. There are currently no preferential tax rates for long-term capital gain of a U.S. Holder that is a corporation. Deductions for capital losses are subject to significant limitations under the Code.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4" w:name="page35"/>
    <w:bookmarkEnd w:id="34"/>
    <w:p>
      <w:pPr>
        <w:spacing w:after="0"/>
        <w:rPr>
          <w:sz w:val="20"/>
          <w:szCs w:val="20"/>
          <w:color w:val="auto"/>
        </w:rPr>
      </w:pPr>
      <w:r>
        <w:rPr>
          <w:rFonts w:ascii="Arial" w:cs="Arial" w:eastAsia="Arial" w:hAnsi="Arial"/>
          <w:sz w:val="22"/>
          <w:szCs w:val="22"/>
          <w:b w:val="1"/>
          <w:bCs w:val="1"/>
          <w:color w:val="auto"/>
        </w:rPr>
        <w:t>Additional Considerations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Receipt of Foreign Currency</w:t>
      </w:r>
    </w:p>
    <w:p>
      <w:pPr>
        <w:spacing w:after="0" w:line="206"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amount of any distribution paid to a U.S. Holder in foreign currency, or on the sale, exchange or other taxable disposition of Common Shares, generally will be equal to the U.S. dollar value of such foreign currency based on the exchange rate applicable on the date of receipt (regardless of whether such foreign currency is converted into U.S. dollars at that time). A U.S. Holder will have a tax basis in the foreign currency equal to its U.S. dollar value on the date of receipt. Any U.S. Holder who converts or otherwise disposes of the foreign currency after the date of receipt may have a foreign currency exchange gain or loss that would be treated as ordinary income or loss, and generally will be U.S. source income or loss for foreign tax credit purposes. Different rules apply to U.S. Holders who use the accrual method of tax accounting. Each U.S. Holder should consult its own U.S. tax advisors regarding the U.S. federal income tax consequences of receiving, owning, and disposing of foreign currency.</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Foreign Tax Credit</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 xml:space="preserve">Dividends paid on Common Shares will be treated as foreign-source income, and generally will be treated as "passive category income" or "general category income" for U.S. foreign tax credit purposes. Any gain or loss recognized on a sale or other disposition of Common Shares generally will be United States source gain or loss. Certain U.S. Holders that are eligible for the benefits of the Canada-U.S. Tax Convention may elect to treat such gain or loss as Canadian source gain or loss for U.S. foreign tax credit purposes. The Code applies various complex limitations on the amount of foreign taxes that may be claimed as a credit by U.S. taxpayers. In addition, Treasury Regulations that apply to foreign taxes paid or accrued (the " </w:t>
      </w:r>
      <w:r>
        <w:rPr>
          <w:rFonts w:ascii="Arial" w:cs="Arial" w:eastAsia="Arial" w:hAnsi="Arial"/>
          <w:sz w:val="21"/>
          <w:szCs w:val="21"/>
          <w:b w:val="1"/>
          <w:bCs w:val="1"/>
          <w:color w:val="auto"/>
        </w:rPr>
        <w:t>Foreign Tax Credit</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Regulations") </w:t>
      </w:r>
      <w:r>
        <w:rPr>
          <w:rFonts w:ascii="Arial" w:cs="Arial" w:eastAsia="Arial" w:hAnsi="Arial"/>
          <w:sz w:val="21"/>
          <w:szCs w:val="21"/>
          <w:color w:val="auto"/>
        </w:rPr>
        <w:t>impose additional requirements for Canadian withholding taxes to be eligible for a foreign tax credit, and there</w:t>
      </w:r>
      <w:r>
        <w:rPr>
          <w:rFonts w:ascii="Arial" w:cs="Arial" w:eastAsia="Arial" w:hAnsi="Arial"/>
          <w:sz w:val="21"/>
          <w:szCs w:val="21"/>
          <w:b w:val="1"/>
          <w:bCs w:val="1"/>
          <w:color w:val="auto"/>
        </w:rPr>
        <w:t xml:space="preserve"> </w:t>
      </w:r>
      <w:r>
        <w:rPr>
          <w:rFonts w:ascii="Arial" w:cs="Arial" w:eastAsia="Arial" w:hAnsi="Arial"/>
          <w:sz w:val="21"/>
          <w:szCs w:val="21"/>
          <w:color w:val="auto"/>
        </w:rPr>
        <w:t>can be no assurance that those requirements will be satisfied.</w:t>
      </w:r>
    </w:p>
    <w:p>
      <w:pPr>
        <w:spacing w:after="0" w:line="18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Subject to the PFIC rules and the Foreign Tax Credit Regulations, each as discussed above, a U.S. Holder that pays (whether directly or through withholding) Canadian income tax with respect to dividends paid on Common Shares generally will be entitled, at the election of such U.S. Holder, to receive either a deduction or a credit for such Canadian income tax. Generally, a credit will reduce a U.S. Holder's U.S. federal income tax liability on a dollar-for-dollar basis, whereas a deduction will reduce a U.S. Holder's income that is subject to U.S. federal income tax. This election is made on a year-by-year basis and applies to all foreign taxes paid (whether directly or through withholding) by a U.S. Holder during a year. The foreign tax credit rules are complex, and involve the application of rules that depend on a U.S. Holder's particular circumstances. Accordingly, each U.S. Holder should consult its own U.S. tax advisors regarding the foreign tax credit rules.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Backup Withholding and Information Reporting</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Under U.S. federal income tax law and Treasury Regulations, certain categories of U.S. Holders must file information returns with respect to their investment in, or involvement in, a foreign corporation. For example, U.S. return disclosure obligations (and related penalties) are imposed on individuals who are U.S. Holders that hold certain specified foreign financial assets in excess of certain threshold amounts. The definition of specified foreign financial assets includes not only financial accounts maintained in foreign financial institutions, but also, unless held in accounts maintained by a financial institution, any stock or security issued by a non-U.S. person, any financial instrument or contract held for investment that has an issuer or counterparty other than a U.S. person and any interest in a non-U.S. entity. U.S. Holders may be subject to these reporting requirements unless their Common Shares are held in an account at certain financial institutions. Penalties for failure to file certain of these information returns are substantial. U.S. Holders should consult their own tax advisors regarding the requirements of filing information returns, including the requirement to file an IRS Form 8938.</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Payments made within the U.S. or by a U.S. payor or U.S. middleman, of dividends on, and proceeds arising from the sale or other taxable disposition of, Common Shares will generally be subject to information reporting and backup withholding tax if a U.S. Holder (a) fails to furnish such U.S. Holder's correct U.S. taxpayer identification number (generally on IRS Form W-9), (b) furnishes an incorrect U.S. taxpayer identification number, (c) is notified by the IRS that such U.S. Holder has previously failed to properly report items subject to backup withholding tax, or (d) fails to certify, under penalty of perjury, that such U.S. Holder has furnished its correct U.S. taxpayer identification number and that the IRS has not notified such U.S. Holder that it is subject to backup withholding tax. However, certain exempt persons generally are excluded from these information reporting and backup withholding rules. Backup withholding is not an additional tax. Any amounts withheld under the U.S. backup withholding tax rules will be allowed as a credit against a U.S. Holder's U.S. federal income tax liability, if any, or will be refunded, if such U.S. Holder furnishes required information to the IRS in a timely manner.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5" w:name="page36"/>
    <w:bookmarkEnd w:id="35"/>
    <w:p>
      <w:pPr>
        <w:jc w:val="both"/>
        <w:spacing w:after="0" w:line="236" w:lineRule="auto"/>
        <w:rPr>
          <w:sz w:val="20"/>
          <w:szCs w:val="20"/>
          <w:color w:val="auto"/>
        </w:rPr>
      </w:pPr>
      <w:r>
        <w:rPr>
          <w:rFonts w:ascii="Arial" w:cs="Arial" w:eastAsia="Arial" w:hAnsi="Arial"/>
          <w:sz w:val="22"/>
          <w:szCs w:val="22"/>
          <w:color w:val="auto"/>
        </w:rPr>
        <w:t>The discussion of reporting requirements set forth above is not intended to constitute a complete description of all reporting requirements that may apply to a U.S. Holder. A failure to satisfy certain reporting requirements may result in an extension of the time period during which the IRS can assess a tax, and under certain circumstances, such an extension may apply to assessments of amounts unrelated to any unsatisfied reporting requirement. Each U.S. Holder should consult its own tax advisors regarding the information reporting and backup withholding rules.</w:t>
      </w:r>
    </w:p>
    <w:p>
      <w:pPr>
        <w:spacing w:after="0" w:line="181"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THE ABOVE SUMMARY IS NOT INTENDED TO CONSTITUTE A COMPLETE ANALYSIS OF ALL TAX CONSIDERATIONS APPLICABLE TO U.S. HOLDERS WITH RESPECT TO THE ACQUISITION, OWNERSHIP AND DISPOSITION OF COMMON SHARES. U.S. HOLDERS SHOULD CONSULT THEIR OWN TAX ADVISORS AS TO THE TAX CONSIDERATIONS APPLICABLE TO THEM IN LIGHT OF THEIR OWN PARTICULAR CIRCUMSTANCES.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EXPERTS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Certain legal matters relating to the issue and sale of the Common Shares, will be passed upon on behalf of the Corporation by Aird &amp; Berlis LLP.</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 of the date of this Prospectus Supplement, the partners and associates of Aird &amp; Berlis LLP, beneficially owned, directly or indirectly, less than 1% of the outstanding securities of the Corporation.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AUDITORS, TRANSFER AGENT AND REGISTRAR</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Zeifmans LLP, Chartered Professional Accountants, are the auditors of the Corporation and have confirmed that they are independent of the Corporation within the meaning of the relevant rules and related interpretations prescribed by the relevant professional bodies in Canada and any applicable legislation or regulation. Neither Zeifmans LLP nor any designated professional thereof, had any registered or beneficial interest in any securities or other property of the Corporation at the time they audited the relevant financial statements incorporated by reference in this Prospectus Supplement or at any time thereafter.</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color w:val="auto"/>
        </w:rPr>
        <w:t>The registrar and transfer agent of the Common Shares is Odyssey Trust Company at its principal office in Calgary, Alberta.</w:t>
      </w:r>
    </w:p>
    <w:p>
      <w:pPr>
        <w:spacing w:after="0" w:line="235"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EXEMPTIONS</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Pursuant to a decision of the Autorité des marchés financiers dated June 10, 2021, the Corporation was granted a permanent exemption from the requirement to translate into French this Prospectus Supplement, the Base Shelf Prospectus as well as the documents incorporated by reference herein and therein. The exemption was granted on the condition that the Base Shelf Prospectus and any Prospectus Supplement (other than in relation to an "at-the-market distribution") be translated into French if the Corporation offers Securities to Québec purchasers in connection with an offering other than in relation to an "at-the-market distribution".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ADDITIONAL INFORMATION</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 xml:space="preserve">The Corporation has filed with the SEC the Registration Statement on Form F-10 under the Securities Act relating to the offering of the Corporation's securities, including the Common Shares, of which this Prospectus Supplement and accompanying Prospectus form a part. This Prospectus Supplement and the accompanying Prospectus do not contain all of the information set forth in the Registration Statement, certain parts of which are contained in the exhibits to the Registration Statement as permitted by the rules and regulations of the SEC. Reference is made to such Registration Statement and the exhibits thereto for further information with respect to us and the Common Shares. Information omitted from this Prospectus Supplement and the accompanying Prospectus, but contained in the Registration Statement is available on EDGAR under the Corporation's profile at </w:t>
      </w:r>
      <w:r>
        <w:rPr>
          <w:rFonts w:ascii="Arial" w:cs="Arial" w:eastAsia="Arial" w:hAnsi="Arial"/>
          <w:sz w:val="19"/>
          <w:szCs w:val="19"/>
          <w:u w:val="single" w:color="auto"/>
          <w:color w:val="0563C1"/>
        </w:rPr>
        <w:t>www.sec.gov</w:t>
      </w:r>
      <w:r>
        <w:rPr>
          <w:rFonts w:ascii="Arial" w:cs="Arial" w:eastAsia="Arial" w:hAnsi="Arial"/>
          <w:sz w:val="19"/>
          <w:szCs w:val="19"/>
          <w:color w:val="000000"/>
        </w:rPr>
        <w:t>. Investors should review the Registration Statement and the exhibits thereto for further information with respect to</w:t>
      </w:r>
      <w:r>
        <w:rPr>
          <w:rFonts w:ascii="Arial" w:cs="Arial" w:eastAsia="Arial" w:hAnsi="Arial"/>
          <w:sz w:val="19"/>
          <w:szCs w:val="19"/>
          <w:color w:val="0563C1"/>
        </w:rPr>
        <w:t xml:space="preserve"> </w:t>
      </w:r>
      <w:r>
        <w:rPr>
          <w:rFonts w:ascii="Arial" w:cs="Arial" w:eastAsia="Arial" w:hAnsi="Arial"/>
          <w:sz w:val="19"/>
          <w:szCs w:val="19"/>
          <w:color w:val="000000"/>
        </w:rPr>
        <w:t>us and the Common Shares. Statements contained in this Prospectus Supplement and the accompanying Prospectus as to the contents of certain documents are not necessarily complete and, in each instance, reference is made to the copy of the document filed as an exhibit to the Registration Statement. Each such statement is qualified in its entirety by such reference.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6" w:name="page37"/>
    <w:bookmarkEnd w:id="36"/>
    <w:p>
      <w:pPr>
        <w:jc w:val="both"/>
        <w:spacing w:after="0" w:line="275" w:lineRule="auto"/>
        <w:rPr>
          <w:sz w:val="20"/>
          <w:szCs w:val="20"/>
          <w:color w:val="auto"/>
        </w:rPr>
      </w:pPr>
      <w:r>
        <w:rPr>
          <w:rFonts w:ascii="Arial" w:cs="Arial" w:eastAsia="Arial" w:hAnsi="Arial"/>
          <w:sz w:val="19"/>
          <w:szCs w:val="19"/>
          <w:color w:val="auto"/>
        </w:rPr>
        <w:t>The Corporation is required to file with the various securities commissions or similar authorities in each of the applicable provinces and territories of Canada, annual and quarterly reports, material change reports and other information. The Corporation is also an SEC registrant subject to the informational requirements of the Exchange Act, and, accordingly, file with, or furnish to, the SEC certain reports and other information. Under the MJDS adopted by the United States and Canada, these reports and other information (including financial information) may be prepared in accordance with the disclosure requirements of Canada, which differ from those of the United States. The Corporation is exempt from the rules under the Exchange Act prescribing the furnishing and content of proxy statements, and the officers, directors and principal shareholders are exempt from the reporting and short swing profit recovery provisions contained in Section 16 of the Exchange Act.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ENFORCEABILITY OF CIVIL LIABILITIES BY U.S. INVESTORS</w:t>
      </w:r>
    </w:p>
    <w:p>
      <w:pPr>
        <w:spacing w:after="0" w:line="31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Corporation is a corporation existing under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(Ontario). Other than Douglas Drysdale, all of the directors and officers, and all of the experts named in this Prospectus Supplement or the accompanying Base Shelf Prospectus, are residents of Canada or otherwise reside outside the United States, and all or a substantial portion of their assets, and a majority of the Corporation’s assets, are located outside the United States. The Corporation has appointed an agent for service of process in the United States, but it may be difficult for holders of the Securities who reside in the United States to effect service within the United States upon those directors, officers and experts who are not residents of the United States. It may also be difficult for holders of the Securities who reside in the United States to realize upon judgments of courts of the United States predicated upon the Corporation’s civil liability and the civil liability of its directors, officers and experts under the United States federal securities laws.</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Corporation has been advised by its Canadian counsel, Aird &amp; Berlis LLP, that there is doubt as to the enforceability in Canada by a court in original actions, or in actions to enforce judgments of United States courts, of civil liabilities predicated upon United States federal securities laws.</w:t>
      </w:r>
    </w:p>
    <w:p>
      <w:pPr>
        <w:spacing w:after="0" w:line="14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Corporation filed with the SEC, concurrently with the Registration Statement, an appointment of agent for service of process on Form F-X. Under the Form F-X, the Corporation appointed CT Corporation System as the agent for service of process in the United States in connection with any investigation or administrative proceeding conducted by the SEC, and any civil suit or action brought against or involving the Corporation in a United States court arising out of, related to, or concerning the offering of Common Shares under this Prospectus Supplement and the accompanying Base Shelf Prospectus.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54" w:lineRule="exact"/>
        <w:rPr>
          <w:sz w:val="20"/>
          <w:szCs w:val="20"/>
          <w:color w:val="auto"/>
        </w:rPr>
      </w:pPr>
    </w:p>
    <w:p>
      <w:pPr>
        <w:ind w:left="120"/>
        <w:spacing w:after="0"/>
        <w:tabs>
          <w:tab w:leader="none" w:pos="10400" w:val="left"/>
        </w:tabs>
        <w:rPr>
          <w:sz w:val="20"/>
          <w:szCs w:val="20"/>
          <w:color w:val="auto"/>
        </w:rPr>
      </w:pPr>
      <w:r>
        <w:rPr>
          <w:rFonts w:ascii="Arial" w:cs="Arial" w:eastAsia="Arial" w:hAnsi="Arial"/>
          <w:sz w:val="14"/>
          <w:szCs w:val="14"/>
          <w:u w:val="single" w:color="auto"/>
          <w:color w:val="auto"/>
        </w:rPr>
        <w:t>New Issue</w:t>
      </w:r>
      <w:r>
        <w:rPr>
          <w:sz w:val="20"/>
          <w:szCs w:val="20"/>
          <w:color w:val="auto"/>
        </w:rPr>
        <w:tab/>
      </w:r>
      <w:r>
        <w:rPr>
          <w:rFonts w:ascii="Arial" w:cs="Arial" w:eastAsia="Arial" w:hAnsi="Arial"/>
          <w:sz w:val="13"/>
          <w:szCs w:val="13"/>
          <w:color w:val="auto"/>
        </w:rPr>
        <w:t>July 5, 2021</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SHORT FORM BASE SHELF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83820</wp:posOffset>
            </wp:positionV>
            <wp:extent cx="1414145" cy="8489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41414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19"/>
        <w:spacing w:after="0"/>
        <w:rPr>
          <w:sz w:val="20"/>
          <w:szCs w:val="20"/>
          <w:color w:val="auto"/>
        </w:rPr>
      </w:pPr>
      <w:r>
        <w:rPr>
          <w:rFonts w:ascii="Arial" w:cs="Arial" w:eastAsia="Arial" w:hAnsi="Arial"/>
          <w:sz w:val="40"/>
          <w:szCs w:val="40"/>
          <w:b w:val="1"/>
          <w:bCs w:val="1"/>
          <w:color w:val="auto"/>
        </w:rPr>
        <w:t>CYBIN INC.</w:t>
      </w:r>
    </w:p>
    <w:p>
      <w:pPr>
        <w:spacing w:after="0" w:line="57"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$125,000,000</w:t>
      </w:r>
    </w:p>
    <w:p>
      <w:pPr>
        <w:spacing w:after="0" w:line="61" w:lineRule="exact"/>
        <w:rPr>
          <w:sz w:val="20"/>
          <w:szCs w:val="20"/>
          <w:color w:val="auto"/>
        </w:rPr>
      </w:pPr>
    </w:p>
    <w:p>
      <w:pPr>
        <w:ind w:left="4860"/>
        <w:spacing w:after="0"/>
        <w:rPr>
          <w:sz w:val="20"/>
          <w:szCs w:val="20"/>
          <w:color w:val="auto"/>
        </w:rPr>
      </w:pPr>
      <w:r>
        <w:rPr>
          <w:rFonts w:ascii="Arial" w:cs="Arial" w:eastAsia="Arial" w:hAnsi="Arial"/>
          <w:sz w:val="22"/>
          <w:szCs w:val="22"/>
          <w:b w:val="1"/>
          <w:bCs w:val="1"/>
          <w:color w:val="auto"/>
        </w:rPr>
        <w:t>Common Shares</w:t>
      </w:r>
    </w:p>
    <w:p>
      <w:pPr>
        <w:spacing w:after="0" w:line="44"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Warrants</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Units</w:t>
      </w:r>
    </w:p>
    <w:p>
      <w:pPr>
        <w:jc w:val="center"/>
        <w:ind w:right="-119"/>
        <w:spacing w:after="0" w:line="230" w:lineRule="auto"/>
        <w:rPr>
          <w:sz w:val="20"/>
          <w:szCs w:val="20"/>
          <w:color w:val="auto"/>
        </w:rPr>
      </w:pPr>
      <w:r>
        <w:rPr>
          <w:rFonts w:ascii="Arial" w:cs="Arial" w:eastAsia="Arial" w:hAnsi="Arial"/>
          <w:sz w:val="22"/>
          <w:szCs w:val="22"/>
          <w:b w:val="1"/>
          <w:bCs w:val="1"/>
          <w:color w:val="auto"/>
        </w:rPr>
        <w:t>Debt Securities</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Subscription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107315</wp:posOffset>
            </wp:positionV>
            <wp:extent cx="1474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4" w:lineRule="exact"/>
        <w:rPr>
          <w:sz w:val="20"/>
          <w:szCs w:val="20"/>
          <w:color w:val="auto"/>
        </w:rPr>
      </w:pPr>
    </w:p>
    <w:p>
      <w:pPr>
        <w:ind w:left="120" w:right="120"/>
        <w:spacing w:after="0" w:line="244" w:lineRule="auto"/>
        <w:rPr>
          <w:sz w:val="20"/>
          <w:szCs w:val="20"/>
          <w:color w:val="auto"/>
        </w:rPr>
      </w:pPr>
      <w:r>
        <w:rPr>
          <w:rFonts w:ascii="Arial" w:cs="Arial" w:eastAsia="Arial" w:hAnsi="Arial"/>
          <w:sz w:val="13"/>
          <w:szCs w:val="13"/>
          <w:color w:val="auto"/>
        </w:rPr>
        <w:t>This short form base shelf prospectus (“</w:t>
      </w:r>
      <w:r>
        <w:rPr>
          <w:rFonts w:ascii="Arial" w:cs="Arial" w:eastAsia="Arial" w:hAnsi="Arial"/>
          <w:sz w:val="13"/>
          <w:szCs w:val="13"/>
          <w:b w:val="1"/>
          <w:bCs w:val="1"/>
          <w:color w:val="auto"/>
        </w:rPr>
        <w:t>Prospectus</w:t>
      </w:r>
      <w:r>
        <w:rPr>
          <w:rFonts w:ascii="Arial" w:cs="Arial" w:eastAsia="Arial" w:hAnsi="Arial"/>
          <w:sz w:val="13"/>
          <w:szCs w:val="13"/>
          <w:color w:val="auto"/>
        </w:rPr>
        <w:t>”) relates to the offering for sale from time to time (each, an “</w:t>
      </w:r>
      <w:r>
        <w:rPr>
          <w:rFonts w:ascii="Arial" w:cs="Arial" w:eastAsia="Arial" w:hAnsi="Arial"/>
          <w:sz w:val="13"/>
          <w:szCs w:val="13"/>
          <w:b w:val="1"/>
          <w:bCs w:val="1"/>
          <w:color w:val="auto"/>
        </w:rPr>
        <w:t>Offering</w:t>
      </w:r>
      <w:r>
        <w:rPr>
          <w:rFonts w:ascii="Arial" w:cs="Arial" w:eastAsia="Arial" w:hAnsi="Arial"/>
          <w:sz w:val="13"/>
          <w:szCs w:val="13"/>
          <w:color w:val="auto"/>
        </w:rPr>
        <w:t>”) by Cybin Inc. (the “</w:t>
      </w:r>
      <w:r>
        <w:rPr>
          <w:rFonts w:ascii="Arial" w:cs="Arial" w:eastAsia="Arial" w:hAnsi="Arial"/>
          <w:sz w:val="13"/>
          <w:szCs w:val="13"/>
          <w:b w:val="1"/>
          <w:bCs w:val="1"/>
          <w:color w:val="auto"/>
        </w:rPr>
        <w:t>Corporation</w:t>
      </w:r>
      <w:r>
        <w:rPr>
          <w:rFonts w:ascii="Arial" w:cs="Arial" w:eastAsia="Arial" w:hAnsi="Arial"/>
          <w:sz w:val="13"/>
          <w:szCs w:val="13"/>
          <w:color w:val="auto"/>
        </w:rPr>
        <w:t>” or “</w:t>
      </w:r>
      <w:r>
        <w:rPr>
          <w:rFonts w:ascii="Arial" w:cs="Arial" w:eastAsia="Arial" w:hAnsi="Arial"/>
          <w:sz w:val="13"/>
          <w:szCs w:val="13"/>
          <w:b w:val="1"/>
          <w:bCs w:val="1"/>
          <w:color w:val="auto"/>
        </w:rPr>
        <w:t>Cybin</w:t>
      </w:r>
      <w:r>
        <w:rPr>
          <w:rFonts w:ascii="Arial" w:cs="Arial" w:eastAsia="Arial" w:hAnsi="Arial"/>
          <w:sz w:val="13"/>
          <w:szCs w:val="13"/>
          <w:color w:val="auto"/>
        </w:rPr>
        <w:t xml:space="preserve">”) during the 25-month period that this Prospectus, including any of amendments thereto, remains valid, of up to $125,000,000 in the aggregate of: (i) common shares (“ </w:t>
      </w:r>
      <w:r>
        <w:rPr>
          <w:rFonts w:ascii="Arial" w:cs="Arial" w:eastAsia="Arial" w:hAnsi="Arial"/>
          <w:sz w:val="13"/>
          <w:szCs w:val="13"/>
          <w:b w:val="1"/>
          <w:bCs w:val="1"/>
          <w:color w:val="auto"/>
        </w:rPr>
        <w:t>Common Shares</w:t>
      </w:r>
      <w:r>
        <w:rPr>
          <w:rFonts w:ascii="Arial" w:cs="Arial" w:eastAsia="Arial" w:hAnsi="Arial"/>
          <w:sz w:val="13"/>
          <w:szCs w:val="13"/>
          <w:color w:val="auto"/>
        </w:rPr>
        <w:t>”) of the Corporation; (ii) warrants (“</w:t>
      </w:r>
      <w:r>
        <w:rPr>
          <w:rFonts w:ascii="Arial" w:cs="Arial" w:eastAsia="Arial" w:hAnsi="Arial"/>
          <w:sz w:val="13"/>
          <w:szCs w:val="13"/>
          <w:b w:val="1"/>
          <w:bCs w:val="1"/>
          <w:color w:val="auto"/>
        </w:rPr>
        <w:t>Warrants</w:t>
      </w:r>
      <w:r>
        <w:rPr>
          <w:rFonts w:ascii="Arial" w:cs="Arial" w:eastAsia="Arial" w:hAnsi="Arial"/>
          <w:sz w:val="13"/>
          <w:szCs w:val="13"/>
          <w:color w:val="auto"/>
        </w:rPr>
        <w:t>”) to purchase other Securities (as defined below) of the Corporation; (iii) units (“</w:t>
      </w:r>
      <w:r>
        <w:rPr>
          <w:rFonts w:ascii="Arial" w:cs="Arial" w:eastAsia="Arial" w:hAnsi="Arial"/>
          <w:sz w:val="13"/>
          <w:szCs w:val="13"/>
          <w:b w:val="1"/>
          <w:bCs w:val="1"/>
          <w:color w:val="auto"/>
        </w:rPr>
        <w:t>Units</w:t>
      </w:r>
      <w:r>
        <w:rPr>
          <w:rFonts w:ascii="Arial" w:cs="Arial" w:eastAsia="Arial" w:hAnsi="Arial"/>
          <w:sz w:val="13"/>
          <w:szCs w:val="13"/>
          <w:color w:val="auto"/>
        </w:rPr>
        <w:t>”) comprising of one or more of the other Securities, (iv) senior and subordinated unsecured debt securities (collectively, “</w:t>
      </w:r>
      <w:r>
        <w:rPr>
          <w:rFonts w:ascii="Arial" w:cs="Arial" w:eastAsia="Arial" w:hAnsi="Arial"/>
          <w:sz w:val="13"/>
          <w:szCs w:val="13"/>
          <w:b w:val="1"/>
          <w:bCs w:val="1"/>
          <w:color w:val="auto"/>
        </w:rPr>
        <w:t>Debt Securities</w:t>
      </w:r>
      <w:r>
        <w:rPr>
          <w:rFonts w:ascii="Arial" w:cs="Arial" w:eastAsia="Arial" w:hAnsi="Arial"/>
          <w:sz w:val="13"/>
          <w:szCs w:val="13"/>
          <w:color w:val="auto"/>
        </w:rPr>
        <w:t>”), including debt securities convertible or exchangeable into other securities of the Corporation, and</w:t>
      </w:r>
    </w:p>
    <w:p>
      <w:pPr>
        <w:spacing w:after="0" w:line="2" w:lineRule="exact"/>
        <w:rPr>
          <w:sz w:val="20"/>
          <w:szCs w:val="20"/>
          <w:color w:val="auto"/>
        </w:rPr>
      </w:pPr>
    </w:p>
    <w:p>
      <w:pPr>
        <w:ind w:left="120" w:right="460" w:hanging="4"/>
        <w:spacing w:after="0" w:line="232" w:lineRule="auto"/>
        <w:tabs>
          <w:tab w:leader="none" w:pos="324" w:val="left"/>
        </w:tabs>
        <w:numPr>
          <w:ilvl w:val="0"/>
          <w:numId w:val="17"/>
        </w:numPr>
        <w:rPr>
          <w:rFonts w:ascii="Arial" w:cs="Arial" w:eastAsia="Arial" w:hAnsi="Arial"/>
          <w:sz w:val="14"/>
          <w:szCs w:val="14"/>
          <w:color w:val="auto"/>
        </w:rPr>
      </w:pPr>
      <w:r>
        <w:rPr>
          <w:rFonts w:ascii="Arial" w:cs="Arial" w:eastAsia="Arial" w:hAnsi="Arial"/>
          <w:sz w:val="14"/>
          <w:szCs w:val="14"/>
          <w:color w:val="auto"/>
        </w:rPr>
        <w:t>subscription receipts (“</w:t>
      </w:r>
      <w:r>
        <w:rPr>
          <w:rFonts w:ascii="Arial" w:cs="Arial" w:eastAsia="Arial" w:hAnsi="Arial"/>
          <w:sz w:val="14"/>
          <w:szCs w:val="14"/>
          <w:b w:val="1"/>
          <w:bCs w:val="1"/>
          <w:color w:val="auto"/>
        </w:rPr>
        <w:t>Subscription Receipts</w:t>
      </w:r>
      <w:r>
        <w:rPr>
          <w:rFonts w:ascii="Arial" w:cs="Arial" w:eastAsia="Arial" w:hAnsi="Arial"/>
          <w:sz w:val="14"/>
          <w:szCs w:val="14"/>
          <w:color w:val="auto"/>
        </w:rPr>
        <w:t>” and together with the Common Shares, Warrants, Units and Debt Securities, collectively referred to herein as the “</w:t>
      </w:r>
      <w:r>
        <w:rPr>
          <w:rFonts w:ascii="Arial" w:cs="Arial" w:eastAsia="Arial" w:hAnsi="Arial"/>
          <w:sz w:val="14"/>
          <w:szCs w:val="14"/>
          <w:b w:val="1"/>
          <w:bCs w:val="1"/>
          <w:color w:val="auto"/>
        </w:rPr>
        <w:t>Securities</w:t>
      </w:r>
      <w:r>
        <w:rPr>
          <w:rFonts w:ascii="Arial" w:cs="Arial" w:eastAsia="Arial" w:hAnsi="Arial"/>
          <w:sz w:val="14"/>
          <w:szCs w:val="14"/>
          <w:color w:val="auto"/>
        </w:rPr>
        <w:t>”). The Securities may be offered separately or together, in amounts, at prices and on terms determined based on market conditions at the time of the sale and as set forth in an accompanying prospectus supplement (“</w:t>
      </w:r>
      <w:r>
        <w:rPr>
          <w:rFonts w:ascii="Arial" w:cs="Arial" w:eastAsia="Arial" w:hAnsi="Arial"/>
          <w:sz w:val="14"/>
          <w:szCs w:val="14"/>
          <w:b w:val="1"/>
          <w:bCs w:val="1"/>
          <w:color w:val="auto"/>
        </w:rPr>
        <w:t>Prospectus Supplement</w:t>
      </w:r>
      <w:r>
        <w:rPr>
          <w:rFonts w:ascii="Arial" w:cs="Arial" w:eastAsia="Arial" w:hAnsi="Arial"/>
          <w:sz w:val="14"/>
          <w:szCs w:val="14"/>
          <w:color w:val="auto"/>
        </w:rPr>
        <w:t>”).</w:t>
      </w:r>
    </w:p>
    <w:p>
      <w:pPr>
        <w:spacing w:after="0" w:line="21" w:lineRule="exact"/>
        <w:rPr>
          <w:sz w:val="20"/>
          <w:szCs w:val="20"/>
          <w:color w:val="auto"/>
        </w:rPr>
      </w:pPr>
    </w:p>
    <w:p>
      <w:pPr>
        <w:ind w:left="120" w:right="20"/>
        <w:spacing w:after="0" w:line="233" w:lineRule="auto"/>
        <w:rPr>
          <w:sz w:val="20"/>
          <w:szCs w:val="20"/>
          <w:color w:val="auto"/>
        </w:rPr>
      </w:pPr>
      <w:r>
        <w:rPr>
          <w:rFonts w:ascii="Arial" w:cs="Arial" w:eastAsia="Arial" w:hAnsi="Arial"/>
          <w:sz w:val="14"/>
          <w:szCs w:val="14"/>
          <w:color w:val="auto"/>
        </w:rPr>
        <w:t>All shelf information permitted under applicable laws to be omitted from this Prospectus will be contained in one or more Prospectus Supplements that will be delivered to purchasers together with this Prospectus, except in cases where an exemption from such delivery requirements is available. Each Prospectus Supplement containing the specific terms of any Securities will be incorporated by reference into this Prospectus for the purposes of securities legislation as of the date of the Prospectus Supplement and only for the purposes of the distribution of the Securities to which the Prospectus Supplement pertains.</w:t>
      </w:r>
    </w:p>
    <w:p>
      <w:pPr>
        <w:spacing w:after="0" w:line="23" w:lineRule="exact"/>
        <w:rPr>
          <w:sz w:val="20"/>
          <w:szCs w:val="20"/>
          <w:color w:val="auto"/>
        </w:rPr>
      </w:pPr>
    </w:p>
    <w:p>
      <w:pPr>
        <w:ind w:left="120"/>
        <w:spacing w:after="0" w:line="242" w:lineRule="auto"/>
        <w:rPr>
          <w:sz w:val="20"/>
          <w:szCs w:val="20"/>
          <w:color w:val="auto"/>
        </w:rPr>
      </w:pPr>
      <w:r>
        <w:rPr>
          <w:rFonts w:ascii="Arial" w:cs="Arial" w:eastAsia="Arial" w:hAnsi="Arial"/>
          <w:sz w:val="13"/>
          <w:szCs w:val="13"/>
          <w:color w:val="auto"/>
        </w:rPr>
        <w:t>The specific terms of any Securities offered will be described in a Prospectus Supplement, including: (i) in the case of Common Shares, the number of Common Shares offered, the offering price (in the event the offering is a fixed price distribution), the manner of determining the offering price(s) (in the event the offering is a non-fixed price distribution) and any other specific terms; (ii) in the case of Warrants, the number of Warrants being offered, the offering price (in the event the offering is a fixed price distribution), the manner of determining the offering price(s) (in the event the offering is a non-fixed price distribution), the designation, number and terms of the other Securities purchasable upon exercise of the Warrants, and any procedures that will result in the adjustment of those numbers, the exercise price, the dates and periods of exercise and any other specific terms; (iii) in the case of Units, the number of Units offered, the offering price, the designation, number and terms of the other Securities comprising the Units, and any other specific terms; (iv) in the case of Debt Securities, the specific designation of the Debt Securities, whether such Debt Securities are senior or subordinate, the aggregate principal amount of the Debt Securities being offered, the currency or currency unit in which the Debt Securities may be purchased, authorized denominations, any limit on the aggregate principal amount of the Debt Securities of the series being offered, the issue and delivery date, the maturity date, the offering price (at par, at a discount or at a premium), the interest rate or method of determining the interest rate, the interest payment date(s), any conversion or exchange rights that are attached to the Debt Securities, any redemption provisions, any repayment provisions and any other specific terms; and (v) in the case of Subscription Receipts, the number of Subscription Receipts being offered, the offering price (in the event the offering is a fixed price distribution), the manner of determining the offering price(s) (in the event the offering is a non-fixed price distribution), the terms, conditions and procedures for the conversion of the Subscription Receipts into other Securities, the designation, number and terms of such other Securities, and any other specific terms. A Prospectus Supplement relating to a particular Offering of Securities may include terms pertaining to the Securities being offered thereunder that are not within the terms and parameters described in this Prospectus.</w:t>
      </w:r>
    </w:p>
    <w:p>
      <w:pPr>
        <w:spacing w:after="0" w:line="23" w:lineRule="exact"/>
        <w:rPr>
          <w:sz w:val="20"/>
          <w:szCs w:val="20"/>
          <w:color w:val="auto"/>
        </w:rPr>
      </w:pPr>
    </w:p>
    <w:p>
      <w:pPr>
        <w:ind w:left="120" w:right="200"/>
        <w:spacing w:after="0" w:line="231" w:lineRule="auto"/>
        <w:rPr>
          <w:sz w:val="20"/>
          <w:szCs w:val="20"/>
          <w:color w:val="auto"/>
        </w:rPr>
      </w:pPr>
      <w:r>
        <w:rPr>
          <w:rFonts w:ascii="Arial" w:cs="Arial" w:eastAsia="Arial" w:hAnsi="Arial"/>
          <w:sz w:val="14"/>
          <w:szCs w:val="14"/>
          <w:color w:val="auto"/>
        </w:rPr>
        <w:t xml:space="preserve">The Securities may be sold through underwriters or dealers, directly by us pursuant to applicable statutory exemptions, or through designated agents from time to time. See </w:t>
      </w:r>
      <w:r>
        <w:rPr>
          <w:rFonts w:ascii="Arial" w:cs="Arial" w:eastAsia="Arial" w:hAnsi="Arial"/>
          <w:sz w:val="14"/>
          <w:szCs w:val="14"/>
          <w:i w:val="1"/>
          <w:iCs w:val="1"/>
          <w:color w:val="auto"/>
        </w:rPr>
        <w:t>“Plan of</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Distribution”. </w:t>
      </w:r>
      <w:r>
        <w:rPr>
          <w:rFonts w:ascii="Arial" w:cs="Arial" w:eastAsia="Arial" w:hAnsi="Arial"/>
          <w:sz w:val="14"/>
          <w:szCs w:val="14"/>
          <w:color w:val="auto"/>
        </w:rPr>
        <w:t>The Prospectus Supplement relating to a particular Offering of Securities will identify each underwriter, dealer or agent, as the case may be, engaged by the Corporation in</w:t>
      </w:r>
      <w:r>
        <w:rPr>
          <w:rFonts w:ascii="Arial" w:cs="Arial" w:eastAsia="Arial" w:hAnsi="Arial"/>
          <w:sz w:val="14"/>
          <w:szCs w:val="14"/>
          <w:i w:val="1"/>
          <w:iCs w:val="1"/>
          <w:color w:val="auto"/>
        </w:rPr>
        <w:t xml:space="preserve"> </w:t>
      </w:r>
      <w:r>
        <w:rPr>
          <w:rFonts w:ascii="Arial" w:cs="Arial" w:eastAsia="Arial" w:hAnsi="Arial"/>
          <w:sz w:val="14"/>
          <w:szCs w:val="14"/>
          <w:color w:val="auto"/>
        </w:rPr>
        <w:t>connection with the offering and sale of the Securities, and will set forth the terms of the Offering of such Securities, including, to the extent applicable, any fees, discounts or any other compensation payable to underwriters, dealers or agents in connection with the Offering, the method of distribution of the Securities, the initial issue price (in the event that the offering is a fixed price distribution), the net proceeds to us and any other material terms of the plan of distribution.</w:t>
      </w:r>
    </w:p>
    <w:p>
      <w:pPr>
        <w:spacing w:after="0" w:line="22" w:lineRule="exact"/>
        <w:rPr>
          <w:sz w:val="20"/>
          <w:szCs w:val="20"/>
          <w:color w:val="auto"/>
        </w:rPr>
      </w:pPr>
    </w:p>
    <w:p>
      <w:pPr>
        <w:ind w:left="120" w:right="20"/>
        <w:spacing w:after="0" w:line="251" w:lineRule="auto"/>
        <w:rPr>
          <w:sz w:val="20"/>
          <w:szCs w:val="20"/>
          <w:color w:val="auto"/>
        </w:rPr>
      </w:pPr>
      <w:r>
        <w:rPr>
          <w:rFonts w:ascii="Arial" w:cs="Arial" w:eastAsia="Arial" w:hAnsi="Arial"/>
          <w:sz w:val="13"/>
          <w:szCs w:val="13"/>
          <w:color w:val="auto"/>
        </w:rPr>
        <w:t xml:space="preserve">The Securities may be sold from time to time in one or more transactions at a fixed price or prices or at non-fixed prices. This Prospectus may qualify an “at-the-market distribution”, as defined in National Instrument 44-102 – </w:t>
      </w:r>
      <w:r>
        <w:rPr>
          <w:rFonts w:ascii="Arial" w:cs="Arial" w:eastAsia="Arial" w:hAnsi="Arial"/>
          <w:sz w:val="13"/>
          <w:szCs w:val="13"/>
          <w:i w:val="1"/>
          <w:iCs w:val="1"/>
          <w:color w:val="auto"/>
        </w:rPr>
        <w:t>Shelf Distributions</w:t>
      </w:r>
      <w:r>
        <w:rPr>
          <w:rFonts w:ascii="Arial" w:cs="Arial" w:eastAsia="Arial" w:hAnsi="Arial"/>
          <w:sz w:val="13"/>
          <w:szCs w:val="13"/>
          <w:color w:val="auto"/>
        </w:rPr>
        <w:t xml:space="preserve"> (“</w:t>
      </w:r>
      <w:r>
        <w:rPr>
          <w:rFonts w:ascii="Arial" w:cs="Arial" w:eastAsia="Arial" w:hAnsi="Arial"/>
          <w:sz w:val="13"/>
          <w:szCs w:val="13"/>
          <w:b w:val="1"/>
          <w:bCs w:val="1"/>
          <w:color w:val="auto"/>
        </w:rPr>
        <w:t>NI 44-102</w:t>
      </w:r>
      <w:r>
        <w:rPr>
          <w:rFonts w:ascii="Arial" w:cs="Arial" w:eastAsia="Arial" w:hAnsi="Arial"/>
          <w:sz w:val="13"/>
          <w:szCs w:val="13"/>
          <w:color w:val="auto"/>
        </w:rPr>
        <w:t>”). If offered on a non-fixed price basis, the Securities may be offered at market prices prevailing at the time of sale, at prices determined by reference to the prevailing price of a specified security in a specified market or at prices to be negotiated with purchasers including sales in transactions that are deemed to be “at-the-market distributions”, including sales made directly on the Neo Exchange Inc. (the “</w:t>
      </w:r>
      <w:r>
        <w:rPr>
          <w:rFonts w:ascii="Arial" w:cs="Arial" w:eastAsia="Arial" w:hAnsi="Arial"/>
          <w:sz w:val="13"/>
          <w:szCs w:val="13"/>
          <w:b w:val="1"/>
          <w:bCs w:val="1"/>
          <w:color w:val="auto"/>
        </w:rPr>
        <w:t>NEO</w:t>
      </w:r>
      <w:r>
        <w:rPr>
          <w:rFonts w:ascii="Arial" w:cs="Arial" w:eastAsia="Arial" w:hAnsi="Arial"/>
          <w:sz w:val="13"/>
          <w:szCs w:val="13"/>
          <w:color w:val="auto"/>
        </w:rPr>
        <w:t>”) or other existing trading markets for the Securities, and as set forth in an accompanying Prospectus Supplement, in which case the compensation payable to an underwriter, dealer or agent in connection with any such sale will be decreased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42545</wp:posOffset>
            </wp:positionV>
            <wp:extent cx="7174865" cy="508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ind w:left="120" w:right="200"/>
        <w:spacing w:after="0" w:line="253" w:lineRule="auto"/>
        <w:rPr>
          <w:sz w:val="20"/>
          <w:szCs w:val="20"/>
          <w:color w:val="auto"/>
        </w:rPr>
      </w:pPr>
      <w:r>
        <w:rPr>
          <w:rFonts w:ascii="Arial" w:cs="Arial" w:eastAsia="Arial" w:hAnsi="Arial"/>
          <w:sz w:val="14"/>
          <w:szCs w:val="14"/>
          <w:color w:val="auto"/>
        </w:rPr>
        <w:t xml:space="preserve">amount, if any, by which the aggregate price paid for the Securities by the purchasers is less than the gross proceeds paid by the underwriter, dealer or agent to the Corporation. The price at which the Securities will be offered and sold may vary from purchaser to purchaser and during the period of distribution. See </w:t>
      </w:r>
      <w:r>
        <w:rPr>
          <w:rFonts w:ascii="Arial" w:cs="Arial" w:eastAsia="Arial" w:hAnsi="Arial"/>
          <w:sz w:val="14"/>
          <w:szCs w:val="14"/>
          <w:i w:val="1"/>
          <w:iCs w:val="1"/>
          <w:color w:val="auto"/>
        </w:rPr>
        <w:t>“Plan of Distribution”</w:t>
      </w:r>
      <w:r>
        <w:rPr>
          <w:rFonts w:ascii="Arial" w:cs="Arial" w:eastAsia="Arial" w:hAnsi="Arial"/>
          <w:sz w:val="14"/>
          <w:szCs w:val="14"/>
          <w:color w:val="auto"/>
        </w:rPr>
        <w:t>.</w:t>
      </w:r>
    </w:p>
    <w:p>
      <w:pPr>
        <w:spacing w:after="0" w:line="12" w:lineRule="exact"/>
        <w:rPr>
          <w:sz w:val="20"/>
          <w:szCs w:val="20"/>
          <w:color w:val="auto"/>
        </w:rPr>
      </w:pPr>
    </w:p>
    <w:p>
      <w:pPr>
        <w:ind w:left="120" w:right="140"/>
        <w:spacing w:after="0" w:line="248" w:lineRule="auto"/>
        <w:rPr>
          <w:sz w:val="20"/>
          <w:szCs w:val="20"/>
          <w:color w:val="auto"/>
        </w:rPr>
      </w:pPr>
      <w:r>
        <w:rPr>
          <w:rFonts w:ascii="Arial" w:cs="Arial" w:eastAsia="Arial" w:hAnsi="Arial"/>
          <w:sz w:val="13"/>
          <w:szCs w:val="13"/>
          <w:color w:val="auto"/>
        </w:rPr>
        <w:t>This Prospectus does not qualify the issuance of Debt Securities in respect of which the payment of principal and/or interest may be determined, in whole or in part, by reference to one or more underlying interests including, for example, an equity or debt security, a statistical measure of economic or financial performance including, but not limited to, any currency, consumer price or mortgage index, or the price or value of one or more commodities, indices or other items, or any other item or formula, or any combination or basket of the foregoing items. For greater certainty, this Prospectus may qualify for issuance Debt Securities in respect of which the payment of principal and/or interest may be determined, in whole or in part, by reference to published rates of a central banking authority or one or more financial institutions, such as a prime rate or bankers’ acceptance rate, or to recognized market benchmark interest rates such as the London Inter-Bank Offered Rate (LIBOR), Euro Inter-Bank Offered Rate (EURIBOR) or a United States federal funds rate.</w:t>
      </w:r>
    </w:p>
    <w:p>
      <w:pPr>
        <w:spacing w:after="0" w:line="18" w:lineRule="exact"/>
        <w:rPr>
          <w:sz w:val="20"/>
          <w:szCs w:val="20"/>
          <w:color w:val="auto"/>
        </w:rPr>
      </w:pPr>
    </w:p>
    <w:p>
      <w:pPr>
        <w:ind w:left="120" w:right="140"/>
        <w:spacing w:after="0" w:line="233" w:lineRule="auto"/>
        <w:rPr>
          <w:sz w:val="20"/>
          <w:szCs w:val="20"/>
          <w:color w:val="auto"/>
        </w:rPr>
      </w:pPr>
      <w:r>
        <w:rPr>
          <w:rFonts w:ascii="Arial" w:cs="Arial" w:eastAsia="Arial" w:hAnsi="Arial"/>
          <w:sz w:val="14"/>
          <w:szCs w:val="14"/>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pacing w:after="0" w:line="23" w:lineRule="exact"/>
        <w:rPr>
          <w:sz w:val="20"/>
          <w:szCs w:val="20"/>
          <w:color w:val="auto"/>
        </w:rPr>
      </w:pPr>
    </w:p>
    <w:p>
      <w:pPr>
        <w:jc w:val="both"/>
        <w:ind w:left="120" w:right="40"/>
        <w:spacing w:after="0" w:line="238" w:lineRule="auto"/>
        <w:rPr>
          <w:sz w:val="20"/>
          <w:szCs w:val="20"/>
          <w:color w:val="auto"/>
        </w:rPr>
      </w:pPr>
      <w:r>
        <w:rPr>
          <w:rFonts w:ascii="Arial" w:cs="Arial" w:eastAsia="Arial" w:hAnsi="Arial"/>
          <w:sz w:val="14"/>
          <w:szCs w:val="14"/>
          <w:color w:val="auto"/>
        </w:rPr>
        <w:t xml:space="preserve">In connection with any Offering of the Securities, subject to applicable laws and other than an “at-the-market distribution”, the underwriters or agents may over-allot or effect transactions that stabilize or maintain the market price of the offered Securities at a level above that which might otherwise prevail on the open market. Such transactions, if commenced, may be interrupted or discontinued at any time. See </w:t>
      </w:r>
      <w:r>
        <w:rPr>
          <w:rFonts w:ascii="Arial" w:cs="Arial" w:eastAsia="Arial" w:hAnsi="Arial"/>
          <w:sz w:val="14"/>
          <w:szCs w:val="14"/>
          <w:i w:val="1"/>
          <w:iCs w:val="1"/>
          <w:color w:val="auto"/>
        </w:rPr>
        <w:t>“Plan of Distribution”</w:t>
      </w:r>
      <w:r>
        <w:rPr>
          <w:rFonts w:ascii="Arial" w:cs="Arial" w:eastAsia="Arial" w:hAnsi="Arial"/>
          <w:sz w:val="14"/>
          <w:szCs w:val="14"/>
          <w:color w:val="auto"/>
        </w:rPr>
        <w:t>.</w:t>
      </w:r>
    </w:p>
    <w:p>
      <w:pPr>
        <w:spacing w:after="0" w:line="21" w:lineRule="exact"/>
        <w:rPr>
          <w:sz w:val="20"/>
          <w:szCs w:val="20"/>
          <w:color w:val="auto"/>
        </w:rPr>
      </w:pPr>
    </w:p>
    <w:p>
      <w:pPr>
        <w:ind w:left="120" w:right="120"/>
        <w:spacing w:after="0" w:line="253" w:lineRule="auto"/>
        <w:rPr>
          <w:sz w:val="20"/>
          <w:szCs w:val="20"/>
          <w:color w:val="auto"/>
        </w:rPr>
      </w:pPr>
      <w:r>
        <w:rPr>
          <w:rFonts w:ascii="Arial" w:cs="Arial" w:eastAsia="Arial" w:hAnsi="Arial"/>
          <w:sz w:val="14"/>
          <w:szCs w:val="14"/>
          <w:color w:val="auto"/>
        </w:rPr>
        <w:t>The Common Shares are listed on the NEO under the trading symbol “CYBN”, and in the United States on the OTCQB under the trading symbol “CLXPF”. On July 2, 2021, the last trading day prior to the filing of this Prospectus, the closing prices of the Common Shares listed on the NEO and the OTCQB were $2.60 and US$2.12, respectively.</w:t>
      </w:r>
    </w:p>
    <w:p>
      <w:pPr>
        <w:spacing w:after="0" w:line="8" w:lineRule="exact"/>
        <w:rPr>
          <w:sz w:val="20"/>
          <w:szCs w:val="20"/>
          <w:color w:val="auto"/>
        </w:rPr>
      </w:pPr>
    </w:p>
    <w:p>
      <w:pPr>
        <w:ind w:left="120" w:right="40"/>
        <w:spacing w:after="0" w:line="235" w:lineRule="auto"/>
        <w:rPr>
          <w:sz w:val="20"/>
          <w:szCs w:val="20"/>
          <w:color w:val="auto"/>
        </w:rPr>
      </w:pPr>
      <w:r>
        <w:rPr>
          <w:rFonts w:ascii="Arial" w:cs="Arial" w:eastAsia="Arial" w:hAnsi="Arial"/>
          <w:sz w:val="14"/>
          <w:szCs w:val="14"/>
          <w:b w:val="1"/>
          <w:bCs w:val="1"/>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Arial" w:cs="Arial" w:eastAsia="Arial" w:hAnsi="Arial"/>
          <w:sz w:val="14"/>
          <w:szCs w:val="14"/>
          <w:b w:val="1"/>
          <w:bCs w:val="1"/>
          <w:i w:val="1"/>
          <w:iCs w:val="1"/>
          <w:color w:val="auto"/>
        </w:rPr>
        <w:t>“Risk Factors”</w:t>
      </w:r>
      <w:r>
        <w:rPr>
          <w:rFonts w:ascii="Arial" w:cs="Arial" w:eastAsia="Arial" w:hAnsi="Arial"/>
          <w:sz w:val="14"/>
          <w:szCs w:val="14"/>
          <w:b w:val="1"/>
          <w:bCs w:val="1"/>
          <w:color w:val="auto"/>
        </w:rPr>
        <w:t>.</w:t>
      </w:r>
    </w:p>
    <w:p>
      <w:pPr>
        <w:spacing w:after="0" w:line="17" w:lineRule="exact"/>
        <w:rPr>
          <w:sz w:val="20"/>
          <w:szCs w:val="20"/>
          <w:color w:val="auto"/>
        </w:rPr>
      </w:pPr>
    </w:p>
    <w:p>
      <w:pPr>
        <w:ind w:left="120" w:right="740"/>
        <w:spacing w:after="0" w:line="297" w:lineRule="auto"/>
        <w:rPr>
          <w:sz w:val="20"/>
          <w:szCs w:val="20"/>
          <w:color w:val="auto"/>
        </w:rPr>
      </w:pPr>
      <w:r>
        <w:rPr>
          <w:rFonts w:ascii="Arial" w:cs="Arial" w:eastAsia="Arial" w:hAnsi="Arial"/>
          <w:sz w:val="13"/>
          <w:szCs w:val="13"/>
          <w:b w:val="1"/>
          <w:bCs w:val="1"/>
          <w:color w:val="auto"/>
        </w:rPr>
        <w:t>Prospective investors should be aware that the purchase of Securities may have tax consequences that may not be fully described in this Prospectus or in any Prospectus Supplement, and should carefully review the tax discussion, if any, in the applicable Prospectus Supplement and in any event consult with a tax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79375</wp:posOffset>
            </wp:positionV>
            <wp:extent cx="1474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419" w:right="439" w:bottom="0" w:gutter="0" w:footer="0" w:header="0"/>
        </w:sectPr>
      </w:pPr>
    </w:p>
    <w:p>
      <w:pPr>
        <w:spacing w:after="0" w:line="174" w:lineRule="exact"/>
        <w:rPr>
          <w:sz w:val="20"/>
          <w:szCs w:val="20"/>
          <w:color w:val="auto"/>
        </w:rPr>
      </w:pPr>
    </w:p>
    <w:p>
      <w:pPr>
        <w:ind w:left="120" w:right="40"/>
        <w:spacing w:after="0" w:line="266" w:lineRule="auto"/>
        <w:rPr>
          <w:sz w:val="20"/>
          <w:szCs w:val="20"/>
          <w:color w:val="auto"/>
        </w:rPr>
      </w:pPr>
      <w:r>
        <w:rPr>
          <w:rFonts w:ascii="Arial" w:cs="Arial" w:eastAsia="Arial" w:hAnsi="Arial"/>
          <w:sz w:val="18"/>
          <w:szCs w:val="18"/>
          <w:b w:val="1"/>
          <w:bCs w:val="1"/>
          <w:color w:val="auto"/>
        </w:rPr>
        <w:t xml:space="preserve">An investment in the Securities is subject to a number of risks, including those risks described in this Prospectus and documents incorporated by reference into this Prospectus. See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xml:space="preserve"> in this Prospectus and in the Corporation’s Annual Information Form and Annual MD&amp;A (each as defined herein) incorporated by reference herein.</w:t>
      </w:r>
    </w:p>
    <w:p>
      <w:pPr>
        <w:sectPr>
          <w:pgSz w:w="11900" w:h="16838" w:orient="portrait"/>
          <w:cols w:equalWidth="0" w:num="1">
            <w:col w:w="11140"/>
          </w:cols>
          <w:pgMar w:left="320" w:top="419" w:right="439" w:bottom="0" w:gutter="0" w:footer="0" w:header="0"/>
          <w:type w:val="continuous"/>
        </w:sectPr>
      </w:pPr>
    </w:p>
    <w:bookmarkStart w:id="38" w:name="page39"/>
    <w:bookmarkEnd w:id="38"/>
    <w:p>
      <w:pPr>
        <w:ind w:left="120" w:right="120"/>
        <w:spacing w:after="0" w:line="257" w:lineRule="auto"/>
        <w:rPr>
          <w:sz w:val="20"/>
          <w:szCs w:val="20"/>
          <w:color w:val="auto"/>
        </w:rPr>
      </w:pPr>
      <w:r>
        <w:rPr>
          <w:rFonts w:ascii="Arial" w:cs="Arial" w:eastAsia="Arial" w:hAnsi="Arial"/>
          <w:sz w:val="14"/>
          <w:szCs w:val="14"/>
          <w:b w:val="1"/>
          <w:bCs w:val="1"/>
          <w:color w:val="auto"/>
        </w:rPr>
        <w:t>No person is authorized by the Corporation to provide any information or to make any representation other than as contained in this Prospectus in connection with the issue and sale of the Securities offered hereunder.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No underwriter has been involved in the preparation of this Prospectus or performed any review of the contents hereof.</w:t>
      </w:r>
    </w:p>
    <w:p>
      <w:pPr>
        <w:spacing w:after="0" w:line="46" w:lineRule="exact"/>
        <w:rPr>
          <w:sz w:val="20"/>
          <w:szCs w:val="20"/>
          <w:color w:val="auto"/>
        </w:rPr>
      </w:pPr>
    </w:p>
    <w:p>
      <w:pPr>
        <w:ind w:left="120" w:right="40"/>
        <w:spacing w:after="0" w:line="233" w:lineRule="auto"/>
        <w:rPr>
          <w:sz w:val="20"/>
          <w:szCs w:val="20"/>
          <w:color w:val="auto"/>
        </w:rPr>
      </w:pPr>
      <w:r>
        <w:rPr>
          <w:rFonts w:ascii="Arial" w:cs="Arial" w:eastAsia="Arial" w:hAnsi="Arial"/>
          <w:sz w:val="14"/>
          <w:szCs w:val="14"/>
          <w:color w:val="auto"/>
        </w:rPr>
        <w:t xml:space="preserve">Each of Douglas Drysdale, Michael Palfreyman, Alex Nivorozhkin and Brett Green, officers of the Corporation, resides outside of Canada. They have each appointed Maxims CS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see </w:t>
      </w:r>
      <w:r>
        <w:rPr>
          <w:rFonts w:ascii="Arial" w:cs="Arial" w:eastAsia="Arial" w:hAnsi="Arial"/>
          <w:sz w:val="14"/>
          <w:szCs w:val="14"/>
          <w:i w:val="1"/>
          <w:iCs w:val="1"/>
          <w:color w:val="auto"/>
        </w:rPr>
        <w:t>“Risk Factors – Risks Related to an Offering – Enforcement of Civil Liabilities”</w:t>
      </w:r>
      <w:r>
        <w:rPr>
          <w:rFonts w:ascii="Arial" w:cs="Arial" w:eastAsia="Arial" w:hAnsi="Arial"/>
          <w:sz w:val="14"/>
          <w:szCs w:val="14"/>
          <w:color w:val="auto"/>
        </w:rPr>
        <w:t>.</w:t>
      </w:r>
    </w:p>
    <w:p>
      <w:pPr>
        <w:spacing w:after="0" w:line="19" w:lineRule="exact"/>
        <w:rPr>
          <w:sz w:val="20"/>
          <w:szCs w:val="20"/>
          <w:color w:val="auto"/>
        </w:rPr>
      </w:pPr>
    </w:p>
    <w:p>
      <w:pPr>
        <w:ind w:left="120"/>
        <w:spacing w:after="0" w:line="258" w:lineRule="auto"/>
        <w:rPr>
          <w:sz w:val="20"/>
          <w:szCs w:val="20"/>
          <w:color w:val="auto"/>
        </w:rPr>
      </w:pPr>
      <w:r>
        <w:rPr>
          <w:rFonts w:ascii="Arial" w:cs="Arial" w:eastAsia="Arial" w:hAnsi="Arial"/>
          <w:sz w:val="14"/>
          <w:szCs w:val="14"/>
          <w:color w:val="auto"/>
        </w:rPr>
        <w:t>In this Prospectus, references to the “</w:t>
      </w:r>
      <w:r>
        <w:rPr>
          <w:rFonts w:ascii="Arial" w:cs="Arial" w:eastAsia="Arial" w:hAnsi="Arial"/>
          <w:sz w:val="14"/>
          <w:szCs w:val="14"/>
          <w:b w:val="1"/>
          <w:bCs w:val="1"/>
          <w:color w:val="auto"/>
        </w:rPr>
        <w:t>Corporation</w:t>
      </w:r>
      <w:r>
        <w:rPr>
          <w:rFonts w:ascii="Arial" w:cs="Arial" w:eastAsia="Arial" w:hAnsi="Arial"/>
          <w:sz w:val="14"/>
          <w:szCs w:val="14"/>
          <w:color w:val="auto"/>
        </w:rPr>
        <w:t>”, “</w:t>
      </w:r>
      <w:r>
        <w:rPr>
          <w:rFonts w:ascii="Arial" w:cs="Arial" w:eastAsia="Arial" w:hAnsi="Arial"/>
          <w:sz w:val="14"/>
          <w:szCs w:val="14"/>
          <w:b w:val="1"/>
          <w:bCs w:val="1"/>
          <w:color w:val="auto"/>
        </w:rPr>
        <w:t>Cybin</w:t>
      </w:r>
      <w:r>
        <w:rPr>
          <w:rFonts w:ascii="Arial" w:cs="Arial" w:eastAsia="Arial" w:hAnsi="Arial"/>
          <w:sz w:val="14"/>
          <w:szCs w:val="14"/>
          <w:color w:val="auto"/>
        </w:rPr>
        <w:t>”, “</w:t>
      </w:r>
      <w:r>
        <w:rPr>
          <w:rFonts w:ascii="Arial" w:cs="Arial" w:eastAsia="Arial" w:hAnsi="Arial"/>
          <w:sz w:val="14"/>
          <w:szCs w:val="14"/>
          <w:b w:val="1"/>
          <w:bCs w:val="1"/>
          <w:color w:val="auto"/>
        </w:rPr>
        <w:t>we</w:t>
      </w:r>
      <w:r>
        <w:rPr>
          <w:rFonts w:ascii="Arial" w:cs="Arial" w:eastAsia="Arial" w:hAnsi="Arial"/>
          <w:sz w:val="14"/>
          <w:szCs w:val="14"/>
          <w:color w:val="auto"/>
        </w:rPr>
        <w:t>”, “</w:t>
      </w:r>
      <w:r>
        <w:rPr>
          <w:rFonts w:ascii="Arial" w:cs="Arial" w:eastAsia="Arial" w:hAnsi="Arial"/>
          <w:sz w:val="14"/>
          <w:szCs w:val="14"/>
          <w:b w:val="1"/>
          <w:bCs w:val="1"/>
          <w:color w:val="auto"/>
        </w:rPr>
        <w:t>us</w:t>
      </w:r>
      <w:r>
        <w:rPr>
          <w:rFonts w:ascii="Arial" w:cs="Arial" w:eastAsia="Arial" w:hAnsi="Arial"/>
          <w:sz w:val="14"/>
          <w:szCs w:val="14"/>
          <w:color w:val="auto"/>
        </w:rPr>
        <w:t>” and “</w:t>
      </w:r>
      <w:r>
        <w:rPr>
          <w:rFonts w:ascii="Arial" w:cs="Arial" w:eastAsia="Arial" w:hAnsi="Arial"/>
          <w:sz w:val="14"/>
          <w:szCs w:val="14"/>
          <w:b w:val="1"/>
          <w:bCs w:val="1"/>
          <w:color w:val="auto"/>
        </w:rPr>
        <w:t>our</w:t>
      </w:r>
      <w:r>
        <w:rPr>
          <w:rFonts w:ascii="Arial" w:cs="Arial" w:eastAsia="Arial" w:hAnsi="Arial"/>
          <w:sz w:val="14"/>
          <w:szCs w:val="14"/>
          <w:color w:val="auto"/>
        </w:rPr>
        <w:t>” refer to Cybin Inc. and/or, as applicable, one or more of its subsidiaries. The Corporation’s registered and head office is located at 100 King Street West, Suite 5600, Toronto, Ontario M5X 1C9.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24130</wp:posOffset>
            </wp:positionV>
            <wp:extent cx="6998970" cy="12814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8970" cy="1281430"/>
                    </a:xfrm>
                    <a:prstGeom prst="rect">
                      <a:avLst/>
                    </a:prstGeom>
                    <a:noFill/>
                  </pic:spPr>
                </pic:pic>
              </a:graphicData>
            </a:graphic>
          </wp:anchor>
        </w:drawing>
      </w:r>
    </w:p>
    <w:p>
      <w:pPr>
        <w:spacing w:after="0" w:line="52" w:lineRule="exact"/>
        <w:rPr>
          <w:sz w:val="20"/>
          <w:szCs w:val="20"/>
          <w:color w:val="auto"/>
        </w:rPr>
      </w:pPr>
    </w:p>
    <w:p>
      <w:pPr>
        <w:ind w:left="240" w:right="140"/>
        <w:spacing w:after="0" w:line="253" w:lineRule="auto"/>
        <w:rPr>
          <w:sz w:val="20"/>
          <w:szCs w:val="20"/>
          <w:color w:val="auto"/>
        </w:rPr>
      </w:pPr>
      <w:r>
        <w:rPr>
          <w:rFonts w:ascii="Arial" w:cs="Arial" w:eastAsia="Arial" w:hAnsi="Arial"/>
          <w:sz w:val="13"/>
          <w:szCs w:val="13"/>
          <w:b w:val="1"/>
          <w:bCs w:val="1"/>
          <w:color w:val="auto"/>
        </w:rPr>
        <w:t xml:space="preserve">The Corporation currently has two business segments: (a) Serenity Life Sciences Inc. (“Serenity Life”) and Cybin US Holdings Inc. (“Cybin U.S.”) that focus on the research, development and commercialization of psychedelic-inspired regulated medicines; and (b) Natures Journey Inc. (“Natures Journey”) that focuses on consumer mental wellness, including, but not limited to, non-psychedelic mushroom nutraceutical products. Like most life sciences and pharmaceutical companies, Serenity Life’s and Cybin U.S.’s (psychedelic) business is focused on research and development, see </w:t>
      </w:r>
      <w:r>
        <w:rPr>
          <w:rFonts w:ascii="Arial" w:cs="Arial" w:eastAsia="Arial" w:hAnsi="Arial"/>
          <w:sz w:val="13"/>
          <w:szCs w:val="13"/>
          <w:b w:val="1"/>
          <w:bCs w:val="1"/>
          <w:i w:val="1"/>
          <w:iCs w:val="1"/>
          <w:color w:val="auto"/>
        </w:rPr>
        <w:t>“Use of Proceeds”</w:t>
      </w:r>
      <w:r>
        <w:rPr>
          <w:rFonts w:ascii="Arial" w:cs="Arial" w:eastAsia="Arial" w:hAnsi="Arial"/>
          <w:sz w:val="13"/>
          <w:szCs w:val="13"/>
          <w:b w:val="1"/>
          <w:bCs w:val="1"/>
          <w:color w:val="auto"/>
        </w:rPr>
        <w:t>. Currently the Corporation plans to conduct research and development on synthesized API from pharmaceutical manufacturers in Jamaica. No product will be commercialized prior to applicable legal or regulatory approval.</w:t>
      </w:r>
    </w:p>
    <w:p>
      <w:pPr>
        <w:spacing w:after="0" w:line="9" w:lineRule="exact"/>
        <w:rPr>
          <w:sz w:val="20"/>
          <w:szCs w:val="20"/>
          <w:color w:val="auto"/>
        </w:rPr>
      </w:pPr>
    </w:p>
    <w:p>
      <w:pPr>
        <w:jc w:val="both"/>
        <w:ind w:left="240" w:right="200"/>
        <w:spacing w:after="0"/>
        <w:rPr>
          <w:sz w:val="20"/>
          <w:szCs w:val="20"/>
          <w:color w:val="auto"/>
        </w:rPr>
      </w:pPr>
      <w:r>
        <w:rPr>
          <w:rFonts w:ascii="Arial" w:cs="Arial" w:eastAsia="Arial" w:hAnsi="Arial"/>
          <w:sz w:val="14"/>
          <w:szCs w:val="14"/>
          <w:b w:val="1"/>
          <w:bCs w:val="1"/>
          <w:color w:val="auto"/>
        </w:rPr>
        <w:t xml:space="preserve">The Canadian and United States federal governments regulate drugs through the </w:t>
      </w:r>
      <w:r>
        <w:rPr>
          <w:rFonts w:ascii="Arial" w:cs="Arial" w:eastAsia="Arial" w:hAnsi="Arial"/>
          <w:sz w:val="14"/>
          <w:szCs w:val="14"/>
          <w:b w:val="1"/>
          <w:bCs w:val="1"/>
          <w:i w:val="1"/>
          <w:iCs w:val="1"/>
          <w:color w:val="auto"/>
        </w:rPr>
        <w:t>Controlled Drugs and Substances Act</w:t>
      </w:r>
      <w:r>
        <w:rPr>
          <w:rFonts w:ascii="Arial" w:cs="Arial" w:eastAsia="Arial" w:hAnsi="Arial"/>
          <w:sz w:val="14"/>
          <w:szCs w:val="14"/>
          <w:b w:val="1"/>
          <w:bCs w:val="1"/>
          <w:color w:val="auto"/>
        </w:rPr>
        <w:t xml:space="preserve"> (Canada) (the “CDSA”) and the </w:t>
      </w:r>
      <w:r>
        <w:rPr>
          <w:rFonts w:ascii="Arial" w:cs="Arial" w:eastAsia="Arial" w:hAnsi="Arial"/>
          <w:sz w:val="14"/>
          <w:szCs w:val="14"/>
          <w:b w:val="1"/>
          <w:bCs w:val="1"/>
          <w:i w:val="1"/>
          <w:iCs w:val="1"/>
          <w:color w:val="auto"/>
        </w:rPr>
        <w:t>Controlled Substances</w:t>
      </w:r>
      <w:r>
        <w:rPr>
          <w:rFonts w:ascii="Arial" w:cs="Arial" w:eastAsia="Arial" w:hAnsi="Arial"/>
          <w:sz w:val="14"/>
          <w:szCs w:val="14"/>
          <w:b w:val="1"/>
          <w:bCs w:val="1"/>
          <w:color w:val="auto"/>
        </w:rPr>
        <w:t xml:space="preserve"> </w:t>
      </w:r>
      <w:r>
        <w:rPr>
          <w:rFonts w:ascii="Arial" w:cs="Arial" w:eastAsia="Arial" w:hAnsi="Arial"/>
          <w:sz w:val="14"/>
          <w:szCs w:val="14"/>
          <w:b w:val="1"/>
          <w:bCs w:val="1"/>
          <w:i w:val="1"/>
          <w:iCs w:val="1"/>
          <w:color w:val="auto"/>
        </w:rPr>
        <w:t xml:space="preserve">Act </w:t>
      </w:r>
      <w:r>
        <w:rPr>
          <w:rFonts w:ascii="Arial" w:cs="Arial" w:eastAsia="Arial" w:hAnsi="Arial"/>
          <w:sz w:val="14"/>
          <w:szCs w:val="14"/>
          <w:b w:val="1"/>
          <w:bCs w:val="1"/>
          <w:color w:val="auto"/>
        </w:rPr>
        <w:t>(21 U.S.C. § 811) (the “CSA”), respectively, which place controlled substances in a schedule. Under the CDSA, psilocybin is currently a Schedule III drug. Under the CSA,</w:t>
      </w:r>
      <w:r>
        <w:rPr>
          <w:rFonts w:ascii="Arial" w:cs="Arial" w:eastAsia="Arial" w:hAnsi="Arial"/>
          <w:sz w:val="14"/>
          <w:szCs w:val="14"/>
          <w:b w:val="1"/>
          <w:bCs w:val="1"/>
          <w:i w:val="1"/>
          <w:iCs w:val="1"/>
          <w:color w:val="auto"/>
        </w:rPr>
        <w:t xml:space="preserve"> </w:t>
      </w:r>
      <w:r>
        <w:rPr>
          <w:rFonts w:ascii="Arial" w:cs="Arial" w:eastAsia="Arial" w:hAnsi="Arial"/>
          <w:sz w:val="14"/>
          <w:szCs w:val="14"/>
          <w:b w:val="1"/>
          <w:bCs w:val="1"/>
          <w:color w:val="auto"/>
        </w:rPr>
        <w:t>psilocybin is currently a Schedule I drug.</w:t>
      </w:r>
    </w:p>
    <w:p>
      <w:pPr>
        <w:spacing w:after="0" w:line="17" w:lineRule="exact"/>
        <w:rPr>
          <w:sz w:val="20"/>
          <w:szCs w:val="20"/>
          <w:color w:val="auto"/>
        </w:rPr>
      </w:pPr>
    </w:p>
    <w:p>
      <w:pPr>
        <w:ind w:left="240" w:right="80"/>
        <w:spacing w:after="0" w:line="235" w:lineRule="auto"/>
        <w:rPr>
          <w:sz w:val="20"/>
          <w:szCs w:val="20"/>
          <w:color w:val="auto"/>
        </w:rPr>
      </w:pPr>
      <w:r>
        <w:rPr>
          <w:rFonts w:ascii="Arial" w:cs="Arial" w:eastAsia="Arial" w:hAnsi="Arial"/>
          <w:sz w:val="14"/>
          <w:szCs w:val="14"/>
          <w:b w:val="1"/>
          <w:bCs w:val="1"/>
          <w:color w:val="auto"/>
        </w:rPr>
        <w:t xml:space="preserve">Unlike in Canada and the United States, psilocybin mushrooms are not an illegal drug under Jamaica’s </w:t>
      </w:r>
      <w:r>
        <w:rPr>
          <w:rFonts w:ascii="Arial" w:cs="Arial" w:eastAsia="Arial" w:hAnsi="Arial"/>
          <w:sz w:val="14"/>
          <w:szCs w:val="14"/>
          <w:b w:val="1"/>
          <w:bCs w:val="1"/>
          <w:i w:val="1"/>
          <w:iCs w:val="1"/>
          <w:color w:val="auto"/>
        </w:rPr>
        <w:t>Dangerous Drugs Act, 1948</w:t>
      </w:r>
      <w:r>
        <w:rPr>
          <w:rFonts w:ascii="Arial" w:cs="Arial" w:eastAsia="Arial" w:hAnsi="Arial"/>
          <w:sz w:val="14"/>
          <w:szCs w:val="14"/>
          <w:b w:val="1"/>
          <w:bCs w:val="1"/>
          <w:color w:val="auto"/>
        </w:rPr>
        <w:t>. The Corporation’s activity in relation to the sponsored research of psilocybin mushrooms, botanicals and other related fungi is limited to the jurisdiction of Jamaica. The Corporation’s future business activities in Jamaica involve the import of psychedelic and pharmaceutical based medicines (derived from mushrooms) for the purposes of research and development and clinical trials in Jamaica.</w:t>
      </w:r>
    </w:p>
    <w:p>
      <w:pPr>
        <w:spacing w:after="0" w:line="18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08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3160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8970" cy="4316095"/>
                    </a:xfrm>
                    <a:prstGeom prst="rect">
                      <a:avLst/>
                    </a:prstGeom>
                    <a:noFill/>
                  </pic:spPr>
                </pic:pic>
              </a:graphicData>
            </a:graphic>
          </wp:anchor>
        </w:drawing>
      </w:r>
    </w:p>
    <w:p>
      <w:pPr>
        <w:spacing w:after="0" w:line="335" w:lineRule="exact"/>
        <w:rPr>
          <w:sz w:val="20"/>
          <w:szCs w:val="20"/>
          <w:color w:val="auto"/>
        </w:rPr>
      </w:pPr>
    </w:p>
    <w:p>
      <w:pPr>
        <w:ind w:left="240" w:right="180"/>
        <w:spacing w:after="0" w:line="258" w:lineRule="auto"/>
        <w:rPr>
          <w:sz w:val="20"/>
          <w:szCs w:val="20"/>
          <w:color w:val="auto"/>
        </w:rPr>
      </w:pPr>
      <w:r>
        <w:rPr>
          <w:rFonts w:ascii="Arial" w:cs="Arial" w:eastAsia="Arial" w:hAnsi="Arial"/>
          <w:sz w:val="13"/>
          <w:szCs w:val="13"/>
          <w:b w:val="1"/>
          <w:bCs w:val="1"/>
          <w:color w:val="auto"/>
        </w:rPr>
        <w:t xml:space="preserve">In both Canada and the United States, the applicable federal government is responsible for regulating, among other things, the approval, import, sale and marketing of drugs, including any psychedelic substances, whether natural or novel. Health Canada, and the Food and Drug Administration (“FDA”) in the United States, have not approved psilocybin as a drug for any indication. It is illegal to possess such substances without a prescription. The Corporation does not directly engage in any activities that would trigger the need to comply with any federal laws related to psychedelic substances. See </w:t>
      </w:r>
      <w:r>
        <w:rPr>
          <w:rFonts w:ascii="Arial" w:cs="Arial" w:eastAsia="Arial" w:hAnsi="Arial"/>
          <w:sz w:val="13"/>
          <w:szCs w:val="13"/>
          <w:b w:val="1"/>
          <w:bCs w:val="1"/>
          <w:i w:val="1"/>
          <w:iCs w:val="1"/>
          <w:color w:val="auto"/>
        </w:rPr>
        <w:t>“Regulatory Overview – Research and Development”</w:t>
      </w:r>
      <w:r>
        <w:rPr>
          <w:rFonts w:ascii="Arial" w:cs="Arial" w:eastAsia="Arial" w:hAnsi="Arial"/>
          <w:sz w:val="13"/>
          <w:szCs w:val="13"/>
          <w:b w:val="1"/>
          <w:bCs w:val="1"/>
          <w:color w:val="auto"/>
        </w:rPr>
        <w:t>.</w:t>
      </w:r>
    </w:p>
    <w:p>
      <w:pPr>
        <w:spacing w:after="0" w:line="5" w:lineRule="exact"/>
        <w:rPr>
          <w:sz w:val="20"/>
          <w:szCs w:val="20"/>
          <w:color w:val="auto"/>
        </w:rPr>
      </w:pPr>
    </w:p>
    <w:p>
      <w:pPr>
        <w:ind w:left="240" w:right="180"/>
        <w:spacing w:after="0" w:line="277" w:lineRule="auto"/>
        <w:rPr>
          <w:sz w:val="20"/>
          <w:szCs w:val="20"/>
          <w:color w:val="auto"/>
        </w:rPr>
      </w:pPr>
      <w:r>
        <w:rPr>
          <w:rFonts w:ascii="Arial" w:cs="Arial" w:eastAsia="Arial" w:hAnsi="Arial"/>
          <w:sz w:val="12"/>
          <w:szCs w:val="12"/>
          <w:b w:val="1"/>
          <w:bCs w:val="1"/>
          <w:color w:val="auto"/>
        </w:rPr>
        <w:t>The Corporation does not deal with psychedelic substances except in jurisdictions where such activity is not illegal and then only within laboratory and clinical trial settings conducted within approved regulatory frameworks. The Corporation initially intends to sponsor and work with licensed third parties in Jamaica to conduct any clinical trials and research relating to psychedelics and currently does not handle controlled or restricted substances under the CDSA or CSA. If the Corporation were to conduct this work without reliance on third parties, it would need to obtain the required licenses, approvals and authorizations from Health Canada, the FDA or other applicable regulatory bodies. The Corporation does not have any direct or indirect involvement with illegal selling, production or distribution of any substances in jurisdictions in which it operates.</w:t>
      </w:r>
    </w:p>
    <w:p>
      <w:pPr>
        <w:ind w:left="240" w:right="80"/>
        <w:spacing w:after="0" w:line="230" w:lineRule="auto"/>
        <w:rPr>
          <w:sz w:val="20"/>
          <w:szCs w:val="20"/>
          <w:color w:val="auto"/>
        </w:rPr>
      </w:pPr>
      <w:r>
        <w:rPr>
          <w:rFonts w:ascii="Arial" w:cs="Arial" w:eastAsia="Arial" w:hAnsi="Arial"/>
          <w:sz w:val="14"/>
          <w:szCs w:val="14"/>
          <w:b w:val="1"/>
          <w:bCs w:val="1"/>
          <w:color w:val="auto"/>
        </w:rPr>
        <w:t xml:space="preserve">Natural health products (“NHPs”), prescription drugs, and non-prescription drugs are all classified and regulated under the federal </w:t>
      </w:r>
      <w:r>
        <w:rPr>
          <w:rFonts w:ascii="Arial" w:cs="Arial" w:eastAsia="Arial" w:hAnsi="Arial"/>
          <w:sz w:val="14"/>
          <w:szCs w:val="14"/>
          <w:b w:val="1"/>
          <w:bCs w:val="1"/>
          <w:i w:val="1"/>
          <w:iCs w:val="1"/>
          <w:color w:val="auto"/>
        </w:rPr>
        <w:t>Food and Drugs Act</w:t>
      </w:r>
      <w:r>
        <w:rPr>
          <w:rFonts w:ascii="Arial" w:cs="Arial" w:eastAsia="Arial" w:hAnsi="Arial"/>
          <w:sz w:val="14"/>
          <w:szCs w:val="14"/>
          <w:b w:val="1"/>
          <w:bCs w:val="1"/>
          <w:color w:val="auto"/>
        </w:rPr>
        <w:t xml:space="preserve"> (Canada) (the “Canadian FDA”). Labelling, marketing and selling of any NHPs must comply with the Canadian FDA, including by ensuring that the Corporation’s products are not packaged or marketed in a manner that is misleading or deceptive to a consumer. In the United States, foods, drugs and dietary supplements are subject to extensive regulation. The </w:t>
      </w:r>
      <w:r>
        <w:rPr>
          <w:rFonts w:ascii="Arial" w:cs="Arial" w:eastAsia="Arial" w:hAnsi="Arial"/>
          <w:sz w:val="14"/>
          <w:szCs w:val="14"/>
          <w:b w:val="1"/>
          <w:bCs w:val="1"/>
          <w:i w:val="1"/>
          <w:iCs w:val="1"/>
          <w:color w:val="auto"/>
        </w:rPr>
        <w:t>Federal Food, Drug, and Cosmetic Act</w:t>
      </w:r>
      <w:r>
        <w:rPr>
          <w:rFonts w:ascii="Arial" w:cs="Arial" w:eastAsia="Arial" w:hAnsi="Arial"/>
          <w:sz w:val="14"/>
          <w:szCs w:val="14"/>
          <w:b w:val="1"/>
          <w:bCs w:val="1"/>
          <w:color w:val="auto"/>
        </w:rPr>
        <w:t xml:space="preserve"> and the </w:t>
      </w:r>
      <w:r>
        <w:rPr>
          <w:rFonts w:ascii="Arial" w:cs="Arial" w:eastAsia="Arial" w:hAnsi="Arial"/>
          <w:sz w:val="14"/>
          <w:szCs w:val="14"/>
          <w:b w:val="1"/>
          <w:bCs w:val="1"/>
          <w:i w:val="1"/>
          <w:iCs w:val="1"/>
          <w:color w:val="auto"/>
        </w:rPr>
        <w:t>Dietary Supplement Health and Education Act of 1994</w:t>
      </w:r>
      <w:r>
        <w:rPr>
          <w:rFonts w:ascii="Arial" w:cs="Arial" w:eastAsia="Arial" w:hAnsi="Arial"/>
          <w:sz w:val="14"/>
          <w:szCs w:val="14"/>
          <w:b w:val="1"/>
          <w:bCs w:val="1"/>
          <w:color w:val="auto"/>
        </w:rPr>
        <w:t xml:space="preserve"> generally govern, among other things, the research, development, testing, manufacturing, storage, recordkeeping, approval, labeling, promotion and marketing, distribution, post-approval monitoring and reporting, sampling, and import and export of foods, drugs and dietary supplements. See </w:t>
      </w:r>
      <w:r>
        <w:rPr>
          <w:rFonts w:ascii="Arial" w:cs="Arial" w:eastAsia="Arial" w:hAnsi="Arial"/>
          <w:sz w:val="14"/>
          <w:szCs w:val="14"/>
          <w:b w:val="1"/>
          <w:bCs w:val="1"/>
          <w:i w:val="1"/>
          <w:iCs w:val="1"/>
          <w:color w:val="auto"/>
        </w:rPr>
        <w:t>“Regulatory Overview – United States”</w:t>
      </w:r>
      <w:r>
        <w:rPr>
          <w:rFonts w:ascii="Arial" w:cs="Arial" w:eastAsia="Arial" w:hAnsi="Arial"/>
          <w:sz w:val="14"/>
          <w:szCs w:val="14"/>
          <w:b w:val="1"/>
          <w:bCs w:val="1"/>
          <w:color w:val="auto"/>
        </w:rPr>
        <w:t>.</w:t>
      </w:r>
    </w:p>
    <w:p>
      <w:pPr>
        <w:spacing w:after="0" w:line="19" w:lineRule="exact"/>
        <w:rPr>
          <w:sz w:val="20"/>
          <w:szCs w:val="20"/>
          <w:color w:val="auto"/>
        </w:rPr>
      </w:pPr>
    </w:p>
    <w:p>
      <w:pPr>
        <w:ind w:left="240" w:right="560"/>
        <w:spacing w:after="0" w:line="258" w:lineRule="auto"/>
        <w:rPr>
          <w:sz w:val="20"/>
          <w:szCs w:val="20"/>
          <w:color w:val="auto"/>
        </w:rPr>
      </w:pPr>
      <w:r>
        <w:rPr>
          <w:rFonts w:ascii="Arial" w:cs="Arial" w:eastAsia="Arial" w:hAnsi="Arial"/>
          <w:sz w:val="14"/>
          <w:szCs w:val="14"/>
          <w:b w:val="1"/>
          <w:bCs w:val="1"/>
          <w:color w:val="auto"/>
        </w:rPr>
        <w:t>The Corporation’s operations are conducted in strict compliance with local laws where such activities are permissible and do not require any specific legal or regulatory approvals.</w:t>
      </w:r>
    </w:p>
    <w:p>
      <w:pPr>
        <w:spacing w:after="0" w:line="5" w:lineRule="exact"/>
        <w:rPr>
          <w:sz w:val="20"/>
          <w:szCs w:val="20"/>
          <w:color w:val="auto"/>
        </w:rPr>
      </w:pPr>
    </w:p>
    <w:p>
      <w:pPr>
        <w:ind w:left="240" w:right="260"/>
        <w:spacing w:after="0" w:line="230" w:lineRule="auto"/>
        <w:rPr>
          <w:sz w:val="20"/>
          <w:szCs w:val="20"/>
          <w:color w:val="auto"/>
        </w:rPr>
      </w:pPr>
      <w:r>
        <w:rPr>
          <w:rFonts w:ascii="Arial" w:cs="Arial" w:eastAsia="Arial" w:hAnsi="Arial"/>
          <w:sz w:val="14"/>
          <w:szCs w:val="14"/>
          <w:b w:val="1"/>
          <w:bCs w:val="1"/>
          <w:color w:val="auto"/>
        </w:rPr>
        <w:t xml:space="preserve">Given the early stage of its prescription drug product development, the Corporation can make no assurance that its research and development program will result in regulatory approval or commercially viable products. To achieve profitable operations, the Corporation, alone or with others, must successfully develop, gain regulatory approval for, and market its future products. The Corporation currently has no products that have been approved by Health Canada, the Ministry of Health (Jamaica), the FDA, or any similar regulatory authority. To obtain regulatory approvals for its prescription drug product candidates being developed and to achieve commercial success, clinical trials must demonstrate that the prescription drug product candidate are safe for human use and that they demonstrate efficacy. See </w:t>
      </w:r>
      <w:r>
        <w:rPr>
          <w:rFonts w:ascii="Arial" w:cs="Arial" w:eastAsia="Arial" w:hAnsi="Arial"/>
          <w:sz w:val="14"/>
          <w:szCs w:val="14"/>
          <w:b w:val="1"/>
          <w:bCs w:val="1"/>
          <w:i w:val="1"/>
          <w:iCs w:val="1"/>
          <w:color w:val="auto"/>
        </w:rPr>
        <w:t>“Risk Factors”</w:t>
      </w:r>
      <w:r>
        <w:rPr>
          <w:rFonts w:ascii="Arial" w:cs="Arial" w:eastAsia="Arial" w:hAnsi="Arial"/>
          <w:sz w:val="14"/>
          <w:szCs w:val="14"/>
          <w:b w:val="1"/>
          <w:bCs w:val="1"/>
          <w:color w:val="auto"/>
        </w:rPr>
        <w:t xml:space="preserve"> herein and </w:t>
      </w:r>
      <w:r>
        <w:rPr>
          <w:rFonts w:ascii="Arial" w:cs="Arial" w:eastAsia="Arial" w:hAnsi="Arial"/>
          <w:sz w:val="14"/>
          <w:szCs w:val="14"/>
          <w:b w:val="1"/>
          <w:bCs w:val="1"/>
          <w:i w:val="1"/>
          <w:iCs w:val="1"/>
          <w:color w:val="auto"/>
        </w:rPr>
        <w:t>“Risk</w:t>
      </w:r>
      <w:r>
        <w:rPr>
          <w:rFonts w:ascii="Arial" w:cs="Arial" w:eastAsia="Arial" w:hAnsi="Arial"/>
          <w:sz w:val="14"/>
          <w:szCs w:val="14"/>
          <w:b w:val="1"/>
          <w:bCs w:val="1"/>
          <w:color w:val="auto"/>
        </w:rPr>
        <w:t xml:space="preserve"> </w:t>
      </w:r>
      <w:r>
        <w:rPr>
          <w:rFonts w:ascii="Arial" w:cs="Arial" w:eastAsia="Arial" w:hAnsi="Arial"/>
          <w:sz w:val="14"/>
          <w:szCs w:val="14"/>
          <w:b w:val="1"/>
          <w:bCs w:val="1"/>
          <w:i w:val="1"/>
          <w:iCs w:val="1"/>
          <w:color w:val="auto"/>
        </w:rPr>
        <w:t xml:space="preserve">Factors” </w:t>
      </w:r>
      <w:r>
        <w:rPr>
          <w:rFonts w:ascii="Arial" w:cs="Arial" w:eastAsia="Arial" w:hAnsi="Arial"/>
          <w:sz w:val="14"/>
          <w:szCs w:val="14"/>
          <w:b w:val="1"/>
          <w:bCs w:val="1"/>
          <w:color w:val="auto"/>
        </w:rPr>
        <w:t>in the Annual Information Form.</w:t>
      </w:r>
    </w:p>
    <w:p>
      <w:pPr>
        <w:spacing w:after="0" w:line="19" w:lineRule="exact"/>
        <w:rPr>
          <w:sz w:val="20"/>
          <w:szCs w:val="20"/>
          <w:color w:val="auto"/>
        </w:rPr>
      </w:pPr>
    </w:p>
    <w:p>
      <w:pPr>
        <w:ind w:left="240" w:right="80"/>
        <w:spacing w:after="0" w:line="248" w:lineRule="auto"/>
        <w:rPr>
          <w:sz w:val="20"/>
          <w:szCs w:val="20"/>
          <w:color w:val="auto"/>
        </w:rPr>
      </w:pPr>
      <w:r>
        <w:rPr>
          <w:rFonts w:ascii="Arial" w:cs="Arial" w:eastAsia="Arial" w:hAnsi="Arial"/>
          <w:sz w:val="13"/>
          <w:szCs w:val="13"/>
          <w:b w:val="1"/>
          <w:bCs w:val="1"/>
          <w:color w:val="auto"/>
        </w:rPr>
        <w:t xml:space="preserve">Certain statements throughout this Prospectus regarding psilocybin, psychedelic tryptamine, tryptamine derivatives or other psychedelic compounds, nutraceutical products or functional mushrooms have not been evaluated by Health Canada, the FDA or other similar regulatory authorities, nor has the efficacy of psilocybin, psychedelic tryptamine, tryptamine derivatives or other psychedelic compounds, nutraceutical products or functional mushrooms been confirmed by approved research. There is no assurance that psilocybin, psychedelic tryptamine, tryptamine derivatives or other psychedelic compounds, nutraceutical products or functional mushrooms can be used to diagnose, treat, cure or prevent any disease or condition and robust scientific research and clinical trials are needed. There are multiple risk factors regarding the ability to successfully commercially scale a chemically synthesized process to obtain psilocybin and other analogues, including, but not limited to, regulatory changes or other changes in law, and risks related to drug development. See </w:t>
      </w:r>
      <w:r>
        <w:rPr>
          <w:rFonts w:ascii="Arial" w:cs="Arial" w:eastAsia="Arial" w:hAnsi="Arial"/>
          <w:sz w:val="13"/>
          <w:szCs w:val="13"/>
          <w:b w:val="1"/>
          <w:bCs w:val="1"/>
          <w:i w:val="1"/>
          <w:iCs w:val="1"/>
          <w:color w:val="auto"/>
        </w:rPr>
        <w:t>“Risk Factors”</w:t>
      </w:r>
      <w:r>
        <w:rPr>
          <w:rFonts w:ascii="Arial" w:cs="Arial" w:eastAsia="Arial" w:hAnsi="Arial"/>
          <w:sz w:val="13"/>
          <w:szCs w:val="13"/>
          <w:b w:val="1"/>
          <w:bCs w:val="1"/>
          <w:color w:val="auto"/>
        </w:rPr>
        <w:t xml:space="preserve"> herein and </w:t>
      </w:r>
      <w:r>
        <w:rPr>
          <w:rFonts w:ascii="Arial" w:cs="Arial" w:eastAsia="Arial" w:hAnsi="Arial"/>
          <w:sz w:val="13"/>
          <w:szCs w:val="13"/>
          <w:b w:val="1"/>
          <w:bCs w:val="1"/>
          <w:i w:val="1"/>
          <w:iCs w:val="1"/>
          <w:color w:val="auto"/>
        </w:rPr>
        <w:t>“Risk Factors”</w:t>
      </w:r>
      <w:r>
        <w:rPr>
          <w:rFonts w:ascii="Arial" w:cs="Arial" w:eastAsia="Arial" w:hAnsi="Arial"/>
          <w:sz w:val="13"/>
          <w:szCs w:val="13"/>
          <w:b w:val="1"/>
          <w:bCs w:val="1"/>
          <w:color w:val="auto"/>
        </w:rPr>
        <w:t xml:space="preserve"> in the Annual Information Form.</w:t>
      </w:r>
    </w:p>
    <w:p>
      <w:pPr>
        <w:spacing w:after="0" w:line="12" w:lineRule="exact"/>
        <w:rPr>
          <w:sz w:val="20"/>
          <w:szCs w:val="20"/>
          <w:color w:val="auto"/>
        </w:rPr>
      </w:pPr>
    </w:p>
    <w:p>
      <w:pPr>
        <w:ind w:left="240" w:right="160"/>
        <w:spacing w:after="0" w:line="281" w:lineRule="auto"/>
        <w:rPr>
          <w:sz w:val="20"/>
          <w:szCs w:val="20"/>
          <w:color w:val="auto"/>
        </w:rPr>
      </w:pPr>
      <w:r>
        <w:rPr>
          <w:rFonts w:ascii="Arial" w:cs="Arial" w:eastAsia="Arial" w:hAnsi="Arial"/>
          <w:sz w:val="12"/>
          <w:szCs w:val="12"/>
          <w:b w:val="1"/>
          <w:bCs w:val="1"/>
          <w:color w:val="auto"/>
        </w:rPr>
        <w:t xml:space="preserve">The Corporation oversees and monitors compliance with applicable laws in each jurisdiction in which it operates. In addition to the Corporation’s senior executives and the employees responsible for overseeing compliance, the Corporation has local regulatory/compliance counsel engaged in every jurisdiction in which it operates. See </w:t>
      </w:r>
      <w:r>
        <w:rPr>
          <w:rFonts w:ascii="Arial" w:cs="Arial" w:eastAsia="Arial" w:hAnsi="Arial"/>
          <w:sz w:val="12"/>
          <w:szCs w:val="12"/>
          <w:b w:val="1"/>
          <w:bCs w:val="1"/>
          <w:i w:val="1"/>
          <w:iCs w:val="1"/>
          <w:color w:val="auto"/>
        </w:rPr>
        <w:t>“Compliance</w:t>
      </w:r>
      <w:r>
        <w:rPr>
          <w:rFonts w:ascii="Arial" w:cs="Arial" w:eastAsia="Arial" w:hAnsi="Arial"/>
          <w:sz w:val="12"/>
          <w:szCs w:val="12"/>
          <w:b w:val="1"/>
          <w:bCs w:val="1"/>
          <w:color w:val="auto"/>
        </w:rPr>
        <w:t xml:space="preserve"> </w:t>
      </w:r>
      <w:r>
        <w:rPr>
          <w:rFonts w:ascii="Arial" w:cs="Arial" w:eastAsia="Arial" w:hAnsi="Arial"/>
          <w:sz w:val="12"/>
          <w:szCs w:val="12"/>
          <w:b w:val="1"/>
          <w:bCs w:val="1"/>
          <w:i w:val="1"/>
          <w:iCs w:val="1"/>
          <w:color w:val="auto"/>
        </w:rPr>
        <w:t>Program”</w:t>
      </w:r>
      <w:r>
        <w:rPr>
          <w:rFonts w:ascii="Arial" w:cs="Arial" w:eastAsia="Arial" w:hAnsi="Arial"/>
          <w:sz w:val="12"/>
          <w:szCs w:val="12"/>
          <w:b w:val="1"/>
          <w:bCs w:val="1"/>
          <w:color w:val="auto"/>
        </w:rPr>
        <w:t>. Additionally, the Corporation has received legal opinions or advice in each jurisdiction where it currently operates regarding (a) compliance with applicable</w:t>
      </w:r>
      <w:r>
        <w:rPr>
          <w:rFonts w:ascii="Arial" w:cs="Arial" w:eastAsia="Arial" w:hAnsi="Arial"/>
          <w:sz w:val="12"/>
          <w:szCs w:val="12"/>
          <w:b w:val="1"/>
          <w:bCs w:val="1"/>
          <w:i w:val="1"/>
          <w:iCs w:val="1"/>
          <w:color w:val="auto"/>
        </w:rPr>
        <w:t xml:space="preserve"> </w:t>
      </w:r>
      <w:r>
        <w:rPr>
          <w:rFonts w:ascii="Arial" w:cs="Arial" w:eastAsia="Arial" w:hAnsi="Arial"/>
          <w:sz w:val="12"/>
          <w:szCs w:val="12"/>
          <w:b w:val="1"/>
          <w:bCs w:val="1"/>
          <w:color w:val="auto"/>
        </w:rPr>
        <w:t>regulatory frameworks and (b) potential exposure and implications arising from applicable laws in jurisdictions where the Corporation has operations or intends to operate.</w:t>
      </w:r>
    </w:p>
    <w:p>
      <w:pPr>
        <w:spacing w:after="0" w:line="2" w:lineRule="exact"/>
        <w:rPr>
          <w:sz w:val="20"/>
          <w:szCs w:val="20"/>
          <w:color w:val="auto"/>
        </w:rPr>
      </w:pPr>
    </w:p>
    <w:p>
      <w:pPr>
        <w:ind w:left="240" w:right="200"/>
        <w:spacing w:after="0"/>
        <w:rPr>
          <w:sz w:val="20"/>
          <w:szCs w:val="20"/>
          <w:color w:val="auto"/>
        </w:rPr>
      </w:pPr>
      <w:r>
        <w:rPr>
          <w:rFonts w:ascii="Arial" w:cs="Arial" w:eastAsia="Arial" w:hAnsi="Arial"/>
          <w:sz w:val="14"/>
          <w:szCs w:val="14"/>
          <w:b w:val="1"/>
          <w:bCs w:val="1"/>
          <w:color w:val="auto"/>
        </w:rPr>
        <w:t xml:space="preserve">For these reasons, the Corporation may be (a) subject to heightened scrutiny by regulators, stock exchanges, clearing agencies and other authorities, (b) susceptible to regulatory changes or other changes in law, and (c) subject to risks related to drug development, among other things. There are a number of risks associated with the business of the Corporation. See </w:t>
      </w:r>
      <w:r>
        <w:rPr>
          <w:rFonts w:ascii="Arial" w:cs="Arial" w:eastAsia="Arial" w:hAnsi="Arial"/>
          <w:sz w:val="14"/>
          <w:szCs w:val="14"/>
          <w:b w:val="1"/>
          <w:bCs w:val="1"/>
          <w:i w:val="1"/>
          <w:iCs w:val="1"/>
          <w:color w:val="auto"/>
        </w:rPr>
        <w:t>“Risk Factors”</w:t>
      </w:r>
      <w:r>
        <w:rPr>
          <w:rFonts w:ascii="Arial" w:cs="Arial" w:eastAsia="Arial" w:hAnsi="Arial"/>
          <w:sz w:val="14"/>
          <w:szCs w:val="14"/>
          <w:b w:val="1"/>
          <w:bCs w:val="1"/>
          <w:color w:val="auto"/>
        </w:rPr>
        <w:t xml:space="preserve"> herein and </w:t>
      </w:r>
      <w:r>
        <w:rPr>
          <w:rFonts w:ascii="Arial" w:cs="Arial" w:eastAsia="Arial" w:hAnsi="Arial"/>
          <w:sz w:val="14"/>
          <w:szCs w:val="14"/>
          <w:b w:val="1"/>
          <w:bCs w:val="1"/>
          <w:i w:val="1"/>
          <w:iCs w:val="1"/>
          <w:color w:val="auto"/>
        </w:rPr>
        <w:t>“Risk Factors”</w:t>
      </w:r>
      <w:r>
        <w:rPr>
          <w:rFonts w:ascii="Arial" w:cs="Arial" w:eastAsia="Arial" w:hAnsi="Arial"/>
          <w:sz w:val="14"/>
          <w:szCs w:val="14"/>
          <w:b w:val="1"/>
          <w:bCs w:val="1"/>
          <w:color w:val="auto"/>
        </w:rPr>
        <w:t xml:space="preserve"> in the Annual Information Form.</w:t>
      </w:r>
    </w:p>
    <w:p>
      <w:pPr>
        <w:spacing w:after="0" w:line="17" w:lineRule="exact"/>
        <w:rPr>
          <w:sz w:val="20"/>
          <w:szCs w:val="20"/>
          <w:color w:val="auto"/>
        </w:rPr>
      </w:pPr>
    </w:p>
    <w:p>
      <w:pPr>
        <w:ind w:left="240" w:right="140"/>
        <w:spacing w:after="0" w:line="232" w:lineRule="auto"/>
        <w:rPr>
          <w:sz w:val="20"/>
          <w:szCs w:val="20"/>
          <w:color w:val="auto"/>
        </w:rPr>
      </w:pPr>
      <w:r>
        <w:rPr>
          <w:rFonts w:ascii="Arial" w:cs="Arial" w:eastAsia="Arial" w:hAnsi="Arial"/>
          <w:sz w:val="14"/>
          <w:szCs w:val="14"/>
          <w:b w:val="1"/>
          <w:bCs w:val="1"/>
          <w:color w:val="auto"/>
        </w:rPr>
        <w:t xml:space="preserve">An investment in the Securities is highly speculative and involves a high degree of risk that should be considered by potential purchasers. An investment in the Securities is suitable only for those purchasers who are willing to risk a loss of some or all of their investment and who can afford to lose some or all of their investment. A prospective purchaser should therefore review this Prospectus and the documents incorporated by reference herein in their entirety, including the Annual Information Form, and carefully consider the risk factors described under the section </w:t>
      </w:r>
      <w:r>
        <w:rPr>
          <w:rFonts w:ascii="Arial" w:cs="Arial" w:eastAsia="Arial" w:hAnsi="Arial"/>
          <w:sz w:val="14"/>
          <w:szCs w:val="14"/>
          <w:b w:val="1"/>
          <w:bCs w:val="1"/>
          <w:i w:val="1"/>
          <w:iCs w:val="1"/>
          <w:color w:val="auto"/>
        </w:rPr>
        <w:t>“Risk Factors”</w:t>
      </w:r>
      <w:r>
        <w:rPr>
          <w:rFonts w:ascii="Arial" w:cs="Arial" w:eastAsia="Arial" w:hAnsi="Arial"/>
          <w:sz w:val="14"/>
          <w:szCs w:val="14"/>
          <w:b w:val="1"/>
          <w:bCs w:val="1"/>
          <w:color w:val="auto"/>
        </w:rPr>
        <w:t xml:space="preserve"> in this Prospectus, prior to investing in the Securities. See </w:t>
      </w:r>
      <w:r>
        <w:rPr>
          <w:rFonts w:ascii="Arial" w:cs="Arial" w:eastAsia="Arial" w:hAnsi="Arial"/>
          <w:sz w:val="14"/>
          <w:szCs w:val="14"/>
          <w:b w:val="1"/>
          <w:bCs w:val="1"/>
          <w:i w:val="1"/>
          <w:iCs w:val="1"/>
          <w:color w:val="auto"/>
        </w:rPr>
        <w:t>“Cautionary Note Regarding Forward-Looking</w:t>
      </w:r>
      <w:r>
        <w:rPr>
          <w:rFonts w:ascii="Arial" w:cs="Arial" w:eastAsia="Arial" w:hAnsi="Arial"/>
          <w:sz w:val="14"/>
          <w:szCs w:val="14"/>
          <w:b w:val="1"/>
          <w:bCs w:val="1"/>
          <w:color w:val="auto"/>
        </w:rPr>
        <w:t xml:space="preserve"> </w:t>
      </w:r>
      <w:r>
        <w:rPr>
          <w:rFonts w:ascii="Arial" w:cs="Arial" w:eastAsia="Arial" w:hAnsi="Arial"/>
          <w:sz w:val="14"/>
          <w:szCs w:val="14"/>
          <w:b w:val="1"/>
          <w:bCs w:val="1"/>
          <w:i w:val="1"/>
          <w:iCs w:val="1"/>
          <w:color w:val="auto"/>
        </w:rPr>
        <w:t xml:space="preserve">Information” </w:t>
      </w:r>
      <w:r>
        <w:rPr>
          <w:rFonts w:ascii="Arial" w:cs="Arial" w:eastAsia="Arial" w:hAnsi="Arial"/>
          <w:sz w:val="14"/>
          <w:szCs w:val="14"/>
          <w:b w:val="1"/>
          <w:bCs w:val="1"/>
          <w:color w:val="auto"/>
        </w:rPr>
        <w:t>and</w:t>
      </w:r>
      <w:r>
        <w:rPr>
          <w:rFonts w:ascii="Arial" w:cs="Arial" w:eastAsia="Arial" w:hAnsi="Arial"/>
          <w:sz w:val="14"/>
          <w:szCs w:val="14"/>
          <w:b w:val="1"/>
          <w:bCs w:val="1"/>
          <w:i w:val="1"/>
          <w:iCs w:val="1"/>
          <w:color w:val="auto"/>
        </w:rPr>
        <w:t xml:space="preserve"> “Risk Factors”</w:t>
      </w:r>
      <w:r>
        <w:rPr>
          <w:rFonts w:ascii="Arial" w:cs="Arial" w:eastAsia="Arial" w:hAnsi="Arial"/>
          <w:sz w:val="14"/>
          <w:szCs w:val="14"/>
          <w:b w:val="1"/>
          <w:bCs w:val="1"/>
          <w:color w:val="auto"/>
        </w:rPr>
        <w:t>.</w:t>
      </w:r>
    </w:p>
    <w:p>
      <w:pPr>
        <w:spacing w:after="0" w:line="1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14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64"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6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28"/>
        </w:trPr>
        <w:tc>
          <w:tcPr>
            <w:tcW w:w="17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4"/>
              </w:rPr>
              <w:t>GENERAL MATTERS</w:t>
            </w:r>
          </w:p>
        </w:tc>
        <w:tc>
          <w:tcPr>
            <w:tcW w:w="6580" w:type="dxa"/>
            <w:vAlign w:val="bottom"/>
            <w:gridSpan w:val="6"/>
          </w:tcPr>
          <w:p>
            <w:pPr>
              <w:spacing w:after="0"/>
              <w:rPr>
                <w:sz w:val="19"/>
                <w:szCs w:val="19"/>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3"/>
        </w:trPr>
        <w:tc>
          <w:tcPr>
            <w:tcW w:w="588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7"/>
              </w:rPr>
              <w:t>CAUTIONARY NOTE REGARDING FORWARD-LOOKING INFORMATION</w:t>
            </w:r>
          </w:p>
        </w:tc>
        <w:tc>
          <w:tcPr>
            <w:tcW w:w="2400" w:type="dxa"/>
            <w:vAlign w:val="bottom"/>
          </w:tcPr>
          <w:p>
            <w:pPr>
              <w:spacing w:after="0"/>
              <w:rPr>
                <w:sz w:val="22"/>
                <w:szCs w:val="22"/>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3"/>
        </w:trPr>
        <w:tc>
          <w:tcPr>
            <w:tcW w:w="10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6"/>
              </w:rPr>
              <w:t>EXEMPTION</w:t>
            </w:r>
          </w:p>
        </w:tc>
        <w:tc>
          <w:tcPr>
            <w:tcW w:w="7240" w:type="dxa"/>
            <w:vAlign w:val="bottom"/>
            <w:gridSpan w:val="8"/>
          </w:tcPr>
          <w:p>
            <w:pPr>
              <w:spacing w:after="0"/>
              <w:rPr>
                <w:sz w:val="22"/>
                <w:szCs w:val="22"/>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64"/>
        </w:trPr>
        <w:tc>
          <w:tcPr>
            <w:tcW w:w="8280" w:type="dxa"/>
            <w:vAlign w:val="bottom"/>
            <w:gridSpan w:val="9"/>
          </w:tcPr>
          <w:p>
            <w:pPr>
              <w:spacing w:after="0"/>
              <w:rPr>
                <w:sz w:val="20"/>
                <w:szCs w:val="20"/>
                <w:color w:val="auto"/>
              </w:rPr>
            </w:pPr>
            <w:r>
              <w:rPr>
                <w:rFonts w:ascii="Arial" w:cs="Arial" w:eastAsia="Arial" w:hAnsi="Arial"/>
                <w:sz w:val="18"/>
                <w:szCs w:val="18"/>
                <w:color w:val="0000EE"/>
              </w:rPr>
              <w:t>TRADEMARKS AND SERVICE MARKS</w:t>
            </w:r>
          </w:p>
        </w:tc>
        <w:tc>
          <w:tcPr>
            <w:tcW w:w="2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63"/>
        </w:trPr>
        <w:tc>
          <w:tcPr>
            <w:tcW w:w="216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9"/>
              </w:rPr>
              <w:t>MARKETING MATERIALS</w:t>
            </w:r>
          </w:p>
        </w:tc>
        <w:tc>
          <w:tcPr>
            <w:tcW w:w="960" w:type="dxa"/>
            <w:vAlign w:val="bottom"/>
            <w:tcBorders>
              <w:top w:val="single" w:sz="8" w:color="0000EE"/>
            </w:tcBorders>
            <w:gridSpan w:val="2"/>
          </w:tcPr>
          <w:p>
            <w:pPr>
              <w:spacing w:after="0"/>
              <w:rPr>
                <w:sz w:val="22"/>
                <w:szCs w:val="22"/>
                <w:color w:val="auto"/>
              </w:rPr>
            </w:pPr>
          </w:p>
        </w:tc>
        <w:tc>
          <w:tcPr>
            <w:tcW w:w="5160" w:type="dxa"/>
            <w:vAlign w:val="bottom"/>
            <w:gridSpan w:val="3"/>
          </w:tcPr>
          <w:p>
            <w:pPr>
              <w:spacing w:after="0"/>
              <w:rPr>
                <w:sz w:val="22"/>
                <w:szCs w:val="22"/>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64"/>
        </w:trPr>
        <w:tc>
          <w:tcPr>
            <w:tcW w:w="8280" w:type="dxa"/>
            <w:vAlign w:val="bottom"/>
            <w:gridSpan w:val="9"/>
          </w:tcPr>
          <w:p>
            <w:pPr>
              <w:spacing w:after="0"/>
              <w:rPr>
                <w:sz w:val="20"/>
                <w:szCs w:val="20"/>
                <w:color w:val="auto"/>
              </w:rPr>
            </w:pPr>
            <w:r>
              <w:rPr>
                <w:rFonts w:ascii="Arial" w:cs="Arial" w:eastAsia="Arial" w:hAnsi="Arial"/>
                <w:sz w:val="18"/>
                <w:szCs w:val="18"/>
                <w:color w:val="0000EE"/>
              </w:rPr>
              <w:t>MARKET AND INDUSTRY DATA</w:t>
            </w:r>
          </w:p>
        </w:tc>
        <w:tc>
          <w:tcPr>
            <w:tcW w:w="2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66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64"/>
        </w:trPr>
        <w:tc>
          <w:tcPr>
            <w:tcW w:w="39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4"/>
              </w:rPr>
              <w:t>DOCUMENTS INCORPORATED BY REFERENCE</w:t>
            </w:r>
          </w:p>
        </w:tc>
        <w:tc>
          <w:tcPr>
            <w:tcW w:w="4380" w:type="dxa"/>
            <w:vAlign w:val="bottom"/>
            <w:gridSpan w:val="2"/>
          </w:tcPr>
          <w:p>
            <w:pPr>
              <w:spacing w:after="0"/>
              <w:rPr>
                <w:sz w:val="22"/>
                <w:szCs w:val="22"/>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64"/>
        </w:trPr>
        <w:tc>
          <w:tcPr>
            <w:tcW w:w="16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3"/>
              </w:rPr>
              <w:t>THE CORPORATION</w:t>
            </w:r>
          </w:p>
        </w:tc>
        <w:tc>
          <w:tcPr>
            <w:tcW w:w="6620" w:type="dxa"/>
            <w:vAlign w:val="bottom"/>
            <w:gridSpan w:val="7"/>
          </w:tcPr>
          <w:p>
            <w:pPr>
              <w:spacing w:after="0"/>
              <w:rPr>
                <w:sz w:val="22"/>
                <w:szCs w:val="22"/>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64"/>
        </w:trPr>
        <w:tc>
          <w:tcPr>
            <w:tcW w:w="8280" w:type="dxa"/>
            <w:vAlign w:val="bottom"/>
            <w:gridSpan w:val="9"/>
          </w:tcPr>
          <w:p>
            <w:pPr>
              <w:spacing w:after="0"/>
              <w:rPr>
                <w:sz w:val="20"/>
                <w:szCs w:val="20"/>
                <w:color w:val="auto"/>
              </w:rPr>
            </w:pPr>
            <w:r>
              <w:rPr>
                <w:rFonts w:ascii="Arial" w:cs="Arial" w:eastAsia="Arial" w:hAnsi="Arial"/>
                <w:sz w:val="18"/>
                <w:szCs w:val="18"/>
                <w:color w:val="0000EE"/>
              </w:rPr>
              <w:t>REGULATORY OVERVIEW</w:t>
            </w:r>
          </w:p>
        </w:tc>
        <w:tc>
          <w:tcPr>
            <w:tcW w:w="26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10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bl>
    <w:p>
      <w:pPr>
        <w:sectPr>
          <w:pgSz w:w="11900" w:h="16838" w:orient="portrait"/>
          <w:cols w:equalWidth="0" w:num="1">
            <w:col w:w="11080"/>
          </w:cols>
          <w:pgMar w:left="320" w:top="118" w:right="499" w:bottom="0" w:gutter="0" w:footer="0" w:header="0"/>
        </w:sectPr>
      </w:pPr>
    </w:p>
    <w:bookmarkStart w:id="39" w:name="page40"/>
    <w:bookmarkEnd w:id="39"/>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340" w:type="dxa"/>
            <w:vAlign w:val="bottom"/>
            <w:gridSpan w:val="9"/>
          </w:tcPr>
          <w:p>
            <w:pPr>
              <w:spacing w:after="0"/>
              <w:rPr>
                <w:sz w:val="20"/>
                <w:szCs w:val="20"/>
                <w:color w:val="auto"/>
              </w:rPr>
            </w:pPr>
            <w:r>
              <w:rPr>
                <w:rFonts w:ascii="Arial" w:cs="Arial" w:eastAsia="Arial" w:hAnsi="Arial"/>
                <w:sz w:val="18"/>
                <w:szCs w:val="18"/>
                <w:color w:val="0000EE"/>
              </w:rPr>
              <w:t>COMPLIANCE PROGRAM</w:t>
            </w:r>
          </w:p>
        </w:tc>
        <w:tc>
          <w:tcPr>
            <w:tcW w:w="66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1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263"/>
        </w:trPr>
        <w:tc>
          <w:tcPr>
            <w:tcW w:w="4340" w:type="dxa"/>
            <w:vAlign w:val="bottom"/>
            <w:gridSpan w:val="9"/>
          </w:tcPr>
          <w:p>
            <w:pPr>
              <w:spacing w:after="0"/>
              <w:rPr>
                <w:sz w:val="20"/>
                <w:szCs w:val="20"/>
                <w:color w:val="auto"/>
              </w:rPr>
            </w:pPr>
            <w:r>
              <w:rPr>
                <w:rFonts w:ascii="Arial" w:cs="Arial" w:eastAsia="Arial" w:hAnsi="Arial"/>
                <w:sz w:val="18"/>
                <w:szCs w:val="18"/>
                <w:color w:val="0000EE"/>
              </w:rPr>
              <w:t>CONSOLIDATED CAPITALIZATION</w:t>
            </w:r>
          </w:p>
        </w:tc>
        <w:tc>
          <w:tcPr>
            <w:tcW w:w="66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63"/>
        </w:trPr>
        <w:tc>
          <w:tcPr>
            <w:tcW w:w="160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1"/>
              </w:rPr>
              <w:t>USE OF PROCEEDS</w:t>
            </w:r>
          </w:p>
        </w:tc>
        <w:tc>
          <w:tcPr>
            <w:tcW w:w="1260" w:type="dxa"/>
            <w:vAlign w:val="bottom"/>
            <w:tcBorders>
              <w:top w:val="single" w:sz="8" w:color="0000EE"/>
            </w:tcBorders>
            <w:gridSpan w:val="2"/>
          </w:tcPr>
          <w:p>
            <w:pPr>
              <w:spacing w:after="0"/>
              <w:rPr>
                <w:sz w:val="22"/>
                <w:szCs w:val="22"/>
                <w:color w:val="auto"/>
              </w:rPr>
            </w:pPr>
          </w:p>
        </w:tc>
        <w:tc>
          <w:tcPr>
            <w:tcW w:w="1480" w:type="dxa"/>
            <w:vAlign w:val="bottom"/>
            <w:gridSpan w:val="3"/>
          </w:tcPr>
          <w:p>
            <w:pPr>
              <w:spacing w:after="0"/>
              <w:rPr>
                <w:sz w:val="22"/>
                <w:szCs w:val="22"/>
                <w:color w:val="auto"/>
              </w:rPr>
            </w:pPr>
          </w:p>
        </w:tc>
        <w:tc>
          <w:tcPr>
            <w:tcW w:w="66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63"/>
        </w:trPr>
        <w:tc>
          <w:tcPr>
            <w:tcW w:w="15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9"/>
              </w:rPr>
              <w:t>DIVIDEND POLICY</w:t>
            </w:r>
          </w:p>
        </w:tc>
        <w:tc>
          <w:tcPr>
            <w:tcW w:w="2760" w:type="dxa"/>
            <w:vAlign w:val="bottom"/>
            <w:gridSpan w:val="6"/>
          </w:tcPr>
          <w:p>
            <w:pPr>
              <w:spacing w:after="0"/>
              <w:rPr>
                <w:sz w:val="22"/>
                <w:szCs w:val="22"/>
                <w:color w:val="auto"/>
              </w:rPr>
            </w:pPr>
          </w:p>
        </w:tc>
        <w:tc>
          <w:tcPr>
            <w:tcW w:w="66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63"/>
        </w:trPr>
        <w:tc>
          <w:tcPr>
            <w:tcW w:w="4340" w:type="dxa"/>
            <w:vAlign w:val="bottom"/>
            <w:gridSpan w:val="9"/>
          </w:tcPr>
          <w:p>
            <w:pPr>
              <w:spacing w:after="0"/>
              <w:rPr>
                <w:sz w:val="20"/>
                <w:szCs w:val="20"/>
                <w:color w:val="auto"/>
              </w:rPr>
            </w:pPr>
            <w:r>
              <w:rPr>
                <w:rFonts w:ascii="Arial" w:cs="Arial" w:eastAsia="Arial" w:hAnsi="Arial"/>
                <w:sz w:val="18"/>
                <w:szCs w:val="18"/>
                <w:color w:val="0000EE"/>
                <w:w w:val="95"/>
              </w:rPr>
              <w:t>DESCRIPTION OF SECURITIES BEING DISTRIBUTED</w:t>
            </w:r>
          </w:p>
        </w:tc>
        <w:tc>
          <w:tcPr>
            <w:tcW w:w="66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64"/>
        </w:trPr>
        <w:tc>
          <w:tcPr>
            <w:tcW w:w="432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0000EE"/>
              </w:rPr>
              <w:t>PLAN OF DISTRIBUTION</w:t>
            </w:r>
          </w:p>
        </w:tc>
        <w:tc>
          <w:tcPr>
            <w:tcW w:w="20" w:type="dxa"/>
            <w:vAlign w:val="bottom"/>
          </w:tcPr>
          <w:p>
            <w:pPr>
              <w:spacing w:after="0"/>
              <w:rPr>
                <w:sz w:val="22"/>
                <w:szCs w:val="22"/>
                <w:color w:val="auto"/>
              </w:rPr>
            </w:pPr>
          </w:p>
        </w:tc>
        <w:tc>
          <w:tcPr>
            <w:tcW w:w="66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63"/>
        </w:trPr>
        <w:tc>
          <w:tcPr>
            <w:tcW w:w="210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EE"/>
              </w:rPr>
              <w:t>RISK FACTORS</w:t>
            </w:r>
          </w:p>
        </w:tc>
        <w:tc>
          <w:tcPr>
            <w:tcW w:w="2240" w:type="dxa"/>
            <w:vAlign w:val="bottom"/>
            <w:gridSpan w:val="4"/>
          </w:tcPr>
          <w:p>
            <w:pPr>
              <w:spacing w:after="0"/>
              <w:rPr>
                <w:sz w:val="22"/>
                <w:szCs w:val="22"/>
                <w:color w:val="auto"/>
              </w:rPr>
            </w:pPr>
          </w:p>
        </w:tc>
        <w:tc>
          <w:tcPr>
            <w:tcW w:w="66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1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263"/>
        </w:trPr>
        <w:tc>
          <w:tcPr>
            <w:tcW w:w="434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5"/>
              </w:rPr>
              <w:t>CERTAIN FEDERAL INCOME TAX CONSIDERATIONS</w:t>
            </w:r>
          </w:p>
        </w:tc>
        <w:tc>
          <w:tcPr>
            <w:tcW w:w="6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63"/>
        </w:trPr>
        <w:tc>
          <w:tcPr>
            <w:tcW w:w="4340" w:type="dxa"/>
            <w:vAlign w:val="bottom"/>
            <w:gridSpan w:val="9"/>
          </w:tcPr>
          <w:p>
            <w:pPr>
              <w:spacing w:after="0"/>
              <w:rPr>
                <w:sz w:val="20"/>
                <w:szCs w:val="20"/>
                <w:color w:val="auto"/>
              </w:rPr>
            </w:pPr>
            <w:r>
              <w:rPr>
                <w:rFonts w:ascii="Arial" w:cs="Arial" w:eastAsia="Arial" w:hAnsi="Arial"/>
                <w:sz w:val="18"/>
                <w:szCs w:val="18"/>
                <w:color w:val="0000EE"/>
              </w:rPr>
              <w:t>LEGAL MATTERS</w:t>
            </w:r>
          </w:p>
        </w:tc>
        <w:tc>
          <w:tcPr>
            <w:tcW w:w="6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1440" w:type="dxa"/>
            <w:vAlign w:val="bottom"/>
            <w:gridSpan w:val="2"/>
            <w:shd w:val="clear" w:color="auto" w:fill="0000EE"/>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263"/>
        </w:trPr>
        <w:tc>
          <w:tcPr>
            <w:tcW w:w="40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5"/>
              </w:rPr>
              <w:t>AUDITORS, TRANSFER AGENT AND REGISTRAR</w:t>
            </w:r>
          </w:p>
        </w:tc>
        <w:tc>
          <w:tcPr>
            <w:tcW w:w="320" w:type="dxa"/>
            <w:vAlign w:val="bottom"/>
            <w:gridSpan w:val="2"/>
          </w:tcPr>
          <w:p>
            <w:pPr>
              <w:spacing w:after="0"/>
              <w:rPr>
                <w:sz w:val="22"/>
                <w:szCs w:val="22"/>
                <w:color w:val="auto"/>
              </w:rPr>
            </w:pPr>
          </w:p>
        </w:tc>
        <w:tc>
          <w:tcPr>
            <w:tcW w:w="6620" w:type="dxa"/>
            <w:vAlign w:val="bottom"/>
          </w:tcPr>
          <w:p>
            <w:pPr>
              <w:jc w:val="right"/>
              <w:spacing w:after="0"/>
              <w:rPr>
                <w:sz w:val="20"/>
                <w:szCs w:val="20"/>
                <w:color w:val="auto"/>
              </w:rPr>
            </w:pPr>
            <w:r>
              <w:rPr>
                <w:rFonts w:ascii="Arial" w:cs="Arial" w:eastAsia="Arial" w:hAnsi="Arial"/>
                <w:sz w:val="18"/>
                <w:szCs w:val="18"/>
                <w:color w:val="auto"/>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304165</wp:posOffset>
            </wp:positionV>
            <wp:extent cx="7174865" cy="514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GENERAL MATTERS</w:t>
      </w:r>
    </w:p>
    <w:p>
      <w:pPr>
        <w:spacing w:after="0" w:line="22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 xml:space="preserve">Investors should rely only on the information contained in or incorporated by reference into this Prospectus or any applicable Prospectus Supplement. The Corporation has not authorized anyone to provide investors with different information. </w:t>
      </w:r>
      <w:r>
        <w:rPr>
          <w:rFonts w:ascii="Arial" w:cs="Arial" w:eastAsia="Arial" w:hAnsi="Arial"/>
          <w:sz w:val="16"/>
          <w:szCs w:val="16"/>
          <w:b w:val="1"/>
          <w:bCs w:val="1"/>
          <w:color w:val="auto"/>
        </w:rPr>
        <w:t>Information contained on the Corporation’s website shall</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not be deemed to be a part of this Prospectus or incorporated by reference herein or in any applicable Prospectus Supplement and may not be relied upon by prospective investors for the purpose of determining whether to invest in the Securities qualified for distribution under this Prospectus. </w:t>
      </w:r>
      <w:r>
        <w:rPr>
          <w:rFonts w:ascii="Arial" w:cs="Arial" w:eastAsia="Arial" w:hAnsi="Arial"/>
          <w:sz w:val="16"/>
          <w:szCs w:val="16"/>
          <w:color w:val="auto"/>
        </w:rPr>
        <w:t>The Corporation is not making an offer of these Securities in any jurisdiction where the offer is not permitted. Investors should not assume</w:t>
      </w:r>
      <w:r>
        <w:rPr>
          <w:rFonts w:ascii="Arial" w:cs="Arial" w:eastAsia="Arial" w:hAnsi="Arial"/>
          <w:sz w:val="16"/>
          <w:szCs w:val="16"/>
          <w:b w:val="1"/>
          <w:bCs w:val="1"/>
          <w:color w:val="auto"/>
        </w:rPr>
        <w:t xml:space="preserve"> </w:t>
      </w:r>
      <w:r>
        <w:rPr>
          <w:rFonts w:ascii="Arial" w:cs="Arial" w:eastAsia="Arial" w:hAnsi="Arial"/>
          <w:sz w:val="16"/>
          <w:szCs w:val="16"/>
          <w:color w:val="auto"/>
        </w:rPr>
        <w:t>that the information contained in this Prospectus is accurate as of any date other than the date on the front of this Prospectus or the date of the relevant document incorporated by reference. The Corporation’s business, operating results, financial condition and prospects may have changed since that date.</w:t>
      </w:r>
    </w:p>
    <w:p>
      <w:pPr>
        <w:spacing w:after="0" w:line="166"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information contained on www.cybin.com is not intended to be included in or incorporated by reference herein, and prospective purchasers should not rely on such information when deciding whether or not to invest in any Securities.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this Prospectus, unless stated otherwise or the context requires otherwise, all dollar amounts are expressed in Canadian dollars.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NOTE REGARDING FORWARD-LOOKING INFORMATION</w:t>
      </w:r>
    </w:p>
    <w:p>
      <w:pPr>
        <w:spacing w:after="0" w:line="229" w:lineRule="exact"/>
        <w:rPr>
          <w:sz w:val="20"/>
          <w:szCs w:val="20"/>
          <w:color w:val="auto"/>
        </w:rPr>
      </w:pPr>
    </w:p>
    <w:p>
      <w:pPr>
        <w:ind w:left="120" w:right="300"/>
        <w:spacing w:after="0" w:line="272" w:lineRule="auto"/>
        <w:rPr>
          <w:sz w:val="20"/>
          <w:szCs w:val="20"/>
          <w:color w:val="auto"/>
        </w:rPr>
      </w:pPr>
      <w:r>
        <w:rPr>
          <w:rFonts w:ascii="Arial" w:cs="Arial" w:eastAsia="Arial" w:hAnsi="Arial"/>
          <w:sz w:val="17"/>
          <w:szCs w:val="17"/>
          <w:color w:val="auto"/>
        </w:rPr>
        <w:t>Certain statements contained in this Prospectus, and in certain documents incorporated by reference in this Prospectus, constitute “forward-looking information” and “forward-looking statements”. All statements other than statements of historical fact contained in this Prospectus and in documents incorporated by reference in this Prospectus, including, without limitation, those regarding the Corporation’s future financial position and results of operations, strategy, plans, objectives, goals and targets, future developments in the markets where the Corporation participates or is seeking to participate, and any statements preceded by, followed by or that include the words “believe”, “expect”, “aim”, “intend”, “plan”, “continue”, “will”, “may”, “would”, “anticipate”, “estimate”, “forecast”, “predict”, “project”, “seek”, “should”, “objective”, “assumes” or similar expressions or the negative thereof, are forward-looking statements.</w:t>
      </w:r>
    </w:p>
    <w:p>
      <w:pPr>
        <w:spacing w:after="0" w:line="17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 xml:space="preserve">These statements are not historical facts but instead represent only the Corporation’s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Additional factors that could cause actual results, performance or achievements to differ materially include, but are not limited to, those discussed under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the Annual Information Form and in this Prospectus and in other documents incorporated by reference in this Prospectus.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Prospectus and in documents incorporated by reference in this Prospectus are qualified by these cautionary statements and other cautionary statements or factors contained herein, and there can be no assurance that the actual results or developments will be realized or, even if substantially realized, that they will have the expected consequences to, or effects on, the Corporation. These forward-looking statements are made as of the date of this Prospectus and the Corporation assumes no obligation to update or revise them to reflect subsequent information, events or circumstances or otherwise, except as required by law.</w:t>
      </w:r>
    </w:p>
    <w:p>
      <w:pPr>
        <w:spacing w:after="0" w:line="172"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color w:val="auto"/>
        </w:rPr>
        <w:t>The forward-looking statements in this Prospectus and in documents incorporated by reference in this Prospectus are based on numerous assumptions regarding the Corporation’s present and future business strategies and the environment in which the Corporation will operate in the future, including assumptions regarding business and operating strategies, and the Corporation’s ability to operate on a profitable basis.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14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20" w:right="140"/>
        <w:spacing w:after="0" w:line="288" w:lineRule="auto"/>
        <w:rPr>
          <w:sz w:val="20"/>
          <w:szCs w:val="20"/>
          <w:color w:val="auto"/>
        </w:rPr>
      </w:pPr>
      <w:r>
        <w:rPr>
          <w:rFonts w:ascii="Arial" w:cs="Arial" w:eastAsia="Arial" w:hAnsi="Arial"/>
          <w:sz w:val="16"/>
          <w:szCs w:val="16"/>
          <w:color w:val="auto"/>
        </w:rPr>
        <w:t>Some of the risks which could affect future results and could cause results to differ materially from those expressed in the forward-looking statements contained herein include: novel coronavirus “COVID-19”; limited operating history; achieving publicly announced milestones; speculative nature of investment risk; early stage of the industry and product development; regulatory risks and uncertainties; Jamaican operations; emerging market risk; plans for growth; limited products; limited marketing and sales capabilities; no assurance of commercial success; no profits or significant revenues; reliance on third parties for clinical development activities; risks related to third party relationships; reliance on contract manufacturers; safety and efficacy of products; clinical testing and commercializing products; completion of clinical trials; commercial grade product manufacturing; nature of regulatory approvals; unfavourable publicity or consumer perception; social media; biotechnology and pharmaceutical market competition; reliance on key executives and scientists; employee misconduct; business expansion and growth; negative results of external clinical trials or studies; product liability; enforcing contracts; product recalls; distribution and supply chain interruption; difficulty to forecast; promoting the brand; product viability; success of quality control systems; reliance on key inputs; liability arising from fraudulent or illegal activity; operating risk and insurance coverage;</w:t>
      </w:r>
    </w:p>
    <w:p>
      <w:pPr>
        <w:sectPr>
          <w:pgSz w:w="11900" w:h="16838" w:orient="portrait"/>
          <w:cols w:equalWidth="0" w:num="1">
            <w:col w:w="11120"/>
          </w:cols>
          <w:pgMar w:left="320" w:top="108" w:right="459" w:bottom="0" w:gutter="0" w:footer="0" w:header="0"/>
        </w:sectPr>
      </w:pPr>
    </w:p>
    <w:bookmarkStart w:id="40" w:name="page41"/>
    <w:bookmarkEnd w:id="40"/>
    <w:p>
      <w:pPr>
        <w:spacing w:after="0" w:line="148" w:lineRule="exact"/>
        <w:rPr>
          <w:sz w:val="20"/>
          <w:szCs w:val="20"/>
          <w:color w:val="auto"/>
        </w:rPr>
      </w:pPr>
    </w:p>
    <w:p>
      <w:pPr>
        <w:ind w:left="120" w:right="80"/>
        <w:spacing w:after="0" w:line="288" w:lineRule="auto"/>
        <w:rPr>
          <w:sz w:val="20"/>
          <w:szCs w:val="20"/>
          <w:color w:val="auto"/>
        </w:rPr>
      </w:pPr>
      <w:r>
        <w:rPr>
          <w:rFonts w:ascii="Arial" w:cs="Arial" w:eastAsia="Arial" w:hAnsi="Arial"/>
          <w:sz w:val="16"/>
          <w:szCs w:val="16"/>
          <w:color w:val="auto"/>
        </w:rPr>
        <w:t>costs of operating as public company; management of growth; conflicts of interest; foreign operations; cybersecurity and privacy risk; environmental regulation and risks; Risks Related to Intellectual Property: trademark protection; trade secrets; patent law reform; patent litigation and intellectual property; protection of intellectual property; third-party licences; Financial and Accounting Risks: substantial number of authorized but unissued common shares; dilution; negative cash flow from operating activities; additional capital requirements; lack of significant product revenue; estimates or judgments relating to critical accounting policies; Risks related to the Common Shares: market for the Common Shares; significant sales of Common Shares; volatile market price for the Common Shares; tax issues; no dividends; Risks related to an Offering and the Corporation: an investment in the Securities is speculative; completion of an Offering; receipt of all regulatory and stock exchange approvals in respect of an Offering; forward-looking statements may prove to be inaccurate; potential dilution; potential need for additional financing; negative operating cash flow and going concern; discretion over the use of proceeds; management of growth; the Common Shares are subject to market price volatility; no history of payment of cash dividends; limited operating history as a public company; and risks relating to research and development objectives and milestones.</w:t>
      </w:r>
    </w:p>
    <w:p>
      <w:pPr>
        <w:spacing w:after="0" w:line="168"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Although the forward-looking statements contained in this Prospectus are based upon what management currently believes to be reasonable assumptions, the Corporation cannot assure prospective investors that actual results, performance or achievements will be consistent with these forward-looking statements. In particular, the Corporation has made assumptions regarding, among other things:</w:t>
      </w:r>
    </w:p>
    <w:p>
      <w:pPr>
        <w:spacing w:after="0" w:line="89" w:lineRule="exact"/>
        <w:rPr>
          <w:sz w:val="20"/>
          <w:szCs w:val="20"/>
          <w:color w:val="auto"/>
        </w:rPr>
      </w:pPr>
    </w:p>
    <w:p>
      <w:pPr>
        <w:ind w:left="1100" w:hanging="433"/>
        <w:spacing w:after="0" w:line="277" w:lineRule="auto"/>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substantial fluctuation of losses from quarter to quarter and year to year due to numerous external risk factors, and anticipation that we will continue to incur significant losses in the future;</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uncertainty as to the Corporation’s ability to raise additional funding to support operations;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Corporation’s ability to access additional funding;</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fluctuation of foreign exchange rates;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duration of COVID-19 and the extent of its economic and social impact;</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risks associated with the development of the Corporation’s product candidates which are at early stages of development;</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reliance upon industry publications as the Corporation’s primary sources for third-party industry data and forecasts;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reliance on third parties to plan, conduct and monitor the Corporation’s preclinical studies and clinical trials;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reliance on third party contract manufacturers to deliver quality clinical and preclinical materials;</w:t>
      </w:r>
    </w:p>
    <w:p>
      <w:pPr>
        <w:spacing w:after="0" w:line="130" w:lineRule="exact"/>
        <w:rPr>
          <w:rFonts w:ascii="Arial" w:cs="Arial" w:eastAsia="Arial" w:hAnsi="Arial"/>
          <w:sz w:val="18"/>
          <w:szCs w:val="18"/>
          <w:color w:val="auto"/>
        </w:rPr>
      </w:pPr>
    </w:p>
    <w:p>
      <w:pPr>
        <w:ind w:left="1100" w:right="280" w:hanging="433"/>
        <w:spacing w:after="0" w:line="277" w:lineRule="auto"/>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Corporation’s product candidates may fail to demonstrate safety and efficacy to the satisfaction of regulatory authorities or may not otherwise produce positive results;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08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100" w:hanging="433"/>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related to filing investigational new drug applications to commence clinical trials and to continue clinical trials if approved;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risks of delays and inability to complete clinical trials due to difficulties enrolling patients;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competition from other biotechnology and pharmaceutical companies;</w:t>
      </w:r>
    </w:p>
    <w:p>
      <w:pPr>
        <w:spacing w:after="0" w:line="130" w:lineRule="exact"/>
        <w:rPr>
          <w:rFonts w:ascii="Arial" w:cs="Arial" w:eastAsia="Arial" w:hAnsi="Arial"/>
          <w:sz w:val="18"/>
          <w:szCs w:val="18"/>
          <w:color w:val="auto"/>
        </w:rPr>
      </w:pPr>
    </w:p>
    <w:p>
      <w:pPr>
        <w:ind w:left="1100" w:right="280" w:hanging="433"/>
        <w:spacing w:after="0" w:line="277" w:lineRule="auto"/>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Corporation’s reliance on the capabilities and experience of the Corporation’s key executives and scientists and the resulting loss of any of these individuals;</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Corporation’s ability to fully realize the benefits of acquisitions;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Corporation’s ability to adequately protect the Corporation’s intellectual property and trade secrets;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risk of patent-related or other litigation; and</w:t>
      </w:r>
    </w:p>
    <w:p>
      <w:pPr>
        <w:spacing w:after="0" w:line="130" w:lineRule="exact"/>
        <w:rPr>
          <w:rFonts w:ascii="Arial" w:cs="Arial" w:eastAsia="Arial" w:hAnsi="Arial"/>
          <w:sz w:val="18"/>
          <w:szCs w:val="18"/>
          <w:color w:val="auto"/>
        </w:rPr>
      </w:pPr>
    </w:p>
    <w:p>
      <w:pPr>
        <w:ind w:left="1100" w:right="360" w:hanging="433"/>
        <w:spacing w:after="0" w:line="277" w:lineRule="auto"/>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risk of unforeseen changes to the laws or regulations in the United States, Jamaica and Canada and other jurisdictions in which the Corporation operates.</w:t>
      </w:r>
    </w:p>
    <w:p>
      <w:pPr>
        <w:spacing w:after="0" w:line="170"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Drug development involves long lead times, is very expensive and involves many variables of uncertainty. Anticipated timelines regarding drug development are based on reasonable assumptions informed by current knowledge and information available to the Corporation. Every patient treated on future studies can change those assumptions either positively (to indicate a faster timeline to new drug applications and other approvals) or negatively (to indicate a slower timeline to new drug applications and other approvals). This Prospectus and the documents incorporated by reference herein contain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78"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 xml:space="preserve">In addition to the factors set out above and those identified under the heading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the Annual Information Form and in this Prospectus, other factors not currently viewed as material could cause actual results to differ materially from those described in the forward-looking statements. Although the Corporation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72" w:lineRule="exact"/>
        <w:rPr>
          <w:sz w:val="20"/>
          <w:szCs w:val="20"/>
          <w:color w:val="auto"/>
        </w:rPr>
      </w:pPr>
    </w:p>
    <w:p>
      <w:pPr>
        <w:ind w:left="120"/>
        <w:spacing w:after="0" w:line="256" w:lineRule="auto"/>
        <w:rPr>
          <w:sz w:val="20"/>
          <w:szCs w:val="20"/>
          <w:color w:val="auto"/>
        </w:rPr>
      </w:pPr>
      <w:r>
        <w:rPr>
          <w:rFonts w:ascii="Arial" w:cs="Arial" w:eastAsia="Arial" w:hAnsi="Arial"/>
          <w:sz w:val="18"/>
          <w:szCs w:val="18"/>
          <w:b w:val="1"/>
          <w:bCs w:val="1"/>
          <w:color w:val="auto"/>
        </w:rPr>
        <w:t>Many of these factors are beyond the Corporation</w:t>
      </w:r>
      <w:r>
        <w:rPr>
          <w:rFonts w:ascii="Arial" w:cs="Arial" w:eastAsia="Arial" w:hAnsi="Arial"/>
          <w:sz w:val="18"/>
          <w:szCs w:val="18"/>
          <w:color w:val="auto"/>
        </w:rPr>
        <w:t>’</w:t>
      </w:r>
      <w:r>
        <w:rPr>
          <w:rFonts w:ascii="Arial" w:cs="Arial" w:eastAsia="Arial" w:hAnsi="Arial"/>
          <w:sz w:val="18"/>
          <w:szCs w:val="18"/>
          <w:b w:val="1"/>
          <w:bCs w:val="1"/>
          <w:color w:val="auto"/>
        </w:rPr>
        <w:t>s ability to control or predict. These factors are not intended to represent a complete list of the general or specific factors that may affect the Corporation. The Corporation may note additional factors elsewhere in this Prospectus and in any documents incorporated by reference into this Prospectus. All forward-looking statements speak only as of the date made. All subsequent written and oral forward-looking statements attributable to the Corporation, or persons acting on the Corporation</w:t>
      </w:r>
      <w:r>
        <w:rPr>
          <w:rFonts w:ascii="Arial" w:cs="Arial" w:eastAsia="Arial" w:hAnsi="Arial"/>
          <w:sz w:val="18"/>
          <w:szCs w:val="18"/>
          <w:color w:val="auto"/>
        </w:rPr>
        <w:t>’</w:t>
      </w:r>
      <w:r>
        <w:rPr>
          <w:rFonts w:ascii="Arial" w:cs="Arial" w:eastAsia="Arial" w:hAnsi="Arial"/>
          <w:sz w:val="18"/>
          <w:szCs w:val="18"/>
          <w:b w:val="1"/>
          <w:bCs w:val="1"/>
          <w:color w:val="auto"/>
        </w:rPr>
        <w:t>s behalf, are expressly qualified in their entirety by the cautionary statements. Except as required by law, the Corporation undertakes no obligation to update any forward-looking statement</w:t>
      </w:r>
      <w:r>
        <w:rPr>
          <w:rFonts w:ascii="Arial" w:cs="Arial" w:eastAsia="Arial" w:hAnsi="Arial"/>
          <w:sz w:val="18"/>
          <w:szCs w:val="18"/>
          <w:color w:val="auto"/>
        </w:rPr>
        <w:t>.</w:t>
      </w:r>
    </w:p>
    <w:p>
      <w:pPr>
        <w:spacing w:after="0" w:line="187" w:lineRule="exact"/>
        <w:rPr>
          <w:sz w:val="20"/>
          <w:szCs w:val="20"/>
          <w:color w:val="auto"/>
        </w:rPr>
      </w:pPr>
    </w:p>
    <w:p>
      <w:pPr>
        <w:ind w:left="120" w:right="320"/>
        <w:spacing w:after="0" w:line="347" w:lineRule="auto"/>
        <w:rPr>
          <w:sz w:val="20"/>
          <w:szCs w:val="20"/>
          <w:color w:val="auto"/>
        </w:rPr>
      </w:pPr>
      <w:r>
        <w:rPr>
          <w:rFonts w:ascii="Arial" w:cs="Arial" w:eastAsia="Arial" w:hAnsi="Arial"/>
          <w:sz w:val="16"/>
          <w:szCs w:val="16"/>
          <w:b w:val="1"/>
          <w:bCs w:val="1"/>
          <w:color w:val="auto"/>
        </w:rPr>
        <w:t xml:space="preserve">The forward-looking statements contained in this Prospectus and the documents incorporated by reference herein are expressly qualified in their entirety by the foregoing cautionary statement. </w:t>
      </w:r>
      <w:r>
        <w:rPr>
          <w:rFonts w:ascii="Arial" w:cs="Arial" w:eastAsia="Arial" w:hAnsi="Arial"/>
          <w:sz w:val="16"/>
          <w:szCs w:val="16"/>
          <w:color w:val="auto"/>
        </w:rPr>
        <w:t>Investors should read this entire Prospectus, including the Annual Information Form, the</w:t>
      </w:r>
    </w:p>
    <w:p>
      <w:pPr>
        <w:sectPr>
          <w:pgSz w:w="11900" w:h="16986" w:orient="portrait"/>
          <w:cols w:equalWidth="0" w:num="1">
            <w:col w:w="11120"/>
          </w:cols>
          <w:pgMar w:left="320" w:top="125" w:right="459" w:bottom="0" w:gutter="0" w:footer="0" w:header="0"/>
        </w:sectPr>
      </w:pPr>
    </w:p>
    <w:bookmarkStart w:id="41" w:name="page42"/>
    <w:bookmarkEnd w:id="41"/>
    <w:p>
      <w:pPr>
        <w:ind w:left="120" w:right="240"/>
        <w:spacing w:after="0" w:line="277" w:lineRule="auto"/>
        <w:rPr>
          <w:sz w:val="20"/>
          <w:szCs w:val="20"/>
          <w:color w:val="auto"/>
        </w:rPr>
      </w:pPr>
      <w:r>
        <w:rPr>
          <w:rFonts w:ascii="Arial" w:cs="Arial" w:eastAsia="Arial" w:hAnsi="Arial"/>
          <w:sz w:val="18"/>
          <w:szCs w:val="18"/>
          <w:color w:val="auto"/>
        </w:rPr>
        <w:t>documents incorporated by reference herein, and each applicable Prospectus Supplement, and consult their own professional advisers to ascertain and assess the income tax and legal risks and other aspects associated with holding Securities.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14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EXEMPTION</w:t>
      </w:r>
    </w:p>
    <w:p>
      <w:pPr>
        <w:spacing w:after="0" w:line="229"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Pursuant to a decision of the Autorité des marchés financiers dated June 10, 2021, the Corporation was granted a permanent exemption from the requirement to translate into French this Prospectus as well as the documents incorporated by reference therein and any Prospectus Supplement to be filed in relation to an “at-the-market distribution”. This exemption is granted on the condition that this Prospectus and any Prospectus Supplement (other than in relation to an “at-the-market distribution”) be translated into French if the Corporation offers Securities to Québec purchasers in connection with an Offering of Securities other than in relation to an “at-the-market distribution”.</w:t>
      </w: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TRADEMARKS AND SERVICE MARKS</w:t>
      </w:r>
    </w:p>
    <w:p>
      <w:pPr>
        <w:spacing w:after="0" w:line="22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 xml:space="preserve">This prospectus includes trademarks, trade names and service marks which are protected under applicable intellectual property laws for use in connection with the operation of our business, and which are the property of the Corporation. All other trade names, trademarks or service marks appearing in this prospectus that are not identified as marks owned by us are the property of their respective owners. Solely for convenience, trademarks, service marks and trade names referred to in this prospectus may be listed without the </w:t>
      </w:r>
      <w:r>
        <w:rPr>
          <w:rFonts w:ascii="Arial" w:cs="Arial" w:eastAsia="Arial" w:hAnsi="Arial"/>
          <w:sz w:val="14"/>
          <w:szCs w:val="14"/>
          <w:color w:val="auto"/>
        </w:rPr>
        <w:t>®</w:t>
      </w:r>
      <w:r>
        <w:rPr>
          <w:rFonts w:ascii="Arial" w:cs="Arial" w:eastAsia="Arial" w:hAnsi="Arial"/>
          <w:sz w:val="17"/>
          <w:szCs w:val="17"/>
          <w:color w:val="auto"/>
        </w:rPr>
        <w:t>, (</w:t>
      </w:r>
      <w:r>
        <w:rPr>
          <w:rFonts w:ascii="Arial" w:cs="Arial" w:eastAsia="Arial" w:hAnsi="Arial"/>
          <w:sz w:val="14"/>
          <w:szCs w:val="14"/>
          <w:color w:val="auto"/>
        </w:rPr>
        <w:t>TM</w:t>
      </w:r>
      <w:r>
        <w:rPr>
          <w:rFonts w:ascii="Arial" w:cs="Arial" w:eastAsia="Arial" w:hAnsi="Arial"/>
          <w:sz w:val="17"/>
          <w:szCs w:val="17"/>
          <w:color w:val="auto"/>
        </w:rPr>
        <w:t>) and (sm) symbols, however, we will assert, to the fullest extent under applicable law, our applicable rights in these trademarks, service marks and trade names.</w:t>
      </w: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MARKETING MATERIALS</w:t>
      </w:r>
    </w:p>
    <w:p>
      <w:pPr>
        <w:spacing w:after="0" w:line="22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 xml:space="preserve">Any template version of marketing materials (as such terms are defined in National Instrument 41-101 – </w:t>
      </w:r>
      <w:r>
        <w:rPr>
          <w:rFonts w:ascii="Arial" w:cs="Arial" w:eastAsia="Arial" w:hAnsi="Arial"/>
          <w:sz w:val="17"/>
          <w:szCs w:val="17"/>
          <w:i w:val="1"/>
          <w:iCs w:val="1"/>
          <w:color w:val="auto"/>
        </w:rPr>
        <w:t>General Prospectus Requirements</w:t>
      </w:r>
      <w:r>
        <w:rPr>
          <w:rFonts w:ascii="Arial" w:cs="Arial" w:eastAsia="Arial" w:hAnsi="Arial"/>
          <w:sz w:val="17"/>
          <w:szCs w:val="17"/>
          <w:color w:val="auto"/>
        </w:rPr>
        <w:t>) that are utilized in connection with the distribution of Securities will be filed under the Corporation’s profile on www.sedar.com (SEDAR). In the event that such marketing materials are filed after the date of the applicable Prospectus Supplement for the offering and before termination of the distribution of such Securities, such filed versions of the marketing materials will be deemed to be incorporated by reference into the applicable Prospectus Supplement for the purposes of the distribution of the Securities to which the Prospectus Supplement pertains.</w:t>
      </w: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Market and industry data contained and incorporated by reference in this Prospectus or any applicable Prospectus Supplement concerning economic and industry trends is based upon good faith estimates of our management or derived from information provided by industry sources. The Corporation believes that such market and industry data is accurate and that the sources from which it has been obtained are reliable. However, we cannot guarantee the accuracy of such information and we have not independently verified the assumptions upon which projections of future trends are based. While the Corporation is not aware of any misstatements regarding the industry data presented herein, the Corporation’s estimates involve risks and uncertainties and are subject to change based on various factors, including those discussed under “</w:t>
      </w:r>
      <w:r>
        <w:rPr>
          <w:rFonts w:ascii="Arial" w:cs="Arial" w:eastAsia="Arial" w:hAnsi="Arial"/>
          <w:sz w:val="18"/>
          <w:szCs w:val="18"/>
          <w:i w:val="1"/>
          <w:iCs w:val="1"/>
          <w:color w:val="auto"/>
        </w:rPr>
        <w:t>Cautionary Note Regarding Forward-Looking Information”</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“Risk Factors” </w:t>
      </w:r>
      <w:r>
        <w:rPr>
          <w:rFonts w:ascii="Arial" w:cs="Arial" w:eastAsia="Arial" w:hAnsi="Arial"/>
          <w:sz w:val="18"/>
          <w:szCs w:val="18"/>
          <w:color w:val="auto"/>
        </w:rPr>
        <w:t>in this Prospectus.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08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5" w:lineRule="exact"/>
        <w:rPr>
          <w:sz w:val="20"/>
          <w:szCs w:val="20"/>
          <w:color w:val="auto"/>
        </w:rPr>
      </w:pPr>
    </w:p>
    <w:p>
      <w:pPr>
        <w:ind w:left="120" w:right="80"/>
        <w:spacing w:after="0" w:line="314" w:lineRule="auto"/>
        <w:rPr>
          <w:sz w:val="20"/>
          <w:szCs w:val="20"/>
          <w:color w:val="auto"/>
        </w:rPr>
      </w:pPr>
      <w:r>
        <w:rPr>
          <w:rFonts w:ascii="Arial" w:cs="Arial" w:eastAsia="Arial" w:hAnsi="Arial"/>
          <w:sz w:val="16"/>
          <w:szCs w:val="16"/>
          <w:b w:val="1"/>
          <w:bCs w:val="1"/>
          <w:color w:val="auto"/>
        </w:rPr>
        <w:t xml:space="preserve">Information has been incorporated by reference in this Prospectus from documents filed with securities commissions or similar authorities in Canada. </w:t>
      </w:r>
      <w:r>
        <w:rPr>
          <w:rFonts w:ascii="Arial" w:cs="Arial" w:eastAsia="Arial" w:hAnsi="Arial"/>
          <w:sz w:val="16"/>
          <w:szCs w:val="16"/>
          <w:color w:val="auto"/>
        </w:rPr>
        <w:t>Copies of the documents incorporated herein by reference may be obtained on request without charge from the Secretary of the Corporation at</w:t>
      </w:r>
      <w:r>
        <w:rPr>
          <w:rFonts w:ascii="Arial" w:cs="Arial" w:eastAsia="Arial" w:hAnsi="Arial"/>
          <w:sz w:val="16"/>
          <w:szCs w:val="16"/>
          <w:b w:val="1"/>
          <w:bCs w:val="1"/>
          <w:color w:val="auto"/>
        </w:rPr>
        <w:t xml:space="preserve"> </w:t>
      </w:r>
      <w:r>
        <w:rPr>
          <w:rFonts w:ascii="Arial" w:cs="Arial" w:eastAsia="Arial" w:hAnsi="Arial"/>
          <w:sz w:val="16"/>
          <w:szCs w:val="16"/>
          <w:color w:val="auto"/>
        </w:rPr>
        <w:t>100 King Street West, Suite 5600, Toronto, Ontario M5X 1C9, telephone (908) 764-8385, and are also available electronically on SEDAR.</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documents of the Corporation filed with the securities commissions or similar authorities in Canada are incorporated by reference in this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Prospectus:</w:t>
      </w:r>
    </w:p>
    <w:p>
      <w:pPr>
        <w:spacing w:after="0" w:line="112" w:lineRule="exact"/>
        <w:rPr>
          <w:sz w:val="20"/>
          <w:szCs w:val="20"/>
          <w:color w:val="auto"/>
        </w:rPr>
      </w:pPr>
    </w:p>
    <w:p>
      <w:pPr>
        <w:ind w:left="1100" w:hanging="544"/>
        <w:spacing w:after="0"/>
        <w:tabs>
          <w:tab w:leader="none" w:pos="1100" w:val="left"/>
        </w:tabs>
        <w:numPr>
          <w:ilvl w:val="0"/>
          <w:numId w:val="20"/>
        </w:numPr>
        <w:rPr>
          <w:rFonts w:ascii="Arial" w:cs="Arial" w:eastAsia="Arial" w:hAnsi="Arial"/>
          <w:sz w:val="16"/>
          <w:szCs w:val="16"/>
          <w:u w:val="single" w:color="auto"/>
          <w:color w:val="0000EE"/>
        </w:rPr>
      </w:pPr>
      <w:hyperlink r:id="rId151">
        <w:r>
          <w:rPr>
            <w:rFonts w:ascii="Arial" w:cs="Arial" w:eastAsia="Arial" w:hAnsi="Arial"/>
            <w:sz w:val="16"/>
            <w:szCs w:val="16"/>
            <w:u w:val="single" w:color="auto"/>
            <w:color w:val="0000EE"/>
          </w:rPr>
          <w:t>annual information form of the Corporation dated June 24, 2021 (the “</w:t>
        </w:r>
        <w:r>
          <w:rPr>
            <w:rFonts w:ascii="Arial" w:cs="Arial" w:eastAsia="Arial" w:hAnsi="Arial"/>
            <w:sz w:val="16"/>
            <w:szCs w:val="16"/>
            <w:b w:val="1"/>
            <w:bCs w:val="1"/>
            <w:u w:val="single" w:color="auto"/>
            <w:color w:val="0000EE"/>
          </w:rPr>
          <w:t>Annual Information Form</w:t>
        </w:r>
        <w:r>
          <w:rPr>
            <w:rFonts w:ascii="Arial" w:cs="Arial" w:eastAsia="Arial" w:hAnsi="Arial"/>
            <w:sz w:val="16"/>
            <w:szCs w:val="16"/>
            <w:u w:val="single" w:color="auto"/>
            <w:color w:val="0000EE"/>
          </w:rPr>
          <w:t>”) for the year ended March 31, 2021;</w:t>
        </w:r>
      </w:hyperlink>
    </w:p>
    <w:p>
      <w:pPr>
        <w:spacing w:after="0" w:line="157" w:lineRule="exact"/>
        <w:rPr>
          <w:rFonts w:ascii="Arial" w:cs="Arial" w:eastAsia="Arial" w:hAnsi="Arial"/>
          <w:sz w:val="16"/>
          <w:szCs w:val="16"/>
          <w:u w:val="single" w:color="auto"/>
          <w:color w:val="0000EE"/>
        </w:rPr>
      </w:pPr>
    </w:p>
    <w:p>
      <w:pPr>
        <w:ind w:left="1100" w:right="200" w:hanging="544"/>
        <w:spacing w:after="0" w:line="277" w:lineRule="auto"/>
        <w:tabs>
          <w:tab w:leader="none" w:pos="1100" w:val="left"/>
        </w:tabs>
        <w:numPr>
          <w:ilvl w:val="0"/>
          <w:numId w:val="20"/>
        </w:numPr>
        <w:rPr>
          <w:rFonts w:ascii="Arial" w:cs="Arial" w:eastAsia="Arial" w:hAnsi="Arial"/>
          <w:sz w:val="18"/>
          <w:szCs w:val="18"/>
          <w:u w:val="single" w:color="auto"/>
          <w:color w:val="0000EE"/>
        </w:rPr>
      </w:pPr>
      <w:hyperlink r:id="rId152">
        <w:r>
          <w:rPr>
            <w:rFonts w:ascii="Arial" w:cs="Arial" w:eastAsia="Arial" w:hAnsi="Arial"/>
            <w:sz w:val="18"/>
            <w:szCs w:val="18"/>
            <w:u w:val="single" w:color="auto"/>
            <w:color w:val="0000EE"/>
          </w:rPr>
          <w:t>the audited consolidated financial statements of the Corporation and the notes thereto as at and for the fiscal year ended March 31, 2021,</w:t>
        </w:r>
      </w:hyperlink>
      <w:r>
        <w:rPr>
          <w:rFonts w:ascii="Arial" w:cs="Arial" w:eastAsia="Arial" w:hAnsi="Arial"/>
          <w:sz w:val="18"/>
          <w:szCs w:val="18"/>
          <w:u w:val="single" w:color="auto"/>
          <w:color w:val="0000EE"/>
        </w:rPr>
        <w:t xml:space="preserve"> </w:t>
      </w:r>
      <w:hyperlink r:id="rId152">
        <w:r>
          <w:rPr>
            <w:rFonts w:ascii="Arial" w:cs="Arial" w:eastAsia="Arial" w:hAnsi="Arial"/>
            <w:sz w:val="18"/>
            <w:szCs w:val="18"/>
            <w:u w:val="single" w:color="auto"/>
            <w:color w:val="0000EE"/>
          </w:rPr>
          <w:t>together with the auditor’s report thereon (the “</w:t>
        </w:r>
        <w:r>
          <w:rPr>
            <w:rFonts w:ascii="Arial" w:cs="Arial" w:eastAsia="Arial" w:hAnsi="Arial"/>
            <w:sz w:val="18"/>
            <w:szCs w:val="18"/>
            <w:b w:val="1"/>
            <w:bCs w:val="1"/>
            <w:u w:val="single" w:color="auto"/>
            <w:color w:val="0000EE"/>
          </w:rPr>
          <w:t>Annual Financial Statements</w:t>
        </w:r>
        <w:r>
          <w:rPr>
            <w:rFonts w:ascii="Arial" w:cs="Arial" w:eastAsia="Arial" w:hAnsi="Arial"/>
            <w:sz w:val="18"/>
            <w:szCs w:val="18"/>
            <w:u w:val="single" w:color="auto"/>
            <w:color w:val="0000EE"/>
          </w:rPr>
          <w:t>”);</w:t>
        </w:r>
      </w:hyperlink>
    </w:p>
    <w:p>
      <w:pPr>
        <w:spacing w:after="0" w:line="71" w:lineRule="exact"/>
        <w:rPr>
          <w:rFonts w:ascii="Arial" w:cs="Arial" w:eastAsia="Arial" w:hAnsi="Arial"/>
          <w:sz w:val="18"/>
          <w:szCs w:val="18"/>
          <w:u w:val="single" w:color="auto"/>
          <w:color w:val="0000EE"/>
        </w:rPr>
      </w:pPr>
    </w:p>
    <w:p>
      <w:pPr>
        <w:ind w:left="1100" w:hanging="544"/>
        <w:spacing w:after="0"/>
        <w:tabs>
          <w:tab w:leader="none" w:pos="1100" w:val="left"/>
        </w:tabs>
        <w:numPr>
          <w:ilvl w:val="0"/>
          <w:numId w:val="20"/>
        </w:numPr>
        <w:rPr>
          <w:rFonts w:ascii="Arial" w:cs="Arial" w:eastAsia="Arial" w:hAnsi="Arial"/>
          <w:sz w:val="18"/>
          <w:szCs w:val="18"/>
          <w:u w:val="single" w:color="auto"/>
          <w:color w:val="0000EE"/>
        </w:rPr>
      </w:pPr>
      <w:hyperlink r:id="rId153">
        <w:r>
          <w:rPr>
            <w:rFonts w:ascii="Arial" w:cs="Arial" w:eastAsia="Arial" w:hAnsi="Arial"/>
            <w:sz w:val="18"/>
            <w:szCs w:val="18"/>
            <w:u w:val="single" w:color="auto"/>
            <w:color w:val="0000EE"/>
          </w:rPr>
          <w:t>management’s discussion and analysis of the Corporation for the year ended March 31, 2021 (the “</w:t>
        </w:r>
        <w:r>
          <w:rPr>
            <w:rFonts w:ascii="Arial" w:cs="Arial" w:eastAsia="Arial" w:hAnsi="Arial"/>
            <w:sz w:val="18"/>
            <w:szCs w:val="18"/>
            <w:b w:val="1"/>
            <w:bCs w:val="1"/>
            <w:u w:val="single" w:color="auto"/>
            <w:color w:val="0000EE"/>
          </w:rPr>
          <w:t>Annual MD&amp;A</w:t>
        </w:r>
        <w:r>
          <w:rPr>
            <w:rFonts w:ascii="Arial" w:cs="Arial" w:eastAsia="Arial" w:hAnsi="Arial"/>
            <w:sz w:val="18"/>
            <w:szCs w:val="18"/>
            <w:u w:val="single" w:color="auto"/>
            <w:color w:val="0000EE"/>
          </w:rPr>
          <w:t>”);</w:t>
        </w:r>
      </w:hyperlink>
    </w:p>
    <w:p>
      <w:pPr>
        <w:spacing w:after="0" w:line="134" w:lineRule="exact"/>
        <w:rPr>
          <w:rFonts w:ascii="Arial" w:cs="Arial" w:eastAsia="Arial" w:hAnsi="Arial"/>
          <w:sz w:val="18"/>
          <w:szCs w:val="18"/>
          <w:u w:val="single" w:color="auto"/>
          <w:color w:val="0000EE"/>
        </w:rPr>
      </w:pPr>
    </w:p>
    <w:p>
      <w:pPr>
        <w:ind w:left="1100" w:right="120" w:hanging="544"/>
        <w:spacing w:after="0" w:line="277" w:lineRule="auto"/>
        <w:tabs>
          <w:tab w:leader="none" w:pos="1100" w:val="left"/>
        </w:tabs>
        <w:numPr>
          <w:ilvl w:val="0"/>
          <w:numId w:val="20"/>
        </w:numPr>
        <w:rPr>
          <w:rFonts w:ascii="Arial" w:cs="Arial" w:eastAsia="Arial" w:hAnsi="Arial"/>
          <w:sz w:val="18"/>
          <w:szCs w:val="18"/>
          <w:u w:val="single" w:color="auto"/>
          <w:color w:val="0000EE"/>
        </w:rPr>
      </w:pPr>
      <w:hyperlink r:id="rId154">
        <w:r>
          <w:rPr>
            <w:rFonts w:ascii="Arial" w:cs="Arial" w:eastAsia="Arial" w:hAnsi="Arial"/>
            <w:sz w:val="18"/>
            <w:szCs w:val="18"/>
            <w:u w:val="single" w:color="auto"/>
            <w:color w:val="0000EE"/>
          </w:rPr>
          <w:t>management information circular of the Corporation dated April 22, 2021 relating to a special meeting of shareholders of the Corporation</w:t>
        </w:r>
      </w:hyperlink>
      <w:r>
        <w:rPr>
          <w:rFonts w:ascii="Arial" w:cs="Arial" w:eastAsia="Arial" w:hAnsi="Arial"/>
          <w:sz w:val="18"/>
          <w:szCs w:val="18"/>
          <w:u w:val="single" w:color="auto"/>
          <w:color w:val="0000EE"/>
        </w:rPr>
        <w:t xml:space="preserve"> </w:t>
      </w:r>
      <w:hyperlink r:id="rId154">
        <w:r>
          <w:rPr>
            <w:rFonts w:ascii="Arial" w:cs="Arial" w:eastAsia="Arial" w:hAnsi="Arial"/>
            <w:sz w:val="18"/>
            <w:szCs w:val="18"/>
            <w:u w:val="single" w:color="auto"/>
            <w:color w:val="0000EE"/>
          </w:rPr>
          <w:t>held on May 21, 2021;</w:t>
        </w:r>
      </w:hyperlink>
    </w:p>
    <w:p>
      <w:pPr>
        <w:spacing w:after="0" w:line="75" w:lineRule="exact"/>
        <w:rPr>
          <w:rFonts w:ascii="Arial" w:cs="Arial" w:eastAsia="Arial" w:hAnsi="Arial"/>
          <w:sz w:val="18"/>
          <w:szCs w:val="18"/>
          <w:u w:val="single" w:color="auto"/>
          <w:color w:val="0000EE"/>
        </w:rPr>
      </w:pPr>
    </w:p>
    <w:p>
      <w:pPr>
        <w:ind w:left="1100" w:right="200" w:hanging="544"/>
        <w:spacing w:after="0" w:line="277" w:lineRule="auto"/>
        <w:tabs>
          <w:tab w:leader="none" w:pos="1100" w:val="left"/>
        </w:tabs>
        <w:numPr>
          <w:ilvl w:val="0"/>
          <w:numId w:val="20"/>
        </w:numPr>
        <w:rPr>
          <w:rFonts w:ascii="Arial" w:cs="Arial" w:eastAsia="Arial" w:hAnsi="Arial"/>
          <w:sz w:val="18"/>
          <w:szCs w:val="18"/>
          <w:u w:val="single" w:color="auto"/>
          <w:color w:val="0000EE"/>
        </w:rPr>
      </w:pPr>
      <w:hyperlink r:id="rId155">
        <w:r>
          <w:rPr>
            <w:rFonts w:ascii="Arial" w:cs="Arial" w:eastAsia="Arial" w:hAnsi="Arial"/>
            <w:sz w:val="18"/>
            <w:szCs w:val="18"/>
            <w:u w:val="single" w:color="auto"/>
            <w:color w:val="0000EE"/>
          </w:rPr>
          <w:t>management information circular of Clarmin Exploration Inc. (now the Corporation) date July 15, 2020 relating to an annual and special</w:t>
        </w:r>
      </w:hyperlink>
      <w:r>
        <w:rPr>
          <w:rFonts w:ascii="Arial" w:cs="Arial" w:eastAsia="Arial" w:hAnsi="Arial"/>
          <w:sz w:val="18"/>
          <w:szCs w:val="18"/>
          <w:u w:val="single" w:color="auto"/>
          <w:color w:val="0000EE"/>
        </w:rPr>
        <w:t xml:space="preserve"> </w:t>
      </w:r>
      <w:hyperlink r:id="rId155">
        <w:r>
          <w:rPr>
            <w:rFonts w:ascii="Arial" w:cs="Arial" w:eastAsia="Arial" w:hAnsi="Arial"/>
            <w:sz w:val="18"/>
            <w:szCs w:val="18"/>
            <w:u w:val="single" w:color="auto"/>
            <w:color w:val="0000EE"/>
          </w:rPr>
          <w:t>meeting of shareholders held August 13, 2020; and</w:t>
        </w:r>
      </w:hyperlink>
    </w:p>
    <w:p>
      <w:pPr>
        <w:spacing w:after="0" w:line="71" w:lineRule="exact"/>
        <w:rPr>
          <w:rFonts w:ascii="Arial" w:cs="Arial" w:eastAsia="Arial" w:hAnsi="Arial"/>
          <w:sz w:val="18"/>
          <w:szCs w:val="18"/>
          <w:u w:val="single" w:color="auto"/>
          <w:color w:val="0000EE"/>
        </w:rPr>
      </w:pPr>
    </w:p>
    <w:p>
      <w:pPr>
        <w:ind w:left="1100" w:right="340" w:hanging="544"/>
        <w:spacing w:after="0" w:line="282" w:lineRule="auto"/>
        <w:tabs>
          <w:tab w:leader="none" w:pos="1100" w:val="left"/>
        </w:tabs>
        <w:numPr>
          <w:ilvl w:val="0"/>
          <w:numId w:val="20"/>
        </w:numPr>
        <w:rPr>
          <w:rFonts w:ascii="Arial" w:cs="Arial" w:eastAsia="Arial" w:hAnsi="Arial"/>
          <w:sz w:val="18"/>
          <w:szCs w:val="18"/>
          <w:b w:val="1"/>
          <w:bCs w:val="1"/>
          <w:u w:val="single" w:color="auto"/>
          <w:color w:val="0000EE"/>
        </w:rPr>
      </w:pPr>
      <w:hyperlink r:id="rId156">
        <w:r>
          <w:rPr>
            <w:rFonts w:ascii="Arial" w:cs="Arial" w:eastAsia="Arial" w:hAnsi="Arial"/>
            <w:sz w:val="18"/>
            <w:szCs w:val="18"/>
            <w:u w:val="single" w:color="auto"/>
            <w:color w:val="0000EE"/>
          </w:rPr>
          <w:t>business acquisition report dated January 22, 2021 in respect of the Corporation’s acquisition of Adelia Therapeutics Inc. (the “</w:t>
        </w:r>
        <w:r>
          <w:rPr>
            <w:rFonts w:ascii="Arial" w:cs="Arial" w:eastAsia="Arial" w:hAnsi="Arial"/>
            <w:sz w:val="18"/>
            <w:szCs w:val="18"/>
            <w:b w:val="1"/>
            <w:bCs w:val="1"/>
            <w:u w:val="single" w:color="auto"/>
            <w:color w:val="0000EE"/>
          </w:rPr>
          <w:t>Adelia</w:t>
        </w:r>
      </w:hyperlink>
      <w:r>
        <w:rPr>
          <w:rFonts w:ascii="Arial" w:cs="Arial" w:eastAsia="Arial" w:hAnsi="Arial"/>
          <w:sz w:val="18"/>
          <w:szCs w:val="18"/>
          <w:u w:val="single" w:color="auto"/>
          <w:color w:val="0000EE"/>
        </w:rPr>
        <w:t xml:space="preserve"> </w:t>
      </w:r>
      <w:hyperlink r:id="rId156">
        <w:r>
          <w:rPr>
            <w:rFonts w:ascii="Arial" w:cs="Arial" w:eastAsia="Arial" w:hAnsi="Arial"/>
            <w:sz w:val="18"/>
            <w:szCs w:val="18"/>
            <w:b w:val="1"/>
            <w:bCs w:val="1"/>
            <w:u w:val="single" w:color="auto"/>
            <w:color w:val="0000EE"/>
          </w:rPr>
          <w:t>Transaction</w:t>
        </w:r>
        <w:r>
          <w:rPr>
            <w:rFonts w:ascii="Arial" w:cs="Arial" w:eastAsia="Arial" w:hAnsi="Arial"/>
            <w:sz w:val="18"/>
            <w:szCs w:val="18"/>
            <w:u w:val="single" w:color="auto"/>
            <w:color w:val="0000EE"/>
          </w:rPr>
          <w:t>”), see</w:t>
        </w:r>
        <w:r>
          <w:rPr>
            <w:rFonts w:ascii="Arial" w:cs="Arial" w:eastAsia="Arial" w:hAnsi="Arial"/>
            <w:sz w:val="18"/>
            <w:szCs w:val="18"/>
            <w:b w:val="1"/>
            <w:bCs w:val="1"/>
            <w:u w:val="single" w:color="auto"/>
            <w:color w:val="0000EE"/>
          </w:rPr>
          <w:t xml:space="preserve"> </w:t>
        </w:r>
        <w:r>
          <w:rPr>
            <w:rFonts w:ascii="Arial" w:cs="Arial" w:eastAsia="Arial" w:hAnsi="Arial"/>
            <w:sz w:val="18"/>
            <w:szCs w:val="18"/>
            <w:i w:val="1"/>
            <w:iCs w:val="1"/>
            <w:u w:val="single" w:color="auto"/>
            <w:color w:val="0000EE"/>
          </w:rPr>
          <w:t>“Select Recent Developments”</w:t>
        </w:r>
        <w:r>
          <w:rPr>
            <w:rFonts w:ascii="Arial" w:cs="Arial" w:eastAsia="Arial" w:hAnsi="Arial"/>
            <w:sz w:val="18"/>
            <w:szCs w:val="18"/>
            <w:u w:val="single" w:color="auto"/>
            <w:color w:val="0000EE"/>
          </w:rPr>
          <w:t>.</w:t>
        </w:r>
      </w:hyperlink>
    </w:p>
    <w:p>
      <w:pPr>
        <w:spacing w:after="0" w:line="166" w:lineRule="exact"/>
        <w:rPr>
          <w:rFonts w:ascii="Arial" w:cs="Arial" w:eastAsia="Arial" w:hAnsi="Arial"/>
          <w:sz w:val="18"/>
          <w:szCs w:val="18"/>
          <w:color w:val="auto"/>
        </w:rPr>
      </w:pPr>
    </w:p>
    <w:p>
      <w:pPr>
        <w:jc w:val="both"/>
        <w:ind w:left="120"/>
        <w:spacing w:after="0" w:line="263" w:lineRule="auto"/>
        <w:rPr>
          <w:sz w:val="20"/>
          <w:szCs w:val="20"/>
          <w:color w:val="auto"/>
        </w:rPr>
      </w:pPr>
      <w:r>
        <w:rPr>
          <w:rFonts w:ascii="Arial" w:cs="Arial" w:eastAsia="Arial" w:hAnsi="Arial"/>
          <w:sz w:val="18"/>
          <w:szCs w:val="18"/>
          <w:color w:val="auto"/>
        </w:rPr>
        <w:t xml:space="preserve">Any document of the type referred to in Section 11.1 of Form 44-101F1 – </w:t>
      </w:r>
      <w:r>
        <w:rPr>
          <w:rFonts w:ascii="Arial" w:cs="Arial" w:eastAsia="Arial" w:hAnsi="Arial"/>
          <w:sz w:val="18"/>
          <w:szCs w:val="18"/>
          <w:i w:val="1"/>
          <w:iCs w:val="1"/>
          <w:color w:val="auto"/>
        </w:rPr>
        <w:t>Short Form Prospectus Distributions</w:t>
      </w:r>
      <w:r>
        <w:rPr>
          <w:rFonts w:ascii="Arial" w:cs="Arial" w:eastAsia="Arial" w:hAnsi="Arial"/>
          <w:sz w:val="18"/>
          <w:szCs w:val="18"/>
          <w:color w:val="auto"/>
        </w:rPr>
        <w:t xml:space="preserve"> filed by the Corporation with a securities commission or similar regulatory authority in Canada after the date of this Prospectus and prior to 25 months from the date hereof shall be deemed to be incorporated by reference in this Prospectus.</w:t>
      </w:r>
    </w:p>
    <w:p>
      <w:pPr>
        <w:sectPr>
          <w:pgSz w:w="11900" w:h="16838" w:orient="portrait"/>
          <w:cols w:equalWidth="0" w:num="1">
            <w:col w:w="11140"/>
          </w:cols>
          <w:pgMar w:left="320" w:top="125" w:right="439" w:bottom="0" w:gutter="0" w:footer="0" w:header="0"/>
        </w:sectPr>
      </w:pPr>
    </w:p>
    <w:bookmarkStart w:id="42" w:name="page43"/>
    <w:bookmarkEnd w:id="42"/>
    <w:p>
      <w:pPr>
        <w:ind w:left="120" w:right="120"/>
        <w:spacing w:after="0" w:line="271" w:lineRule="auto"/>
        <w:rPr>
          <w:sz w:val="20"/>
          <w:szCs w:val="20"/>
          <w:color w:val="auto"/>
        </w:rPr>
      </w:pPr>
      <w:r>
        <w:rPr>
          <w:rFonts w:ascii="Arial" w:cs="Arial" w:eastAsia="Arial" w:hAnsi="Arial"/>
          <w:sz w:val="17"/>
          <w:szCs w:val="17"/>
          <w:b w:val="1"/>
          <w:bCs w:val="1"/>
          <w:color w:val="auto"/>
        </w:rPr>
        <w:t>Any statement contained in this Prospectus or in a document incorporated or deemed to be incorporated by reference in this Prospectus shall be deemed to be modified or superseded for the purposes of this Prospectus to the extent that a statement contained herein or in any subsequently filed document which also is or is deemed to be incorporated by reference in this Prospectus modifies or supersedes that statement. Any statement so modified or superseded shall not constitute a part of this Prospectus except as so modified or superseded. The modifying or superseding statement need not state that it has modified or superseded a prior statement or include any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w:t>
      </w:r>
    </w:p>
    <w:p>
      <w:pPr>
        <w:spacing w:after="0" w:line="178"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Upon filing of a new annual information form and related annual financial statements with, and where required, accepted by, the applicable securities regulatory authorities during the currency of this Prospectus, the previous annual information form, including all amendments thereto, the previous annual financial statements and all interim financial statements (including any interim period management’s discussion and analysis related thereto), material change reports and management information circulars filed prior to the commencement of the fiscal year in which the new annual information form is filed, shall be deemed no longer to be incorporated into this Prospectus for purposes of future offers and sales of Securities hereunder.</w:t>
      </w:r>
    </w:p>
    <w:p>
      <w:pPr>
        <w:spacing w:after="0" w:line="157" w:lineRule="exact"/>
        <w:rPr>
          <w:sz w:val="20"/>
          <w:szCs w:val="20"/>
          <w:color w:val="auto"/>
        </w:rPr>
      </w:pPr>
    </w:p>
    <w:p>
      <w:pPr>
        <w:jc w:val="both"/>
        <w:ind w:left="120" w:right="220"/>
        <w:spacing w:after="0" w:line="343" w:lineRule="auto"/>
        <w:rPr>
          <w:sz w:val="20"/>
          <w:szCs w:val="20"/>
          <w:color w:val="auto"/>
        </w:rPr>
      </w:pPr>
      <w:r>
        <w:rPr>
          <w:rFonts w:ascii="Arial" w:cs="Arial" w:eastAsia="Arial" w:hAnsi="Arial"/>
          <w:sz w:val="15"/>
          <w:szCs w:val="15"/>
          <w:b w:val="1"/>
          <w:bCs w:val="1"/>
          <w:color w:val="auto"/>
        </w:rPr>
        <w:t>A Prospectus Supplement containing the specific terms of any Securities offered thereunder will be delivered to purchasers of such Securities together with this Prospectus to the extent required under applicable securities laws and will be deemed to be incorporated by reference into this Prospectus as of the date of such Prospectus Supplement solely for the purposes of the Securities offered hereunder and thereunder.</w:t>
      </w:r>
    </w:p>
    <w:p>
      <w:pPr>
        <w:spacing w:after="0" w:line="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08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7">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CORPORATION</w:t>
      </w:r>
    </w:p>
    <w:p>
      <w:pPr>
        <w:spacing w:after="0" w:line="22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i w:val="1"/>
          <w:iCs w:val="1"/>
          <w:color w:val="auto"/>
        </w:rPr>
        <w:t>This summary does not contain all the information that may be important to you in deciding whether to invest in the Securities. You should read the entire Prospectus, including the section entitled “Risk Factors”, the applicable Prospectus Supplement, and the documents incorporated by reference herein, including the Annual Information Form, before making such decision.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of the Business</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Corporation is a biotechnology company focused on advancing pharmaceutical therapies, delivery mechanisms, novel compounds and protocols as potential therapies for various psychiatric and neurological conditions. The Corporation is developing technologies and delivery systems aiming to improve the pharmacokinetics of its psychedelic molecules while retaining the therapeutics benefit. The new molecules and delivery systems are expected to be studied through clinical trials to confirm safety and efficacy.</w:t>
      </w:r>
    </w:p>
    <w:p>
      <w:pPr>
        <w:spacing w:after="0" w:line="187"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The Corporation believes that there is presently a sizeable legal market for psychedelic pharmaceutical and nutraceutical products and, further, believes that there is a promising prospect for a strong, legal psychedelic pharmaceutical and nutraceutical industry to emerge globally. In particular, although the legal market for psychedelic pharmaceutical products is presently limited, globally, and in some jurisdictions it is still in its early stages, the Corporation believes that , in time, owing to generally increased acceptance and regulation of psychedelic-based treatments, this will give way to the emergence of numerous and sizable opportunities for market participants, including the Corporation.</w:t>
      </w:r>
    </w:p>
    <w:p>
      <w:pPr>
        <w:spacing w:after="0" w:line="176"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Psychedelics are progressively emerging as potential alternative candidates for conventional therapies for individuals suffering from elusive maladies like post-traumatic stress disorder (“</w:t>
      </w:r>
      <w:r>
        <w:rPr>
          <w:rFonts w:ascii="Arial" w:cs="Arial" w:eastAsia="Arial" w:hAnsi="Arial"/>
          <w:sz w:val="16"/>
          <w:szCs w:val="16"/>
          <w:b w:val="1"/>
          <w:bCs w:val="1"/>
          <w:color w:val="auto"/>
        </w:rPr>
        <w:t>PTSD</w:t>
      </w:r>
      <w:r>
        <w:rPr>
          <w:rFonts w:ascii="Arial" w:cs="Arial" w:eastAsia="Arial" w:hAnsi="Arial"/>
          <w:sz w:val="16"/>
          <w:szCs w:val="16"/>
          <w:color w:val="auto"/>
        </w:rPr>
        <w:t>”), addiction, anxiety, and depression.</w:t>
      </w:r>
      <w:r>
        <w:rPr>
          <w:rFonts w:ascii="Arial" w:cs="Arial" w:eastAsia="Arial" w:hAnsi="Arial"/>
          <w:sz w:val="13"/>
          <w:szCs w:val="13"/>
          <w:color w:val="auto"/>
        </w:rPr>
        <w:t>1</w:t>
      </w:r>
      <w:r>
        <w:rPr>
          <w:rFonts w:ascii="Arial" w:cs="Arial" w:eastAsia="Arial" w:hAnsi="Arial"/>
          <w:sz w:val="16"/>
          <w:szCs w:val="16"/>
          <w:color w:val="auto"/>
        </w:rPr>
        <w:t xml:space="preserve"> For example, in August of 2020, as a result of the efforts of TheraPsil, a non-profit coalition that advocates for a legal, Special Access Programme access to psilocybin therapy for palliative care of Canadians, four Canadians with incurable cancer were approved by the Canadian federal Minister of Health, to use psilocybin therapy in the treatment of their end-of-life distress.</w:t>
      </w:r>
      <w:r>
        <w:rPr>
          <w:rFonts w:ascii="Arial" w:cs="Arial" w:eastAsia="Arial" w:hAnsi="Arial"/>
          <w:sz w:val="13"/>
          <w:szCs w:val="13"/>
          <w:color w:val="auto"/>
        </w:rPr>
        <w:t>2</w:t>
      </w:r>
    </w:p>
    <w:p>
      <w:pPr>
        <w:spacing w:after="0" w:line="15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As of the date of this Prospectus, certain synthetic psychoactive tryptamines and phenthylamines are being researched as candidates for the treatment of several psychiatric conditions, such as PTSD and depression.</w:t>
      </w:r>
      <w:r>
        <w:rPr>
          <w:rFonts w:ascii="Arial" w:cs="Arial" w:eastAsia="Arial" w:hAnsi="Arial"/>
          <w:sz w:val="13"/>
          <w:szCs w:val="13"/>
          <w:color w:val="auto"/>
        </w:rPr>
        <w:t>3</w:t>
      </w:r>
      <w:r>
        <w:rPr>
          <w:rFonts w:ascii="Arial" w:cs="Arial" w:eastAsia="Arial" w:hAnsi="Arial"/>
          <w:sz w:val="16"/>
          <w:szCs w:val="16"/>
          <w:color w:val="auto"/>
        </w:rPr>
        <w:t xml:space="preserve"> In 2018 and 2019, for example, the FDA granted breakthrough therapy designation for psilocybin for use as a candidate in the treatment of Major Depressive Disorder (“</w:t>
      </w:r>
      <w:r>
        <w:rPr>
          <w:rFonts w:ascii="Arial" w:cs="Arial" w:eastAsia="Arial" w:hAnsi="Arial"/>
          <w:sz w:val="16"/>
          <w:szCs w:val="16"/>
          <w:b w:val="1"/>
          <w:bCs w:val="1"/>
          <w:color w:val="auto"/>
        </w:rPr>
        <w:t>MDD</w:t>
      </w:r>
      <w:r>
        <w:rPr>
          <w:rFonts w:ascii="Arial" w:cs="Arial" w:eastAsia="Arial" w:hAnsi="Arial"/>
          <w:sz w:val="16"/>
          <w:szCs w:val="16"/>
          <w:color w:val="auto"/>
        </w:rPr>
        <w:t>”).</w:t>
      </w:r>
      <w:r>
        <w:rPr>
          <w:rFonts w:ascii="Arial" w:cs="Arial" w:eastAsia="Arial" w:hAnsi="Arial"/>
          <w:sz w:val="13"/>
          <w:szCs w:val="13"/>
          <w:color w:val="auto"/>
        </w:rPr>
        <w:t>4</w:t>
      </w:r>
      <w:r>
        <w:rPr>
          <w:rFonts w:ascii="Arial" w:cs="Arial" w:eastAsia="Arial" w:hAnsi="Arial"/>
          <w:sz w:val="16"/>
          <w:szCs w:val="16"/>
          <w:color w:val="auto"/>
        </w:rPr>
        <w:t xml:space="preserve"> At present, treatments for such conditions are limited in effectiveness, with some traditional treatment methods posing a heightened risk of complications. By contrast, the Corporation expects that psychoactive compounds, such as psilocybin, may in time also emerge as a safer and healthier medical treatment alternative for various ailments.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7715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8" w:lineRule="exact"/>
        <w:rPr>
          <w:sz w:val="20"/>
          <w:szCs w:val="20"/>
          <w:color w:val="auto"/>
        </w:rPr>
      </w:pPr>
    </w:p>
    <w:p>
      <w:pPr>
        <w:ind w:left="340" w:hanging="224"/>
        <w:spacing w:after="0"/>
        <w:tabs>
          <w:tab w:leader="none" w:pos="340" w:val="left"/>
        </w:tabs>
        <w:numPr>
          <w:ilvl w:val="0"/>
          <w:numId w:val="21"/>
        </w:numPr>
        <w:rPr>
          <w:rFonts w:ascii="Arial" w:cs="Arial" w:eastAsia="Arial" w:hAnsi="Arial"/>
          <w:sz w:val="15"/>
          <w:szCs w:val="15"/>
          <w:color w:val="auto"/>
        </w:rPr>
      </w:pPr>
      <w:r>
        <w:rPr>
          <w:rFonts w:ascii="Arial" w:cs="Arial" w:eastAsia="Arial" w:hAnsi="Arial"/>
          <w:sz w:val="18"/>
          <w:szCs w:val="18"/>
          <w:color w:val="auto"/>
        </w:rPr>
        <w:t>https://www.baystreet.ca/stockstowatch/7145/Magic-Mushroom-Market-Set-to-Grow-10-Feet-Tall.</w:t>
      </w:r>
    </w:p>
    <w:p>
      <w:pPr>
        <w:spacing w:after="0" w:line="22" w:lineRule="exact"/>
        <w:rPr>
          <w:sz w:val="20"/>
          <w:szCs w:val="20"/>
          <w:color w:val="auto"/>
        </w:rPr>
      </w:pPr>
    </w:p>
    <w:p>
      <w:pPr>
        <w:ind w:left="340" w:right="340" w:hanging="224"/>
        <w:spacing w:after="0" w:line="250" w:lineRule="auto"/>
        <w:tabs>
          <w:tab w:leader="none" w:pos="340" w:val="left"/>
        </w:tabs>
        <w:numPr>
          <w:ilvl w:val="0"/>
          <w:numId w:val="22"/>
        </w:numPr>
        <w:rPr>
          <w:rFonts w:ascii="Arial" w:cs="Arial" w:eastAsia="Arial" w:hAnsi="Arial"/>
          <w:sz w:val="15"/>
          <w:szCs w:val="15"/>
          <w:color w:val="auto"/>
        </w:rPr>
      </w:pPr>
      <w:r>
        <w:rPr>
          <w:rFonts w:ascii="Arial" w:cs="Arial" w:eastAsia="Arial" w:hAnsi="Arial"/>
          <w:sz w:val="18"/>
          <w:szCs w:val="18"/>
          <w:color w:val="auto"/>
        </w:rPr>
        <w:t>https://www.forbes.com/sites/davidcarpenter/2020/08/08/four-terminally-ill-canadians-gain-legal-right-to-use-magic-mushrooms-for-end-of-life-distress/#3194f50a2bdf.</w:t>
      </w:r>
    </w:p>
    <w:p>
      <w:pPr>
        <w:spacing w:after="0" w:line="1" w:lineRule="exact"/>
        <w:rPr>
          <w:sz w:val="20"/>
          <w:szCs w:val="20"/>
          <w:color w:val="auto"/>
        </w:rPr>
      </w:pPr>
    </w:p>
    <w:p>
      <w:pPr>
        <w:ind w:left="340" w:hanging="224"/>
        <w:spacing w:after="0"/>
        <w:tabs>
          <w:tab w:leader="none" w:pos="340" w:val="left"/>
        </w:tabs>
        <w:numPr>
          <w:ilvl w:val="0"/>
          <w:numId w:val="23"/>
        </w:numPr>
        <w:rPr>
          <w:rFonts w:ascii="Arial" w:cs="Arial" w:eastAsia="Arial" w:hAnsi="Arial"/>
          <w:sz w:val="15"/>
          <w:szCs w:val="15"/>
          <w:color w:val="auto"/>
        </w:rPr>
      </w:pPr>
      <w:r>
        <w:rPr>
          <w:rFonts w:ascii="Arial" w:cs="Arial" w:eastAsia="Arial" w:hAnsi="Arial"/>
          <w:sz w:val="18"/>
          <w:szCs w:val="18"/>
          <w:color w:val="auto"/>
        </w:rPr>
        <w:t>https://www.healtheuropa.eu/worlds-first-magic-mushroom-nasal-spray-for-ptsd-and-depression/95434/.</w:t>
      </w:r>
    </w:p>
    <w:p>
      <w:pPr>
        <w:spacing w:after="0" w:line="9" w:lineRule="exact"/>
        <w:rPr>
          <w:sz w:val="20"/>
          <w:szCs w:val="20"/>
          <w:color w:val="auto"/>
        </w:rPr>
      </w:pPr>
    </w:p>
    <w:p>
      <w:pPr>
        <w:ind w:left="340" w:right="240" w:hanging="224"/>
        <w:spacing w:after="0" w:line="262" w:lineRule="auto"/>
        <w:tabs>
          <w:tab w:leader="none" w:pos="340" w:val="left"/>
        </w:tabs>
        <w:numPr>
          <w:ilvl w:val="0"/>
          <w:numId w:val="24"/>
        </w:numPr>
        <w:rPr>
          <w:rFonts w:ascii="Arial" w:cs="Arial" w:eastAsia="Arial" w:hAnsi="Arial"/>
          <w:sz w:val="15"/>
          <w:szCs w:val="15"/>
          <w:color w:val="auto"/>
        </w:rPr>
      </w:pPr>
      <w:r>
        <w:rPr>
          <w:rFonts w:ascii="Arial" w:cs="Arial" w:eastAsia="Arial" w:hAnsi="Arial"/>
          <w:sz w:val="18"/>
          <w:szCs w:val="18"/>
          <w:color w:val="auto"/>
        </w:rPr>
        <w:t>https://www.biopharmaglobal.com/2019/11/26/usona-institute-receives-fda-breakthrough-therapy-designation-for-psilocybin-for-the-treatment-of-major-depressive-disorder/.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08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9">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The Corporation’s target market is focused on psychedelic pharmaceutical and non-psychedelic products. The Corporation views its synthetic psychedelic substances as boosters for the brain that can potentially rebuild pathways and break negative patterns all while looking at non-psychedelic medical extracts as the next wave of nutraceuticals that can potentially optimize overall health.</w:t>
      </w:r>
      <w:r>
        <w:rPr>
          <w:rFonts w:ascii="Arial" w:cs="Arial" w:eastAsia="Arial" w:hAnsi="Arial"/>
          <w:sz w:val="15"/>
          <w:szCs w:val="15"/>
          <w:color w:val="auto"/>
        </w:rPr>
        <w:t>5</w:t>
      </w:r>
    </w:p>
    <w:p>
      <w:pPr>
        <w:spacing w:after="0" w:line="184" w:lineRule="exact"/>
        <w:rPr>
          <w:sz w:val="20"/>
          <w:szCs w:val="20"/>
          <w:color w:val="auto"/>
        </w:rPr>
      </w:pPr>
    </w:p>
    <w:p>
      <w:pPr>
        <w:ind w:left="120" w:right="460"/>
        <w:spacing w:after="0" w:line="342" w:lineRule="auto"/>
        <w:rPr>
          <w:sz w:val="20"/>
          <w:szCs w:val="20"/>
          <w:color w:val="auto"/>
        </w:rPr>
      </w:pPr>
      <w:r>
        <w:rPr>
          <w:rFonts w:ascii="Arial" w:cs="Arial" w:eastAsia="Arial" w:hAnsi="Arial"/>
          <w:sz w:val="16"/>
          <w:szCs w:val="16"/>
          <w:color w:val="auto"/>
        </w:rPr>
        <w:t>The Corporation currently has two business segments: (a) Serenity Life and Cybin U.S. that focus on the research and development of psychedelic pharmaceutical products; and (b) Natures Journey that focuses on consumer mental wellness, including non-psychedelic nutraceutical products.</w:t>
      </w:r>
    </w:p>
    <w:p>
      <w:pPr>
        <w:spacing w:after="0" w:line="124"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For additional information in respect of the Corporation and its operation, please see the Corporation’s Annual Information Form incorporated by reference into this Prospectus.</w:t>
      </w:r>
    </w:p>
    <w:p>
      <w:pPr>
        <w:sectPr>
          <w:pgSz w:w="11900" w:h="16838" w:orient="portrait"/>
          <w:cols w:equalWidth="0" w:num="1">
            <w:col w:w="11120"/>
          </w:cols>
          <w:pgMar w:left="320" w:top="121" w:right="459" w:bottom="0" w:gutter="0" w:footer="0" w:header="0"/>
        </w:sectPr>
      </w:pPr>
    </w:p>
    <w:bookmarkStart w:id="43" w:name="page44"/>
    <w:bookmarkEnd w:id="43"/>
    <w:p>
      <w:pPr>
        <w:ind w:left="120"/>
        <w:spacing w:after="0"/>
        <w:rPr>
          <w:sz w:val="20"/>
          <w:szCs w:val="20"/>
          <w:color w:val="auto"/>
        </w:rPr>
      </w:pPr>
      <w:r>
        <w:rPr>
          <w:rFonts w:ascii="Arial" w:cs="Arial" w:eastAsia="Arial" w:hAnsi="Arial"/>
          <w:sz w:val="18"/>
          <w:szCs w:val="18"/>
          <w:b w:val="1"/>
          <w:bCs w:val="1"/>
          <w:color w:val="auto"/>
        </w:rPr>
        <w:t>Inter-Corporate Relationships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at the date of this Prospectus, the Corporation’s corporate structure includes the following material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168910</wp:posOffset>
            </wp:positionV>
            <wp:extent cx="2005965" cy="2434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0">
                      <a:extLst>
                        <a:ext uri="{28A0092B-C50C-407E-A947-70E740481C1C}"/>
                      </a:extLst>
                    </a:blip>
                    <a:srcRect/>
                    <a:stretch>
                      <a:fillRect/>
                    </a:stretch>
                  </pic:blipFill>
                  <pic:spPr bwMode="auto">
                    <a:xfrm>
                      <a:off x="0" y="0"/>
                      <a:ext cx="2005965"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540" w:right="1580"/>
        <w:spacing w:after="0" w:line="277" w:lineRule="auto"/>
        <w:rPr>
          <w:sz w:val="20"/>
          <w:szCs w:val="20"/>
          <w:color w:val="auto"/>
        </w:rPr>
      </w:pPr>
      <w:r>
        <w:rPr>
          <w:rFonts w:ascii="Arial" w:cs="Arial" w:eastAsia="Arial" w:hAnsi="Arial"/>
          <w:sz w:val="18"/>
          <w:szCs w:val="18"/>
          <w:color w:val="auto"/>
        </w:rPr>
        <w:t>Note: (1) The Adelia Shareholders (defined below) hold certain non-voting securities of Cybin US, see “</w:t>
      </w:r>
      <w:r>
        <w:rPr>
          <w:rFonts w:ascii="Arial" w:cs="Arial" w:eastAsia="Arial" w:hAnsi="Arial"/>
          <w:sz w:val="18"/>
          <w:szCs w:val="18"/>
          <w:i w:val="1"/>
          <w:iCs w:val="1"/>
          <w:color w:val="auto"/>
        </w:rPr>
        <w:t>Select</w:t>
      </w:r>
      <w:r>
        <w:rPr>
          <w:rFonts w:ascii="Arial" w:cs="Arial" w:eastAsia="Arial" w:hAnsi="Arial"/>
          <w:sz w:val="18"/>
          <w:szCs w:val="18"/>
          <w:color w:val="auto"/>
        </w:rPr>
        <w:t xml:space="preserve"> </w:t>
      </w:r>
      <w:r>
        <w:rPr>
          <w:rFonts w:ascii="Arial" w:cs="Arial" w:eastAsia="Arial" w:hAnsi="Arial"/>
          <w:sz w:val="18"/>
          <w:szCs w:val="18"/>
          <w:i w:val="1"/>
          <w:iCs w:val="1"/>
          <w:color w:val="auto"/>
        </w:rPr>
        <w:t>Recent Developments</w:t>
      </w:r>
      <w:r>
        <w:rPr>
          <w:rFonts w:ascii="Arial" w:cs="Arial" w:eastAsia="Arial" w:hAnsi="Arial"/>
          <w:sz w:val="18"/>
          <w:szCs w:val="18"/>
          <w:color w:val="auto"/>
        </w:rPr>
        <w: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3" w:lineRule="exact"/>
        <w:rPr>
          <w:sz w:val="20"/>
          <w:szCs w:val="20"/>
          <w:color w:val="auto"/>
        </w:rPr>
      </w:pPr>
    </w:p>
    <w:p>
      <w:pPr>
        <w:ind w:left="340" w:right="20" w:hanging="224"/>
        <w:spacing w:after="0" w:line="272"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7"/>
          <w:szCs w:val="17"/>
          <w:color w:val="auto"/>
        </w:rPr>
        <w:t>Certain statements regarding psilocybin, psychedelic tryptamine, tryptamine derivatives or other psychedelic compounds, nutraceutical products or functional mushrooms have not been evaluated by Health Canada, the FDA or other similar regulatory authorities, nor has the efficacy of psilocybin, psychedelic tryptamine, tryptamine derivatives or other psychedelic compounds, nutraceutical products or functional mushrooms been confirmed by approved research. There is no assurance that psilocybin, psychedelic tryptamine, tryptamine derivatives or other psychedelic compounds, nutraceutical products or functional mushrooms can be used to diagnose, treat, cure or prevent any disease or condition and robust scientific research and clinical trials are needed. There are multiple risk factors regarding the ability to successfully commercially scale a chemically synthesized process to obtain psilocybin and other analogues.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08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2">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COVID-19 Pandemic</w:t>
      </w:r>
    </w:p>
    <w:p>
      <w:pPr>
        <w:spacing w:after="0" w:line="12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On March 11, 2020, the World Health Organization declared the outbreak of COVID-19 a pandemic. Since the outbreak of COVID-19, the Corporation has focused its efforts on safeguarding the health and well-being of its employees, consultants and community members. To help slow the spread of COVID-19, the Corporation’s employees have been working remotely, where possible, and abiding by local and national guidance put in place in Canada, the United States, and Jamaica related to social distancing and restrictions on travel outside of the home. The Corporation has and will continue to abide by the protocols within Canada, the United States, and Jamaica regarding the performance of work activities. The duration and the immediate and eventual impact of the COVID-19 pandemic remains unknown. In particular, it is not possible to reliably estimate the length and severity of these developments and the impact on the financial results and condition of the Corporation. To date, a number of businesses have suspended or scaled back their operations and development as cases of COVID-19 have been confirmed, for precautionary purposes or as governments have declared a state of emergency or taken other actions. In the event that the operations or development of the Corporation are suspended or scaled back, or if the Corporation’s supply chains are disrupted, such events may have a material adverse effect on the Corporation. The breadth of the impact of the COVID-19 pandemic on investors, businesses, the global economy and financial and commodity markets may also have a material adverse effect on the Corporation.</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additional information see “</w:t>
      </w:r>
      <w:r>
        <w:rPr>
          <w:rFonts w:ascii="Arial" w:cs="Arial" w:eastAsia="Arial" w:hAnsi="Arial"/>
          <w:sz w:val="18"/>
          <w:szCs w:val="18"/>
          <w:i w:val="1"/>
          <w:iCs w:val="1"/>
          <w:color w:val="auto"/>
        </w:rPr>
        <w:t>Risk Factors – Risks Related to the Business of the Corporation – Novel Coronavirus COVID-19”</w:t>
      </w:r>
      <w:r>
        <w:rPr>
          <w:rFonts w:ascii="Arial" w:cs="Arial" w:eastAsia="Arial" w:hAnsi="Arial"/>
          <w:sz w:val="18"/>
          <w:szCs w:val="18"/>
          <w:color w:val="auto"/>
        </w:rPr>
        <w: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 Recent Developments</w:t>
      </w:r>
    </w:p>
    <w:p>
      <w:pPr>
        <w:spacing w:after="0" w:line="117" w:lineRule="exact"/>
        <w:rPr>
          <w:sz w:val="20"/>
          <w:szCs w:val="20"/>
          <w:color w:val="auto"/>
        </w:rPr>
      </w:pPr>
    </w:p>
    <w:p>
      <w:pPr>
        <w:ind w:left="120"/>
        <w:spacing w:after="0" w:line="314" w:lineRule="auto"/>
        <w:rPr>
          <w:sz w:val="20"/>
          <w:szCs w:val="20"/>
          <w:color w:val="auto"/>
        </w:rPr>
      </w:pPr>
      <w:r>
        <w:rPr>
          <w:rFonts w:ascii="Arial" w:cs="Arial" w:eastAsia="Arial" w:hAnsi="Arial"/>
          <w:sz w:val="16"/>
          <w:szCs w:val="16"/>
          <w:color w:val="auto"/>
        </w:rPr>
        <w:t>On December 4, 2020, the Corporation entered into a contribution agreement (the “</w:t>
      </w:r>
      <w:r>
        <w:rPr>
          <w:rFonts w:ascii="Arial" w:cs="Arial" w:eastAsia="Arial" w:hAnsi="Arial"/>
          <w:sz w:val="16"/>
          <w:szCs w:val="16"/>
          <w:b w:val="1"/>
          <w:bCs w:val="1"/>
          <w:color w:val="auto"/>
        </w:rPr>
        <w:t>Contribution Agreement</w:t>
      </w:r>
      <w:r>
        <w:rPr>
          <w:rFonts w:ascii="Arial" w:cs="Arial" w:eastAsia="Arial" w:hAnsi="Arial"/>
          <w:sz w:val="16"/>
          <w:szCs w:val="16"/>
          <w:color w:val="auto"/>
        </w:rPr>
        <w:t>”) with Cybin Corp., Cybin U.S. and all of the shareholders (the “</w:t>
      </w:r>
      <w:r>
        <w:rPr>
          <w:rFonts w:ascii="Arial" w:cs="Arial" w:eastAsia="Arial" w:hAnsi="Arial"/>
          <w:sz w:val="16"/>
          <w:szCs w:val="16"/>
          <w:b w:val="1"/>
          <w:bCs w:val="1"/>
          <w:color w:val="auto"/>
        </w:rPr>
        <w:t>Adelia Shareholders</w:t>
      </w:r>
      <w:r>
        <w:rPr>
          <w:rFonts w:ascii="Arial" w:cs="Arial" w:eastAsia="Arial" w:hAnsi="Arial"/>
          <w:sz w:val="16"/>
          <w:szCs w:val="16"/>
          <w:color w:val="auto"/>
        </w:rPr>
        <w:t>”) of Adelia Therapeutics Inc. (“</w:t>
      </w:r>
      <w:r>
        <w:rPr>
          <w:rFonts w:ascii="Arial" w:cs="Arial" w:eastAsia="Arial" w:hAnsi="Arial"/>
          <w:sz w:val="16"/>
          <w:szCs w:val="16"/>
          <w:b w:val="1"/>
          <w:bCs w:val="1"/>
          <w:color w:val="auto"/>
        </w:rPr>
        <w:t>Adelia</w:t>
      </w:r>
      <w:r>
        <w:rPr>
          <w:rFonts w:ascii="Arial" w:cs="Arial" w:eastAsia="Arial" w:hAnsi="Arial"/>
          <w:sz w:val="16"/>
          <w:szCs w:val="16"/>
          <w:color w:val="auto"/>
        </w:rPr>
        <w:t>”) whereby Cybin U.S. agreed to purchase from the Adelia Shareholders all of the issued and outstanding Adelia shares in exchange for the Class B Shares. The Adelia Transaction closed on December 14, 2020.</w:t>
      </w:r>
    </w:p>
    <w:p>
      <w:pPr>
        <w:spacing w:after="0" w:line="142" w:lineRule="exact"/>
        <w:rPr>
          <w:sz w:val="20"/>
          <w:szCs w:val="20"/>
          <w:color w:val="auto"/>
        </w:rPr>
      </w:pPr>
    </w:p>
    <w:p>
      <w:pPr>
        <w:ind w:left="120" w:right="200"/>
        <w:spacing w:after="0" w:line="256" w:lineRule="auto"/>
        <w:rPr>
          <w:sz w:val="20"/>
          <w:szCs w:val="20"/>
          <w:color w:val="auto"/>
        </w:rPr>
      </w:pPr>
      <w:r>
        <w:rPr>
          <w:rFonts w:ascii="Arial" w:cs="Arial" w:eastAsia="Arial" w:hAnsi="Arial"/>
          <w:sz w:val="18"/>
          <w:szCs w:val="18"/>
          <w:color w:val="auto"/>
        </w:rPr>
        <w:t>Pursuant to the Contribution Agreement and the support agreement entered into among Cybin U.S. and the Adelia Shareholders (the “</w:t>
      </w:r>
      <w:r>
        <w:rPr>
          <w:rFonts w:ascii="Arial" w:cs="Arial" w:eastAsia="Arial" w:hAnsi="Arial"/>
          <w:sz w:val="18"/>
          <w:szCs w:val="18"/>
          <w:b w:val="1"/>
          <w:bCs w:val="1"/>
          <w:color w:val="auto"/>
        </w:rPr>
        <w:t>Support</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the Adelia Shareholders received non-voting Class B common shares in the capital of Cybin U.S. (each a “</w:t>
      </w:r>
      <w:r>
        <w:rPr>
          <w:rFonts w:ascii="Arial" w:cs="Arial" w:eastAsia="Arial" w:hAnsi="Arial"/>
          <w:sz w:val="18"/>
          <w:szCs w:val="18"/>
          <w:b w:val="1"/>
          <w:bCs w:val="1"/>
          <w:color w:val="auto"/>
        </w:rPr>
        <w:t>Class B Share</w:t>
      </w:r>
      <w:r>
        <w:rPr>
          <w:rFonts w:ascii="Arial" w:cs="Arial" w:eastAsia="Arial" w:hAnsi="Arial"/>
          <w:sz w:val="18"/>
          <w:szCs w:val="18"/>
          <w:color w:val="auto"/>
        </w:rPr>
        <w:t>”),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exchangeable for Common Shares, on a 10 Common Shares for 1 Class B Share basis, at the option of the holder thereof, subject to customary adjustments. The Class B Shares issued to the Adelia Shareholders on the closing of the Adelia Transaction are exchangeable for a total of 8,688,330 Common Shares. The aggregate value of the Class B Shares to be issued to the Adelia Shareholders on the closing of the Adelia Transaction was $10,773,529.50.</w:t>
      </w:r>
    </w:p>
    <w:p>
      <w:pPr>
        <w:spacing w:after="0" w:line="19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Under the Contribution Agreement, the Adelia Shareholders are also entitled to Class B Shares upon the occurrence of certain milestones as set out in the Contribution Agreement, which are also exchangeable for Common Shares on a 10 Common Shares for 1 Class B Share basis. The total value of the Class B Shares issuable pursuant to the milestones is up to $9,388,045.50 assuming all milestones are met prior to the applicable deadlines. In March, 2021, pursuant to the terms of the Contribution Agreement, an aggregate of 42,247.3 Class B Shares were issued to the Adelia Shareholders in satisfaction of $686,306.31 due to them upon meeting the certain relevant milestone.</w:t>
      </w:r>
    </w:p>
    <w:p>
      <w:pPr>
        <w:spacing w:after="0" w:line="176"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No Class B Shares are exchangeable prior to the first anniversary of closing of the Adelia Transaction, and not more than: (i) 33 1/3% of the Class B Shares will be exchangeable prior to the second anniversary of the Adelia Transaction; (ii) 66 2/3% of the Class B Shares will be exchangeable prior to</w:t>
      </w:r>
    </w:p>
    <w:p>
      <w:pPr>
        <w:sectPr>
          <w:pgSz w:w="11900" w:h="16838" w:orient="portrait"/>
          <w:cols w:equalWidth="0" w:num="1">
            <w:col w:w="11080"/>
          </w:cols>
          <w:pgMar w:left="320" w:top="121" w:right="499" w:bottom="0" w:gutter="0" w:footer="0" w:header="0"/>
        </w:sectPr>
      </w:pPr>
    </w:p>
    <w:bookmarkStart w:id="44" w:name="page45"/>
    <w:bookmarkEnd w:id="44"/>
    <w:p>
      <w:pPr>
        <w:spacing w:after="0" w:line="74"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color w:val="auto"/>
        </w:rPr>
        <w:t>the third anniversary of the Adelia Transaction; and (iii) thereafter, 100% of the Class B Shares will be exchangeable. The Class B Shares issued to the Adelia Shareholders are exchangeable for a total of 511,631 Common Shares, resulting in an effective issue price of $1.99 per Common Share.</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14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3">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REGULATORY OVERVIEW</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summary of the applicable regulatory framework for the Corporation’s various business segments and proposed business activity are set forth below.</w:t>
      </w:r>
    </w:p>
    <w:p>
      <w:pPr>
        <w:spacing w:after="0" w:line="200" w:lineRule="exact"/>
        <w:rPr>
          <w:sz w:val="20"/>
          <w:szCs w:val="20"/>
          <w:color w:val="auto"/>
        </w:rPr>
      </w:pPr>
    </w:p>
    <w:p>
      <w:pPr>
        <w:spacing w:after="0" w:line="2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4"/>
              </w:rPr>
              <w:t>Current/Proposed</w:t>
            </w:r>
          </w:p>
        </w:tc>
        <w:tc>
          <w:tcPr>
            <w:tcW w:w="2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Business Segment</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3"/>
              </w:rPr>
              <w:t>Location of Operation</w:t>
            </w:r>
          </w:p>
        </w:tc>
        <w:tc>
          <w:tcPr>
            <w:tcW w:w="220" w:type="dxa"/>
            <w:vAlign w:val="bottom"/>
          </w:tcPr>
          <w:p>
            <w:pPr>
              <w:spacing w:after="0"/>
              <w:rPr>
                <w:sz w:val="16"/>
                <w:szCs w:val="16"/>
                <w:color w:val="auto"/>
              </w:rPr>
            </w:pPr>
          </w:p>
        </w:tc>
        <w:tc>
          <w:tcPr>
            <w:tcW w:w="5080" w:type="dxa"/>
            <w:vAlign w:val="bottom"/>
          </w:tcPr>
          <w:p>
            <w:pPr>
              <w:ind w:left="1040"/>
              <w:spacing w:after="0"/>
              <w:rPr>
                <w:sz w:val="20"/>
                <w:szCs w:val="20"/>
                <w:color w:val="auto"/>
              </w:rPr>
            </w:pPr>
            <w:r>
              <w:rPr>
                <w:rFonts w:ascii="Arial" w:cs="Arial" w:eastAsia="Arial" w:hAnsi="Arial"/>
                <w:sz w:val="14"/>
                <w:szCs w:val="14"/>
                <w:b w:val="1"/>
                <w:bCs w:val="1"/>
                <w:color w:val="auto"/>
              </w:rPr>
              <w:t>Summary of Applicable Regulatory Frameworks</w:t>
            </w: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080" w:type="dxa"/>
            <w:vAlign w:val="bottom"/>
            <w:gridSpan w:val="2"/>
          </w:tcPr>
          <w:p>
            <w:pPr>
              <w:spacing w:after="0" w:line="189" w:lineRule="exact"/>
              <w:rPr>
                <w:sz w:val="20"/>
                <w:szCs w:val="20"/>
                <w:color w:val="auto"/>
              </w:rPr>
            </w:pPr>
            <w:r>
              <w:rPr>
                <w:rFonts w:ascii="Arial" w:cs="Arial" w:eastAsia="Arial" w:hAnsi="Arial"/>
                <w:sz w:val="18"/>
                <w:szCs w:val="18"/>
                <w:color w:val="auto"/>
              </w:rPr>
              <w:t>Serenity Life &amp; Cybin U.S.</w:t>
            </w:r>
            <w:r>
              <w:rPr>
                <w:rFonts w:ascii="Arial" w:cs="Arial" w:eastAsia="Arial" w:hAnsi="Arial"/>
                <w:sz w:val="15"/>
                <w:szCs w:val="15"/>
                <w:b w:val="1"/>
                <w:bCs w:val="1"/>
                <w:color w:val="auto"/>
              </w:rPr>
              <w:t>(1)</w:t>
            </w:r>
          </w:p>
        </w:tc>
        <w:tc>
          <w:tcPr>
            <w:tcW w:w="2640" w:type="dxa"/>
            <w:vAlign w:val="bottom"/>
          </w:tcPr>
          <w:p>
            <w:pPr>
              <w:jc w:val="center"/>
              <w:spacing w:after="0" w:line="189" w:lineRule="exact"/>
              <w:rPr>
                <w:sz w:val="20"/>
                <w:szCs w:val="20"/>
                <w:color w:val="auto"/>
              </w:rPr>
            </w:pPr>
            <w:r>
              <w:rPr>
                <w:rFonts w:ascii="Arial" w:cs="Arial" w:eastAsia="Arial" w:hAnsi="Arial"/>
                <w:sz w:val="18"/>
                <w:szCs w:val="18"/>
                <w:color w:val="auto"/>
                <w:w w:val="91"/>
              </w:rPr>
              <w:t>Canada, United Kingdom, United</w:t>
            </w:r>
          </w:p>
        </w:tc>
        <w:tc>
          <w:tcPr>
            <w:tcW w:w="220" w:type="dxa"/>
            <w:vAlign w:val="bottom"/>
            <w:vMerge w:val="continue"/>
          </w:tcPr>
          <w:p>
            <w:pPr>
              <w:spacing w:after="0"/>
              <w:rPr>
                <w:sz w:val="16"/>
                <w:szCs w:val="16"/>
                <w:color w:val="auto"/>
              </w:rPr>
            </w:pPr>
          </w:p>
        </w:tc>
        <w:tc>
          <w:tcPr>
            <w:tcW w:w="5080" w:type="dxa"/>
            <w:vAlign w:val="bottom"/>
          </w:tcPr>
          <w:p>
            <w:pPr>
              <w:spacing w:after="0" w:line="189" w:lineRule="exact"/>
              <w:rPr>
                <w:sz w:val="20"/>
                <w:szCs w:val="20"/>
                <w:color w:val="auto"/>
              </w:rPr>
            </w:pPr>
            <w:r>
              <w:rPr>
                <w:rFonts w:ascii="Arial" w:cs="Arial" w:eastAsia="Arial" w:hAnsi="Arial"/>
                <w:sz w:val="18"/>
                <w:szCs w:val="18"/>
                <w:color w:val="auto"/>
                <w:w w:val="91"/>
              </w:rPr>
              <w:t>The Canadian and United States federal governments regulate drugs</w:t>
            </w:r>
          </w:p>
        </w:tc>
        <w:tc>
          <w:tcPr>
            <w:tcW w:w="0" w:type="dxa"/>
            <w:vAlign w:val="bottom"/>
          </w:tcPr>
          <w:p>
            <w:pPr>
              <w:spacing w:after="0"/>
              <w:rPr>
                <w:sz w:val="1"/>
                <w:szCs w:val="1"/>
                <w:color w:val="auto"/>
              </w:rPr>
            </w:pPr>
          </w:p>
        </w:tc>
      </w:tr>
      <w:tr>
        <w:trPr>
          <w:trHeight w:val="213"/>
        </w:trPr>
        <w:tc>
          <w:tcPr>
            <w:tcW w:w="10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States &amp; Jamaica</w:t>
            </w: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w w:val="92"/>
              </w:rPr>
              <w:t>through the CDSA and the CSA, respectively, which place controlled</w:t>
            </w:r>
          </w:p>
        </w:tc>
        <w:tc>
          <w:tcPr>
            <w:tcW w:w="0" w:type="dxa"/>
            <w:vAlign w:val="bottom"/>
          </w:tcPr>
          <w:p>
            <w:pPr>
              <w:spacing w:after="0"/>
              <w:rPr>
                <w:sz w:val="1"/>
                <w:szCs w:val="1"/>
                <w:color w:val="auto"/>
              </w:rPr>
            </w:pPr>
          </w:p>
        </w:tc>
      </w:tr>
      <w:tr>
        <w:trPr>
          <w:trHeight w:val="233"/>
        </w:trPr>
        <w:tc>
          <w:tcPr>
            <w:tcW w:w="10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rPr>
              <w:t>substances in a schedule.</w:t>
            </w:r>
            <w:r>
              <w:rPr>
                <w:rFonts w:ascii="Arial" w:cs="Arial" w:eastAsia="Arial" w:hAnsi="Arial"/>
                <w:sz w:val="15"/>
                <w:szCs w:val="15"/>
                <w:b w:val="1"/>
                <w:bCs w:val="1"/>
                <w:color w:val="auto"/>
              </w:rPr>
              <w:t>(2)</w:t>
            </w:r>
          </w:p>
        </w:tc>
        <w:tc>
          <w:tcPr>
            <w:tcW w:w="0" w:type="dxa"/>
            <w:vAlign w:val="bottom"/>
          </w:tcPr>
          <w:p>
            <w:pPr>
              <w:spacing w:after="0"/>
              <w:rPr>
                <w:sz w:val="1"/>
                <w:szCs w:val="1"/>
                <w:color w:val="auto"/>
              </w:rPr>
            </w:pPr>
          </w:p>
        </w:tc>
      </w:tr>
      <w:tr>
        <w:trPr>
          <w:trHeight w:val="338"/>
        </w:trPr>
        <w:tc>
          <w:tcPr>
            <w:tcW w:w="10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rPr>
              <w:t>Under the CDSA, psilocybin is currently a Schedule III drug.</w:t>
            </w:r>
            <w:r>
              <w:rPr>
                <w:rFonts w:ascii="Arial" w:cs="Arial" w:eastAsia="Arial" w:hAnsi="Arial"/>
                <w:sz w:val="15"/>
                <w:szCs w:val="15"/>
                <w:b w:val="1"/>
                <w:bCs w:val="1"/>
                <w:color w:val="auto"/>
              </w:rPr>
              <w:t>(3)</w:t>
            </w:r>
          </w:p>
        </w:tc>
        <w:tc>
          <w:tcPr>
            <w:tcW w:w="0" w:type="dxa"/>
            <w:vAlign w:val="bottom"/>
          </w:tcPr>
          <w:p>
            <w:pPr>
              <w:spacing w:after="0"/>
              <w:rPr>
                <w:sz w:val="1"/>
                <w:szCs w:val="1"/>
                <w:color w:val="auto"/>
              </w:rPr>
            </w:pPr>
          </w:p>
        </w:tc>
      </w:tr>
      <w:tr>
        <w:trPr>
          <w:trHeight w:val="338"/>
        </w:trPr>
        <w:tc>
          <w:tcPr>
            <w:tcW w:w="10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rPr>
              <w:t>Under the CSA, psilocybin is currently a Schedule I drug.</w:t>
            </w:r>
            <w:r>
              <w:rPr>
                <w:rFonts w:ascii="Arial" w:cs="Arial" w:eastAsia="Arial" w:hAnsi="Arial"/>
                <w:sz w:val="15"/>
                <w:szCs w:val="15"/>
                <w:b w:val="1"/>
                <w:bCs w:val="1"/>
                <w:color w:val="auto"/>
              </w:rPr>
              <w:t>(4)</w:t>
            </w:r>
          </w:p>
        </w:tc>
        <w:tc>
          <w:tcPr>
            <w:tcW w:w="0" w:type="dxa"/>
            <w:vAlign w:val="bottom"/>
          </w:tcPr>
          <w:p>
            <w:pPr>
              <w:spacing w:after="0"/>
              <w:rPr>
                <w:sz w:val="1"/>
                <w:szCs w:val="1"/>
                <w:color w:val="auto"/>
              </w:rPr>
            </w:pPr>
          </w:p>
        </w:tc>
      </w:tr>
      <w:tr>
        <w:trPr>
          <w:trHeight w:val="323"/>
        </w:trPr>
        <w:tc>
          <w:tcPr>
            <w:tcW w:w="10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rPr>
              <w:t>Misuse of Drugs Regulations 2001 and the Misuse of Drugs</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rPr>
              <w:t>Regulations 2001</w:t>
            </w:r>
          </w:p>
        </w:tc>
        <w:tc>
          <w:tcPr>
            <w:tcW w:w="0" w:type="dxa"/>
            <w:vAlign w:val="bottom"/>
          </w:tcPr>
          <w:p>
            <w:pPr>
              <w:spacing w:after="0"/>
              <w:rPr>
                <w:sz w:val="1"/>
                <w:szCs w:val="1"/>
                <w:color w:val="auto"/>
              </w:rPr>
            </w:pPr>
          </w:p>
        </w:tc>
      </w:tr>
      <w:tr>
        <w:trPr>
          <w:trHeight w:val="338"/>
        </w:trPr>
        <w:tc>
          <w:tcPr>
            <w:tcW w:w="3080" w:type="dxa"/>
            <w:vAlign w:val="bottom"/>
            <w:gridSpan w:val="2"/>
          </w:tcPr>
          <w:p>
            <w:pPr>
              <w:spacing w:after="0"/>
              <w:rPr>
                <w:sz w:val="20"/>
                <w:szCs w:val="20"/>
                <w:color w:val="auto"/>
              </w:rPr>
            </w:pPr>
            <w:r>
              <w:rPr>
                <w:rFonts w:ascii="Arial" w:cs="Arial" w:eastAsia="Arial" w:hAnsi="Arial"/>
                <w:sz w:val="18"/>
                <w:szCs w:val="18"/>
                <w:color w:val="auto"/>
              </w:rPr>
              <w:t>Natures Journey</w:t>
            </w:r>
            <w:r>
              <w:rPr>
                <w:rFonts w:ascii="Arial" w:cs="Arial" w:eastAsia="Arial" w:hAnsi="Arial"/>
                <w:sz w:val="15"/>
                <w:szCs w:val="15"/>
                <w:b w:val="1"/>
                <w:bCs w:val="1"/>
                <w:color w:val="auto"/>
              </w:rPr>
              <w:t>(5)</w:t>
            </w:r>
          </w:p>
        </w:tc>
        <w:tc>
          <w:tcPr>
            <w:tcW w:w="2640" w:type="dxa"/>
            <w:vAlign w:val="bottom"/>
          </w:tcPr>
          <w:p>
            <w:pPr>
              <w:jc w:val="center"/>
              <w:spacing w:after="0"/>
              <w:rPr>
                <w:sz w:val="20"/>
                <w:szCs w:val="20"/>
                <w:color w:val="auto"/>
              </w:rPr>
            </w:pPr>
            <w:r>
              <w:rPr>
                <w:rFonts w:ascii="Arial" w:cs="Arial" w:eastAsia="Arial" w:hAnsi="Arial"/>
                <w:sz w:val="18"/>
                <w:szCs w:val="18"/>
                <w:color w:val="auto"/>
                <w:w w:val="87"/>
              </w:rPr>
              <w:t>Canada and the United States</w:t>
            </w:r>
          </w:p>
        </w:tc>
        <w:tc>
          <w:tcPr>
            <w:tcW w:w="5300" w:type="dxa"/>
            <w:vAlign w:val="bottom"/>
            <w:gridSpan w:val="2"/>
          </w:tcPr>
          <w:p>
            <w:pPr>
              <w:ind w:left="220"/>
              <w:spacing w:after="0"/>
              <w:rPr>
                <w:sz w:val="20"/>
                <w:szCs w:val="20"/>
                <w:color w:val="auto"/>
              </w:rPr>
            </w:pPr>
            <w:r>
              <w:rPr>
                <w:rFonts w:ascii="Arial" w:cs="Arial" w:eastAsia="Arial" w:hAnsi="Arial"/>
                <w:sz w:val="18"/>
                <w:szCs w:val="18"/>
                <w:i w:val="1"/>
                <w:iCs w:val="1"/>
                <w:color w:val="auto"/>
              </w:rPr>
              <w:t xml:space="preserve">Food and Drugs Act </w:t>
            </w: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338"/>
        </w:trPr>
        <w:tc>
          <w:tcPr>
            <w:tcW w:w="10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i w:val="1"/>
                <w:iCs w:val="1"/>
                <w:color w:val="auto"/>
              </w:rPr>
              <w:t>Dietary Supplement Health and Education Act of 1994</w:t>
            </w:r>
          </w:p>
        </w:tc>
        <w:tc>
          <w:tcPr>
            <w:tcW w:w="0" w:type="dxa"/>
            <w:vAlign w:val="bottom"/>
          </w:tcPr>
          <w:p>
            <w:pPr>
              <w:spacing w:after="0"/>
              <w:rPr>
                <w:sz w:val="1"/>
                <w:szCs w:val="1"/>
                <w:color w:val="auto"/>
              </w:rPr>
            </w:pPr>
          </w:p>
        </w:tc>
      </w:tr>
      <w:tr>
        <w:trPr>
          <w:trHeight w:val="338"/>
        </w:trPr>
        <w:tc>
          <w:tcPr>
            <w:tcW w:w="10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i w:val="1"/>
                <w:iCs w:val="1"/>
                <w:color w:val="auto"/>
              </w:rPr>
              <w:t>The Federal Food, Drug, and Cosmetic Act</w:t>
            </w:r>
          </w:p>
        </w:tc>
        <w:tc>
          <w:tcPr>
            <w:tcW w:w="0" w:type="dxa"/>
            <w:vAlign w:val="bottom"/>
          </w:tcPr>
          <w:p>
            <w:pPr>
              <w:spacing w:after="0"/>
              <w:rPr>
                <w:sz w:val="1"/>
                <w:szCs w:val="1"/>
                <w:color w:val="auto"/>
              </w:rPr>
            </w:pPr>
          </w:p>
        </w:tc>
      </w:tr>
      <w:tr>
        <w:trPr>
          <w:trHeight w:val="323"/>
        </w:trPr>
        <w:tc>
          <w:tcPr>
            <w:tcW w:w="3080" w:type="dxa"/>
            <w:vAlign w:val="bottom"/>
            <w:gridSpan w:val="2"/>
          </w:tcPr>
          <w:p>
            <w:pPr>
              <w:spacing w:after="0"/>
              <w:rPr>
                <w:sz w:val="20"/>
                <w:szCs w:val="20"/>
                <w:color w:val="auto"/>
              </w:rPr>
            </w:pPr>
            <w:r>
              <w:rPr>
                <w:rFonts w:ascii="Arial" w:cs="Arial" w:eastAsia="Arial" w:hAnsi="Arial"/>
                <w:sz w:val="18"/>
                <w:szCs w:val="18"/>
                <w:color w:val="auto"/>
              </w:rPr>
              <w:t>Jamaica Research &amp; Development</w:t>
            </w:r>
          </w:p>
        </w:tc>
        <w:tc>
          <w:tcPr>
            <w:tcW w:w="2640" w:type="dxa"/>
            <w:vAlign w:val="bottom"/>
          </w:tcPr>
          <w:p>
            <w:pPr>
              <w:jc w:val="center"/>
              <w:spacing w:after="0"/>
              <w:rPr>
                <w:sz w:val="20"/>
                <w:szCs w:val="20"/>
                <w:color w:val="auto"/>
              </w:rPr>
            </w:pPr>
            <w:r>
              <w:rPr>
                <w:rFonts w:ascii="Arial" w:cs="Arial" w:eastAsia="Arial" w:hAnsi="Arial"/>
                <w:sz w:val="18"/>
                <w:szCs w:val="18"/>
                <w:color w:val="auto"/>
                <w:w w:val="86"/>
              </w:rPr>
              <w:t>Jamaica</w:t>
            </w: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rPr>
              <w:t>Psilocybin mushrooms are not an illegal drug under Jamaica’s</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i w:val="1"/>
                <w:iCs w:val="1"/>
                <w:color w:val="auto"/>
              </w:rPr>
              <w:t>Dangerous Drugs Act, 1948</w:t>
            </w:r>
            <w:r>
              <w:rPr>
                <w:rFonts w:ascii="Arial" w:cs="Arial" w:eastAsia="Arial" w:hAnsi="Arial"/>
                <w:sz w:val="18"/>
                <w:szCs w:val="18"/>
                <w:color w:val="auto"/>
              </w:rPr>
              <w:t>.</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323"/>
        </w:trPr>
        <w:tc>
          <w:tcPr>
            <w:tcW w:w="10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w w:val="97"/>
              </w:rPr>
              <w:t>The Corporation’s activity in relation to the sponsored research of</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w w:val="92"/>
              </w:rPr>
              <w:t>psilocybin mushrooms, botanicals and other related fungi is limited to</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rPr>
              <w:t>the jurisdiction of Jamaica.</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Notes:</w:t>
      </w:r>
    </w:p>
    <w:p>
      <w:pPr>
        <w:spacing w:after="0" w:line="27" w:lineRule="exact"/>
        <w:rPr>
          <w:sz w:val="20"/>
          <w:szCs w:val="20"/>
          <w:color w:val="auto"/>
        </w:rPr>
      </w:pPr>
    </w:p>
    <w:p>
      <w:pPr>
        <w:ind w:left="560" w:hanging="444"/>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Business segment focuses on the research, development and commercialization of psychedelic-inspired regulation medicines.</w:t>
      </w:r>
    </w:p>
    <w:p>
      <w:pPr>
        <w:spacing w:after="0" w:line="9" w:lineRule="exact"/>
        <w:rPr>
          <w:rFonts w:ascii="Arial" w:cs="Arial" w:eastAsia="Arial" w:hAnsi="Arial"/>
          <w:sz w:val="18"/>
          <w:szCs w:val="18"/>
          <w:color w:val="auto"/>
        </w:rPr>
      </w:pPr>
    </w:p>
    <w:p>
      <w:pPr>
        <w:ind w:left="560" w:right="100" w:hanging="444"/>
        <w:spacing w:after="0" w:line="250" w:lineRule="auto"/>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In both Canada and the United States, the applicable federal government is responsible for regulating, among other things, the approval, import, sale and marketing of drugs, including any psychedelic substances, whether natural or novel. Health Canada and the FDA have not approved psilocybin as a drug for any indication. It is illegal to possess such substances without a prescription. The Corporation does not directly engage in any activities that would trigger the need to comply with any federal laws related to psychedelic substances. See </w:t>
      </w:r>
      <w:r>
        <w:rPr>
          <w:rFonts w:ascii="Arial" w:cs="Arial" w:eastAsia="Arial" w:hAnsi="Arial"/>
          <w:sz w:val="18"/>
          <w:szCs w:val="18"/>
          <w:i w:val="1"/>
          <w:iCs w:val="1"/>
          <w:color w:val="auto"/>
        </w:rPr>
        <w:t>“Regulatory Overview –</w:t>
      </w:r>
      <w:r>
        <w:rPr>
          <w:rFonts w:ascii="Arial" w:cs="Arial" w:eastAsia="Arial" w:hAnsi="Arial"/>
          <w:sz w:val="18"/>
          <w:szCs w:val="18"/>
          <w:color w:val="auto"/>
        </w:rPr>
        <w:t xml:space="preserve"> </w:t>
      </w:r>
      <w:r>
        <w:rPr>
          <w:rFonts w:ascii="Arial" w:cs="Arial" w:eastAsia="Arial" w:hAnsi="Arial"/>
          <w:sz w:val="18"/>
          <w:szCs w:val="18"/>
          <w:i w:val="1"/>
          <w:iCs w:val="1"/>
          <w:color w:val="auto"/>
        </w:rPr>
        <w:t>Research and Development”</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560" w:hanging="444"/>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For further information on the Canadian regulatory framework, see </w:t>
      </w:r>
      <w:r>
        <w:rPr>
          <w:rFonts w:ascii="Arial" w:cs="Arial" w:eastAsia="Arial" w:hAnsi="Arial"/>
          <w:sz w:val="18"/>
          <w:szCs w:val="18"/>
          <w:i w:val="1"/>
          <w:iCs w:val="1"/>
          <w:color w:val="auto"/>
        </w:rPr>
        <w:t>“Regulatory Overview – Canada – Psychedelics.”</w:t>
      </w:r>
    </w:p>
    <w:p>
      <w:pPr>
        <w:spacing w:after="0" w:line="9" w:lineRule="exact"/>
        <w:rPr>
          <w:rFonts w:ascii="Arial" w:cs="Arial" w:eastAsia="Arial" w:hAnsi="Arial"/>
          <w:sz w:val="18"/>
          <w:szCs w:val="18"/>
          <w:color w:val="auto"/>
        </w:rPr>
      </w:pPr>
    </w:p>
    <w:p>
      <w:pPr>
        <w:ind w:left="560" w:hanging="444"/>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For further information on the United States regulatory framework, see </w:t>
      </w:r>
      <w:r>
        <w:rPr>
          <w:rFonts w:ascii="Arial" w:cs="Arial" w:eastAsia="Arial" w:hAnsi="Arial"/>
          <w:sz w:val="18"/>
          <w:szCs w:val="18"/>
          <w:i w:val="1"/>
          <w:iCs w:val="1"/>
          <w:color w:val="auto"/>
        </w:rPr>
        <w:t>“Regulatory Overview – United States.”</w:t>
      </w:r>
    </w:p>
    <w:p>
      <w:pPr>
        <w:spacing w:after="0" w:line="9" w:lineRule="exact"/>
        <w:rPr>
          <w:rFonts w:ascii="Arial" w:cs="Arial" w:eastAsia="Arial" w:hAnsi="Arial"/>
          <w:sz w:val="18"/>
          <w:szCs w:val="18"/>
          <w:color w:val="auto"/>
        </w:rPr>
      </w:pPr>
    </w:p>
    <w:p>
      <w:pPr>
        <w:ind w:left="560" w:hanging="444"/>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Business segment focuses on consumer mental wellness, including non-psychedelic mushroom nutraceutical products.</w:t>
      </w:r>
    </w:p>
    <w:p>
      <w:pPr>
        <w:spacing w:after="0" w:line="9" w:lineRule="exact"/>
        <w:rPr>
          <w:rFonts w:ascii="Arial" w:cs="Arial" w:eastAsia="Arial" w:hAnsi="Arial"/>
          <w:sz w:val="18"/>
          <w:szCs w:val="18"/>
          <w:color w:val="auto"/>
        </w:rPr>
      </w:pPr>
    </w:p>
    <w:p>
      <w:pPr>
        <w:ind w:left="560" w:right="700" w:hanging="444"/>
        <w:spacing w:after="0" w:line="260" w:lineRule="auto"/>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Psilocybin mushrooms do not fall within the definition of a dangerous drug under the </w:t>
      </w:r>
      <w:r>
        <w:rPr>
          <w:rFonts w:ascii="Arial" w:cs="Arial" w:eastAsia="Arial" w:hAnsi="Arial"/>
          <w:sz w:val="18"/>
          <w:szCs w:val="18"/>
          <w:i w:val="1"/>
          <w:iCs w:val="1"/>
          <w:color w:val="auto"/>
        </w:rPr>
        <w:t>Dangerous Drugs Act</w:t>
      </w:r>
      <w:r>
        <w:rPr>
          <w:rFonts w:ascii="Arial" w:cs="Arial" w:eastAsia="Arial" w:hAnsi="Arial"/>
          <w:sz w:val="18"/>
          <w:szCs w:val="18"/>
          <w:color w:val="auto"/>
        </w:rPr>
        <w:t xml:space="preserve">, </w:t>
      </w:r>
      <w:r>
        <w:rPr>
          <w:rFonts w:ascii="Arial" w:cs="Arial" w:eastAsia="Arial" w:hAnsi="Arial"/>
          <w:sz w:val="18"/>
          <w:szCs w:val="18"/>
          <w:i w:val="1"/>
          <w:iCs w:val="1"/>
          <w:color w:val="auto"/>
        </w:rPr>
        <w:t>1948</w:t>
      </w:r>
      <w:r>
        <w:rPr>
          <w:rFonts w:ascii="Arial" w:cs="Arial" w:eastAsia="Arial" w:hAnsi="Arial"/>
          <w:sz w:val="18"/>
          <w:szCs w:val="18"/>
          <w:color w:val="auto"/>
        </w:rPr>
        <w:t xml:space="preserve"> in Jamaica. For further information on the Jamaica regulatory framework, see </w:t>
      </w:r>
      <w:r>
        <w:rPr>
          <w:rFonts w:ascii="Arial" w:cs="Arial" w:eastAsia="Arial" w:hAnsi="Arial"/>
          <w:sz w:val="18"/>
          <w:szCs w:val="18"/>
          <w:i w:val="1"/>
          <w:iCs w:val="1"/>
          <w:color w:val="auto"/>
        </w:rPr>
        <w:t>“Regulatory Overview – Jamaica.”</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08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4">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Canada</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Psychedelics</w:t>
      </w:r>
    </w:p>
    <w:p>
      <w:pPr>
        <w:spacing w:after="0" w:line="11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In Canada, oversight of healthcare is divided between the federal and provincial governments. The federal government is responsible for regulating, among other things, the approval, import, sale, and marketing of drugs such as psilocybin and other psychedelic substances,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spacing w:after="0" w:line="192" w:lineRule="exact"/>
        <w:rPr>
          <w:sz w:val="20"/>
          <w:szCs w:val="20"/>
          <w:color w:val="auto"/>
        </w:rPr>
      </w:pPr>
    </w:p>
    <w:p>
      <w:pPr>
        <w:ind w:left="120" w:right="320"/>
        <w:spacing w:after="0" w:line="257" w:lineRule="auto"/>
        <w:rPr>
          <w:sz w:val="20"/>
          <w:szCs w:val="20"/>
          <w:color w:val="auto"/>
        </w:rPr>
      </w:pPr>
      <w:r>
        <w:rPr>
          <w:rFonts w:ascii="Arial" w:cs="Arial" w:eastAsia="Arial" w:hAnsi="Arial"/>
          <w:sz w:val="18"/>
          <w:szCs w:val="18"/>
          <w:color w:val="auto"/>
        </w:rPr>
        <w:t>Certain psychoactive compounds, such as psilocybin, are considered controlled substances under Schedule III of the CDSA. In order to conduct any scientific research, including pre-clinical and clinical trials, using psychoactive compounds listed as controlled substances under the CDSA, an exemption under Section 56 of the CDSA (“</w:t>
      </w:r>
      <w:r>
        <w:rPr>
          <w:rFonts w:ascii="Arial" w:cs="Arial" w:eastAsia="Arial" w:hAnsi="Arial"/>
          <w:sz w:val="18"/>
          <w:szCs w:val="18"/>
          <w:b w:val="1"/>
          <w:bCs w:val="1"/>
          <w:color w:val="auto"/>
        </w:rPr>
        <w:t>Section 56 Exemption</w:t>
      </w:r>
      <w:r>
        <w:rPr>
          <w:rFonts w:ascii="Arial" w:cs="Arial" w:eastAsia="Arial" w:hAnsi="Arial"/>
          <w:sz w:val="18"/>
          <w:szCs w:val="18"/>
          <w:color w:val="auto"/>
        </w:rPr>
        <w:t>”) is required. This exemption allows the holder to possess and use the controlled substance without being subject to the restrictions set out in the CDSA. The Corporation has not applied for a Section 56 Exemption from Health Canada.</w:t>
      </w:r>
    </w:p>
    <w:p>
      <w:pPr>
        <w:spacing w:after="0" w:line="188"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 Products that contain a controlled substance such as psilocybin cannot be made, transported or sold without proper authorization from the government. A party can apply for a Dealer’s Licence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w:t>
      </w:r>
      <w:r>
        <w:rPr>
          <w:rFonts w:ascii="Arial" w:cs="Arial" w:eastAsia="Arial" w:hAnsi="Arial"/>
          <w:sz w:val="16"/>
          <w:szCs w:val="16"/>
          <w:i w:val="1"/>
          <w:iCs w:val="1"/>
          <w:color w:val="auto"/>
        </w:rPr>
        <w:t>Controlled Drugs and</w:t>
      </w:r>
      <w:r>
        <w:rPr>
          <w:rFonts w:ascii="Arial" w:cs="Arial" w:eastAsia="Arial" w:hAnsi="Arial"/>
          <w:sz w:val="16"/>
          <w:szCs w:val="16"/>
          <w:color w:val="auto"/>
        </w:rPr>
        <w:t xml:space="preserve"> </w:t>
      </w:r>
      <w:r>
        <w:rPr>
          <w:rFonts w:ascii="Arial" w:cs="Arial" w:eastAsia="Arial" w:hAnsi="Arial"/>
          <w:sz w:val="16"/>
          <w:szCs w:val="16"/>
          <w:i w:val="1"/>
          <w:iCs w:val="1"/>
          <w:color w:val="auto"/>
        </w:rPr>
        <w:t>Substances Act</w:t>
      </w:r>
      <w:r>
        <w:rPr>
          <w:rFonts w:ascii="Arial" w:cs="Arial" w:eastAsia="Arial" w:hAnsi="Arial"/>
          <w:sz w:val="16"/>
          <w:szCs w:val="16"/>
          <w:color w:val="auto"/>
        </w:rPr>
        <w:t>,</w:t>
      </w:r>
      <w:r>
        <w:rPr>
          <w:rFonts w:ascii="Arial" w:cs="Arial" w:eastAsia="Arial" w:hAnsi="Arial"/>
          <w:sz w:val="16"/>
          <w:szCs w:val="16"/>
          <w:i w:val="1"/>
          <w:iCs w:val="1"/>
          <w:color w:val="auto"/>
        </w:rPr>
        <w:t xml:space="preserve"> Food and Drugs Regulations</w:t>
      </w:r>
      <w:r>
        <w:rPr>
          <w:rFonts w:ascii="Arial" w:cs="Arial" w:eastAsia="Arial" w:hAnsi="Arial"/>
          <w:sz w:val="16"/>
          <w:szCs w:val="16"/>
          <w:color w:val="auto"/>
        </w:rPr>
        <w:t>) and subject to any restrictions placed on the licence by Health Canada, an entity with a Dealer’s Licence</w:t>
      </w:r>
    </w:p>
    <w:p>
      <w:pPr>
        <w:sectPr>
          <w:pgSz w:w="11900" w:h="16913" w:orient="portrait"/>
          <w:cols w:equalWidth="0" w:num="1">
            <w:col w:w="11140"/>
          </w:cols>
          <w:pgMar w:left="320" w:top="125" w:right="439" w:bottom="0" w:gutter="0" w:footer="0" w:header="0"/>
        </w:sectPr>
      </w:pPr>
    </w:p>
    <w:bookmarkStart w:id="45" w:name="page46"/>
    <w:bookmarkEnd w:id="45"/>
    <w:p>
      <w:pPr>
        <w:ind w:left="120" w:right="80"/>
        <w:spacing w:after="0" w:line="277" w:lineRule="auto"/>
        <w:rPr>
          <w:sz w:val="20"/>
          <w:szCs w:val="20"/>
          <w:color w:val="auto"/>
        </w:rPr>
      </w:pPr>
      <w:r>
        <w:rPr>
          <w:rFonts w:ascii="Arial" w:cs="Arial" w:eastAsia="Arial" w:hAnsi="Arial"/>
          <w:sz w:val="18"/>
          <w:szCs w:val="18"/>
          <w:color w:val="auto"/>
        </w:rPr>
        <w:t>may produce, assemble, sell, provide, transport, send, deliver, import or export a restricted drug (as listed in Part J in the Food and Drugs Regulations – which includes psilocybin and psilocin) (see s. J.01.009 (1) of the Food and Drug Regulations).</w:t>
      </w:r>
    </w:p>
    <w:p>
      <w:pPr>
        <w:spacing w:after="0" w:line="170"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Corporation intends to sponsor and work with licensed third parties to conduct any clinical trials and research and does not handle controlled substances. If the Corporation were to conduct this work without the reliance on third parties, it would need to obtain additional licences and approvals described above.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Non-Psychedelics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NHPs, prescription drugs, and non-prescription drugs are all classified and regulated under the Canadian FDA.</w:t>
      </w:r>
    </w:p>
    <w:p>
      <w:pPr>
        <w:spacing w:after="0" w:line="225"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The product safety, quality, manufacturing, packaging, labeling, storage, importation, advertising, distribution, sale and clinical trials of NHPs, drugs, cosmetics and foods are subject to regulation primarily under the Canadian FDA and associated regulations, including the Food and Drug Regulations, Cosmetic Regulations and the Natural Health Products Regulations, and related Health Canada guidance documents and policies (collectively, the “</w:t>
      </w:r>
      <w:r>
        <w:rPr>
          <w:rFonts w:ascii="Arial" w:cs="Arial" w:eastAsia="Arial" w:hAnsi="Arial"/>
          <w:sz w:val="16"/>
          <w:szCs w:val="16"/>
          <w:b w:val="1"/>
          <w:bCs w:val="1"/>
          <w:color w:val="auto"/>
        </w:rPr>
        <w:t>Canadian Regulations</w:t>
      </w:r>
      <w:r>
        <w:rPr>
          <w:rFonts w:ascii="Arial" w:cs="Arial" w:eastAsia="Arial" w:hAnsi="Arial"/>
          <w:sz w:val="16"/>
          <w:szCs w:val="16"/>
          <w:color w:val="auto"/>
        </w:rPr>
        <w:t xml:space="preserve">”). In addition, drugs and NHPs are regulated under the federal </w:t>
      </w:r>
      <w:r>
        <w:rPr>
          <w:rFonts w:ascii="Arial" w:cs="Arial" w:eastAsia="Arial" w:hAnsi="Arial"/>
          <w:sz w:val="16"/>
          <w:szCs w:val="16"/>
          <w:i w:val="1"/>
          <w:iCs w:val="1"/>
          <w:color w:val="auto"/>
        </w:rPr>
        <w:t>Controlled Drugs and Substances Act</w:t>
      </w:r>
      <w:r>
        <w:rPr>
          <w:rFonts w:ascii="Arial" w:cs="Arial" w:eastAsia="Arial" w:hAnsi="Arial"/>
          <w:sz w:val="16"/>
          <w:szCs w:val="16"/>
          <w:color w:val="auto"/>
        </w:rPr>
        <w:t xml:space="preserve"> if the product is considered a “controlled substance” or a “precursor,” as defined in that statute or in related regulatory provisions.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Health Canada is primarily responsible for administering the Canadian Regulations.</w:t>
      </w:r>
    </w:p>
    <w:p>
      <w:pPr>
        <w:spacing w:after="0" w:line="225"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Health Canada and the Canadian Regulations also set out requirements for establishment and site licences, market authorization for drugs and NHP licences. Each NHP must have a product licence or a Homeopathic</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14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5">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Medicine Number (“</w:t>
      </w:r>
      <w:r>
        <w:rPr>
          <w:rFonts w:ascii="Arial" w:cs="Arial" w:eastAsia="Arial" w:hAnsi="Arial"/>
          <w:sz w:val="17"/>
          <w:szCs w:val="17"/>
          <w:b w:val="1"/>
          <w:bCs w:val="1"/>
          <w:color w:val="auto"/>
        </w:rPr>
        <w:t>DIN-HM</w:t>
      </w:r>
      <w:r>
        <w:rPr>
          <w:rFonts w:ascii="Arial" w:cs="Arial" w:eastAsia="Arial" w:hAnsi="Arial"/>
          <w:sz w:val="17"/>
          <w:szCs w:val="17"/>
          <w:color w:val="auto"/>
        </w:rPr>
        <w:t>”) issued by Health Canada before it can be sold in Canada. Health Canada assigns a natural health product number</w:t>
      </w:r>
    </w:p>
    <w:p>
      <w:pPr>
        <w:spacing w:after="0" w:line="39" w:lineRule="exact"/>
        <w:rPr>
          <w:sz w:val="20"/>
          <w:szCs w:val="20"/>
          <w:color w:val="auto"/>
        </w:rPr>
      </w:pPr>
    </w:p>
    <w:p>
      <w:pPr>
        <w:ind w:left="120"/>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NPN</w:t>
      </w:r>
      <w:r>
        <w:rPr>
          <w:rFonts w:ascii="Arial" w:cs="Arial" w:eastAsia="Arial" w:hAnsi="Arial"/>
          <w:sz w:val="16"/>
          <w:szCs w:val="16"/>
          <w:color w:val="auto"/>
        </w:rPr>
        <w:t>”) to each NHP once Health Canada issues the licence for that NHP. The Canadian Regulations require that all drugs and NHPs be manufactured, packaged, labeled, imported, distributed and stored under Canadian Good Manufacturing Practices (“</w:t>
      </w:r>
      <w:r>
        <w:rPr>
          <w:rFonts w:ascii="Arial" w:cs="Arial" w:eastAsia="Arial" w:hAnsi="Arial"/>
          <w:sz w:val="16"/>
          <w:szCs w:val="16"/>
          <w:b w:val="1"/>
          <w:bCs w:val="1"/>
          <w:color w:val="auto"/>
        </w:rPr>
        <w:t>GMP</w:t>
      </w:r>
      <w:r>
        <w:rPr>
          <w:rFonts w:ascii="Arial" w:cs="Arial" w:eastAsia="Arial" w:hAnsi="Arial"/>
          <w:sz w:val="16"/>
          <w:szCs w:val="16"/>
          <w:color w:val="auto"/>
        </w:rPr>
        <w:t>”) or the equivalent thereto, and that all premises used for manufacturing, packaging, labeling and importing drugs and NHPs have a site licence (NHPs) or establishment licence (drugs), which requires GMP compliance. The Canadian Regulations also set out requirements for labeling, packaging, clinical trials and adverse reaction reporting.</w:t>
      </w:r>
    </w:p>
    <w:p>
      <w:pPr>
        <w:spacing w:after="0" w:line="161"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Health Canada and the Canadian Regulations, among other things, govern the manufacture, formulation, packaging, labeling, advertising and sale of NHPs and drugs, and regulate what may be represented on labels and in promotional materials regarding the claimed properties of products. The Canadian Regulations also require NHPs and drugs sold in Canada to affix a label showing specified information, such as the proper and common name of the medicinal and non- medicinal ingredients and their source, the name and address of the manufacturer/product licence holder, its lot number, adequate directions for use, a quantitative list of its medical ingredients and its expiration date. In addition, the Canadian Regulations require labeling to bear evidence of the marketing authorization as evidenced by the designation drug identification number, DIN-HM or NPN, followed by an eight-digit number assigned to the product and issued by Health Canada.</w:t>
      </w:r>
    </w:p>
    <w:p>
      <w:pPr>
        <w:spacing w:after="0" w:line="17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The Corporation’s expected nutraceutical products will be considered “food” and, as such, will be principally regulated under the Canadian FDA and the Canadian Regulations. The Corporation must ensure that the labelling, marketing and selling of any of its products comply with the Canadian FDA, including by ensuring that the Corporation’s products are not packaged or marketed in a manner that is misleading or deceptive to a consumer.</w:t>
      </w:r>
    </w:p>
    <w:p>
      <w:pPr>
        <w:spacing w:after="0" w:line="14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“Description of the Business—Research and Development”</w:t>
      </w:r>
      <w:r>
        <w:rPr>
          <w:rFonts w:ascii="Arial" w:cs="Arial" w:eastAsia="Arial" w:hAnsi="Arial"/>
          <w:sz w:val="18"/>
          <w:szCs w:val="18"/>
          <w:color w:val="auto"/>
        </w:rPr>
        <w:t xml:space="preserve"> in the Corporation’s Annual Information Form for additional information concerning the regulation applicable to the process required before prescription drug product candidates may be marketed in Canada.</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States</w:t>
      </w:r>
    </w:p>
    <w:p>
      <w:pPr>
        <w:spacing w:after="0" w:line="121"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The FDA and other federal, state, local and foreign regulatory agencies impose substantial requirements upon the clinical development, approval, labeling, manufacture, marketing and 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The Corporation intends to file an investigational new drug application (“</w:t>
      </w:r>
      <w:r>
        <w:rPr>
          <w:rFonts w:ascii="Arial" w:cs="Arial" w:eastAsia="Arial" w:hAnsi="Arial"/>
          <w:sz w:val="17"/>
          <w:szCs w:val="17"/>
          <w:b w:val="1"/>
          <w:bCs w:val="1"/>
          <w:color w:val="auto"/>
        </w:rPr>
        <w:t>IND</w:t>
      </w:r>
      <w:r>
        <w:rPr>
          <w:rFonts w:ascii="Arial" w:cs="Arial" w:eastAsia="Arial" w:hAnsi="Arial"/>
          <w:sz w:val="17"/>
          <w:szCs w:val="17"/>
          <w:color w:val="auto"/>
        </w:rPr>
        <w:t>”) with the FDA in the first half of 2021.</w:t>
      </w:r>
      <w:r>
        <w:rPr>
          <w:rFonts w:ascii="Arial" w:cs="Arial" w:eastAsia="Arial" w:hAnsi="Arial"/>
          <w:sz w:val="14"/>
          <w:szCs w:val="14"/>
          <w:color w:val="auto"/>
        </w:rPr>
        <w:t>6</w:t>
      </w:r>
    </w:p>
    <w:p>
      <w:pPr>
        <w:spacing w:after="0" w:line="177" w:lineRule="exact"/>
        <w:rPr>
          <w:sz w:val="20"/>
          <w:szCs w:val="20"/>
          <w:color w:val="auto"/>
        </w:rPr>
      </w:pPr>
    </w:p>
    <w:p>
      <w:pPr>
        <w:ind w:left="120" w:right="380"/>
        <w:spacing w:after="0" w:line="279" w:lineRule="auto"/>
        <w:rPr>
          <w:sz w:val="20"/>
          <w:szCs w:val="20"/>
          <w:color w:val="auto"/>
        </w:rPr>
      </w:pPr>
      <w:r>
        <w:rPr>
          <w:rFonts w:ascii="Arial" w:cs="Arial" w:eastAsia="Arial" w:hAnsi="Arial"/>
          <w:sz w:val="17"/>
          <w:szCs w:val="17"/>
          <w:color w:val="auto"/>
        </w:rPr>
        <w:t>Psilocybin, psilocin, dimethyltryptamine, and 5-Methoxy-N-N-dimethyltryptamine are strictly controlled under the CSA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CSA, including manufacturing and procurement quotas, security requirements and criteria for importation. Anyone wishing to conduct research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7715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8" w:lineRule="exact"/>
        <w:rPr>
          <w:sz w:val="20"/>
          <w:szCs w:val="20"/>
          <w:color w:val="auto"/>
        </w:rPr>
      </w:pPr>
    </w:p>
    <w:p>
      <w:pPr>
        <w:ind w:left="340" w:right="20" w:hanging="224"/>
        <w:spacing w:after="0" w:line="275"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7"/>
          <w:szCs w:val="17"/>
          <w:color w:val="auto"/>
        </w:rPr>
        <w:t>The Corporation has not yet held a pre-IND meeting with the FDA, in preparation for the filing of an IND application for the Sublingual Film. The Corporation has assumed that the FDA will grant such a Pre-IND meeting and that it will be able to complete the IND approval process; however, there is no guarantee that any such IND application will be accepted or granted by FDA. The Corporation has contracted with IntelgenX to develop a sublingual film formulation of psilocybin. IntelgenX has produced multiple formulation types but the final formulation has not been selected. Successful completion of formulation is necessary before clinical trials supplies can be provided to investigators.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14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7">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ind w:left="120" w:right="100"/>
        <w:spacing w:after="0" w:line="282" w:lineRule="auto"/>
        <w:rPr>
          <w:sz w:val="20"/>
          <w:szCs w:val="20"/>
          <w:color w:val="auto"/>
        </w:rPr>
      </w:pPr>
      <w:r>
        <w:rPr>
          <w:rFonts w:ascii="Arial" w:cs="Arial" w:eastAsia="Arial" w:hAnsi="Arial"/>
          <w:sz w:val="18"/>
          <w:szCs w:val="18"/>
          <w:color w:val="auto"/>
        </w:rPr>
        <w:t>substances listed in Schedule I under the CSA must register with the U.S. Drug Enforcement Administration (“</w:t>
      </w:r>
      <w:r>
        <w:rPr>
          <w:rFonts w:ascii="Arial" w:cs="Arial" w:eastAsia="Arial" w:hAnsi="Arial"/>
          <w:sz w:val="18"/>
          <w:szCs w:val="18"/>
          <w:b w:val="1"/>
          <w:bCs w:val="1"/>
          <w:color w:val="auto"/>
        </w:rPr>
        <w:t>DEA</w:t>
      </w:r>
      <w:r>
        <w:rPr>
          <w:rFonts w:ascii="Arial" w:cs="Arial" w:eastAsia="Arial" w:hAnsi="Arial"/>
          <w:sz w:val="18"/>
          <w:szCs w:val="18"/>
          <w:color w:val="auto"/>
        </w:rPr>
        <w:t>”), and obtain DEA approval of the research proposal.</w:t>
      </w:r>
    </w:p>
    <w:p>
      <w:pPr>
        <w:sectPr>
          <w:pgSz w:w="11900" w:h="16838" w:orient="portrait"/>
          <w:cols w:equalWidth="0" w:num="1">
            <w:col w:w="11100"/>
          </w:cols>
          <w:pgMar w:left="320" w:top="125" w:right="479" w:bottom="0" w:gutter="0" w:footer="0" w:header="0"/>
        </w:sectPr>
      </w:pPr>
    </w:p>
    <w:bookmarkStart w:id="46" w:name="page47"/>
    <w:bookmarkEnd w:id="46"/>
    <w:p>
      <w:pPr>
        <w:ind w:left="120" w:right="220"/>
        <w:spacing w:after="0" w:line="308" w:lineRule="auto"/>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i w:val="1"/>
          <w:iCs w:val="1"/>
          <w:color w:val="auto"/>
        </w:rPr>
        <w:t>“Description of the Business – Research and Development”</w:t>
      </w:r>
      <w:r>
        <w:rPr>
          <w:rFonts w:ascii="Arial" w:cs="Arial" w:eastAsia="Arial" w:hAnsi="Arial"/>
          <w:sz w:val="17"/>
          <w:szCs w:val="17"/>
          <w:color w:val="auto"/>
        </w:rPr>
        <w:t xml:space="preserve"> in the Corporation’s Annual Information Form for additional information concerning the regulation applicable to the process required before prescription drug product candidates may be marketed in the United States.</w:t>
      </w:r>
    </w:p>
    <w:p>
      <w:pPr>
        <w:spacing w:after="0" w:line="146"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 xml:space="preserve">The FDA also regulates the formulation, manufacturing, preparation, packaging, labeling, holding, and distribution of foods, drugs and dietary supplements under the </w:t>
      </w:r>
      <w:r>
        <w:rPr>
          <w:rFonts w:ascii="Arial" w:cs="Arial" w:eastAsia="Arial" w:hAnsi="Arial"/>
          <w:sz w:val="17"/>
          <w:szCs w:val="17"/>
          <w:i w:val="1"/>
          <w:iCs w:val="1"/>
          <w:color w:val="auto"/>
        </w:rPr>
        <w:t>Federal Food, Drug and Cosmetic Act</w:t>
      </w:r>
      <w:r>
        <w:rPr>
          <w:rFonts w:ascii="Arial" w:cs="Arial" w:eastAsia="Arial" w:hAnsi="Arial"/>
          <w:sz w:val="17"/>
          <w:szCs w:val="17"/>
          <w:color w:val="auto"/>
        </w:rPr>
        <w:t xml:space="preserve"> (“</w:t>
      </w:r>
      <w:r>
        <w:rPr>
          <w:rFonts w:ascii="Arial" w:cs="Arial" w:eastAsia="Arial" w:hAnsi="Arial"/>
          <w:sz w:val="17"/>
          <w:szCs w:val="17"/>
          <w:b w:val="1"/>
          <w:bCs w:val="1"/>
          <w:color w:val="auto"/>
        </w:rPr>
        <w:t>FFDCA</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Dietary Supplement Health and Education Act of 1994</w:t>
      </w:r>
      <w:r>
        <w:rPr>
          <w:rFonts w:ascii="Arial" w:cs="Arial" w:eastAsia="Arial" w:hAnsi="Arial"/>
          <w:sz w:val="17"/>
          <w:szCs w:val="17"/>
          <w:color w:val="auto"/>
        </w:rPr>
        <w:t xml:space="preserve"> (“</w:t>
      </w:r>
      <w:r>
        <w:rPr>
          <w:rFonts w:ascii="Arial" w:cs="Arial" w:eastAsia="Arial" w:hAnsi="Arial"/>
          <w:sz w:val="17"/>
          <w:szCs w:val="17"/>
          <w:b w:val="1"/>
          <w:bCs w:val="1"/>
          <w:color w:val="auto"/>
        </w:rPr>
        <w:t>DSHEA</w:t>
      </w:r>
      <w:r>
        <w:rPr>
          <w:rFonts w:ascii="Arial" w:cs="Arial" w:eastAsia="Arial" w:hAnsi="Arial"/>
          <w:sz w:val="17"/>
          <w:szCs w:val="17"/>
          <w:color w:val="auto"/>
        </w:rPr>
        <w:t>”). “Dietary supplements” are defined as vitamins, minerals, herbs, other botanicals, amino acids and other dietary substances for human use to supplement the diet, as well as concentrates, metabolites, constituents, extracts or combinations of such dietary ingredients. Generally, under DSHEA, dietary ingredients that were on the market prior to October 15, 1994 may be used in dietary supplements without notifying the FDA. New dietary ingredients (i.e., not marketed in the U.S. prior to October 15, 1994) must be the subject of a new dietary ingredient notification submitted to the FDA unless the ingredient has been “present in the food supply as an article used for food” without being “chemically altered.” A new dietary ingredient notification must provide the FDA with evidence of a “history of use or other evidence of safety” establishing that use of the dietary ingredient, when used under the conditions recommended or suggested in the labeling of the dietary supplement, “will reasonably be expected to be safe.” A new dietary ingredient notification must be submitted to the FDA at least 75 days before the initial marketing of the new dietary ingredient. There can be no assurance that the FDA will accept the evidence of safety for any new dietary ingredients that the Corporation may want to market, and the FDA’s refusal to accept such evidence could prevent the marketing of such dietary ingredients.</w:t>
      </w:r>
    </w:p>
    <w:p>
      <w:pPr>
        <w:spacing w:after="0" w:line="17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The DSHEA revised the provisions of the FFDCA concerning the composition and labeling of dietary supplement ingredients and products. Under the DSHEA, dietary supplement labeling must include the statement of identity (name of the dietary supplement), the net quantity of contents statement (amount of the dietary supplement), the nutrition labeling, the ingredient list, and the name and place of business of the manufacturer, packer, or distributor. The DSHEA also states that dietary supplements may display “statements of nutritional support,” provided certain requirements are met. Such statements must be submitted to the FDA within 30 days of first use in marketing and must be accompanied by a label disclosure that “This statement has not been evaluated by the Food and Drug Administration. This product is not intended to diagnose, treat, cure, or prevent any disease.” Such statements may describe how a particular dietary ingredient affects the structure, function or general well-being of the body, or the mechanism of action by which a dietary ingredient may affect body structure, function or well-being, but may not expressly or implicitly represent that a dietary supplement will diagnose, cure, mitigate, treat, or prevent a disease. Any statement of nutritional support the Corporation makes in labeling must possess scientific evidence substantiating that the statement is truthful and not misleading. If the FDA were to determine that a particular statement of nutritional support was an unacceptable drug claim or an unauthorized version of a health claim about disease risk reduction for a food product, or if the FDA were to determine that a particular claim was not adequately supported by existing scientific data or was false or misleading, the Corporation would be prevented from using that claim. In addition, the FDA deems promotional and internet materials as labeling; therefore, the Corporation’s promotional and internet materials must comply with FDA requirements and could be the subject of regulatory action by the FDA, or by the Federal Trade Commission (the “</w:t>
      </w:r>
      <w:r>
        <w:rPr>
          <w:rFonts w:ascii="Arial" w:cs="Arial" w:eastAsia="Arial" w:hAnsi="Arial"/>
          <w:sz w:val="17"/>
          <w:szCs w:val="17"/>
          <w:b w:val="1"/>
          <w:bCs w:val="1"/>
          <w:color w:val="auto"/>
        </w:rPr>
        <w:t>FTC</w:t>
      </w:r>
      <w:r>
        <w:rPr>
          <w:rFonts w:ascii="Arial" w:cs="Arial" w:eastAsia="Arial" w:hAnsi="Arial"/>
          <w:sz w:val="17"/>
          <w:szCs w:val="17"/>
          <w:color w:val="auto"/>
        </w:rPr>
        <w:t>”) if that agency or other governmental authorities, reviewing the materials as advertising, considers the materials false and misleading.</w:t>
      </w:r>
    </w:p>
    <w:p>
      <w:pPr>
        <w:spacing w:after="0" w:line="180" w:lineRule="exact"/>
        <w:rPr>
          <w:sz w:val="20"/>
          <w:szCs w:val="20"/>
          <w:color w:val="auto"/>
        </w:rPr>
      </w:pPr>
    </w:p>
    <w:p>
      <w:pPr>
        <w:ind w:left="120" w:right="240"/>
        <w:spacing w:after="0" w:line="301" w:lineRule="auto"/>
        <w:rPr>
          <w:sz w:val="20"/>
          <w:szCs w:val="20"/>
          <w:color w:val="auto"/>
        </w:rPr>
      </w:pPr>
      <w:r>
        <w:rPr>
          <w:rFonts w:ascii="Arial" w:cs="Arial" w:eastAsia="Arial" w:hAnsi="Arial"/>
          <w:sz w:val="16"/>
          <w:szCs w:val="16"/>
          <w:color w:val="auto"/>
        </w:rPr>
        <w:t>U.S. laws also require recordkeeping and reporting to the FDA of all serious adverse events involving dietary supplements products. The Corporation will need to comply with such recordkeeping and reporting requirements, and implement procedures governing adverse event identification, investigation and reporting. As a result of reported adverse events, health and safety risks or violations of applicable laws and regulations, the Corporation may from time to time elect, or be required, to recall, withdraw or remove a product from a market, either temporarily or permanently.</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08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8">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20" w:right="180"/>
        <w:spacing w:after="0" w:line="254" w:lineRule="auto"/>
        <w:rPr>
          <w:sz w:val="20"/>
          <w:szCs w:val="20"/>
          <w:color w:val="auto"/>
        </w:rPr>
      </w:pPr>
      <w:r>
        <w:rPr>
          <w:rFonts w:ascii="Arial" w:cs="Arial" w:eastAsia="Arial" w:hAnsi="Arial"/>
          <w:sz w:val="18"/>
          <w:szCs w:val="18"/>
          <w:color w:val="auto"/>
        </w:rPr>
        <w:t xml:space="preserve">The Corporation’s expected nutraceutical products will be considered “food” and must be labeled as such. Within the U.S., this category of products is subject to the federal </w:t>
      </w:r>
      <w:r>
        <w:rPr>
          <w:rFonts w:ascii="Arial" w:cs="Arial" w:eastAsia="Arial" w:hAnsi="Arial"/>
          <w:sz w:val="18"/>
          <w:szCs w:val="18"/>
          <w:i w:val="1"/>
          <w:iCs w:val="1"/>
          <w:color w:val="auto"/>
        </w:rPr>
        <w:t>Nutrition, Labeling and Education Act</w:t>
      </w:r>
      <w:r>
        <w:rPr>
          <w:rFonts w:ascii="Arial" w:cs="Arial" w:eastAsia="Arial" w:hAnsi="Arial"/>
          <w:sz w:val="18"/>
          <w:szCs w:val="18"/>
          <w:color w:val="auto"/>
        </w:rPr>
        <w:t xml:space="preserve"> (“</w:t>
      </w:r>
      <w:r>
        <w:rPr>
          <w:rFonts w:ascii="Arial" w:cs="Arial" w:eastAsia="Arial" w:hAnsi="Arial"/>
          <w:sz w:val="18"/>
          <w:szCs w:val="18"/>
          <w:b w:val="1"/>
          <w:bCs w:val="1"/>
          <w:color w:val="auto"/>
        </w:rPr>
        <w:t>NLEA</w:t>
      </w:r>
      <w:r>
        <w:rPr>
          <w:rFonts w:ascii="Arial" w:cs="Arial" w:eastAsia="Arial" w:hAnsi="Arial"/>
          <w:sz w:val="18"/>
          <w:szCs w:val="18"/>
          <w:color w:val="auto"/>
        </w:rPr>
        <w:t xml:space="preserve">”), and regulations promulgated under the NLEA. The NLEA regulates health claims, ingredient labeling and nutrient content claims characterizing the level of a nutrient in the product. The ingredients in conventional foods must either be generally recognized as safe by experts for the purposes to which they are put in foods, or be approved as food additives under FDA regulations. If the Corporation’s expected nutraceutical products were regulated as foods, it would be required to comply with the </w:t>
      </w:r>
      <w:r>
        <w:rPr>
          <w:rFonts w:ascii="Arial" w:cs="Arial" w:eastAsia="Arial" w:hAnsi="Arial"/>
          <w:sz w:val="18"/>
          <w:szCs w:val="18"/>
          <w:i w:val="1"/>
          <w:iCs w:val="1"/>
          <w:color w:val="auto"/>
        </w:rPr>
        <w:t>Federal Food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Safety &amp; Modernization Act </w:t>
      </w:r>
      <w:r>
        <w:rPr>
          <w:rFonts w:ascii="Arial" w:cs="Arial" w:eastAsia="Arial" w:hAnsi="Arial"/>
          <w:sz w:val="18"/>
          <w:szCs w:val="18"/>
          <w:color w:val="auto"/>
        </w:rPr>
        <w:t>and applicable regulations. The Corporation would be required to provide foreign supplier certifications evidencing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Corporation’s compliance with FDA requirements.</w:t>
      </w:r>
    </w:p>
    <w:p>
      <w:pPr>
        <w:spacing w:after="0" w:line="195"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The FDA has broad authority to enforce the provisions of the FFDCA applicable to foods, drugs, dietary supplements, and cosmetics, including powers to issue a public warning letter to a company, to publicize information about illegal or harmful products, to request a recall of products from the market, and to request the United States Department of Justice to initiate a seizure action, an injunction action, or a criminal prosecution in the U. S. courts. The Corporation could be subject to fines and penalties, including under administrative, civil and criminal laws for violating U.S. laws and regulations, and the Corporation’s expected nutraceutical products could be banned or subject to recall from the marketplace. The Corporation could also be subject to possible business and consumer claims under applicable statutory, product liability and common laws.</w:t>
      </w:r>
    </w:p>
    <w:p>
      <w:pPr>
        <w:spacing w:after="0" w:line="178"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FTC will exercise jurisdiction over the advertising of the Corporation’s expected nutraceutical products in the United States. The FTC has in the past instituted enforcement actions against several dietary supplement and food companies and against manufacturers of dietary supplement products, including for false and misleading advertising, label claims or product promotional claims. In addition, the FTC has increased its scrutiny of the use of testimonials, which the Corporation may utilize, as well as the role of endorsements and product clinical studies. The Corporation cannot be sure that the FTC, or comparable foreign agencies, will not question the Corporation’s advertising, product claims, promotional materials or other operations in the future. The FTC has broad authority to enforce its laws and regulations, including the ability to institute enforcement actions that could result in recall actions, consent decrees, injunctions, and civil and criminal penalties by the companies involved. Failure to comply with the FTC’s laws and regulations could impair the Corporation’s ability to market the Corporation’s expected nutraceutical products.</w:t>
      </w:r>
    </w:p>
    <w:p>
      <w:pPr>
        <w:spacing w:after="0" w:line="165"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Corporation will also be subject to regulation under various state and local laws, ordinances and regulations that include provisions governing, among other things, the registration, formulation, manufacturing, packaging, labeling, advertising, sale and distribution of foods and dietary supplements. In addition, in the future, the Corporation may become subject to additional laws or regulations administered by the FDA or by other federal, state, local or foreign governmental authorities, to the repeal of laws or regulations that the Corporation considers favorable, or to more stringent interpretations of current laws or regulations. In the future, the Corporation believes that the dietary supplement industry will likely face increased scrutiny from federal, state and local governmental authorities. It is difficult to predict the effect future laws, regulations, repeals or interpretations will have on the Corporation’s business. However, such changes could require the reformulation of products, recalls or discontinuance of products, additional administrative requirements, revised or additional labeling, increased scientific substantiation or other requirements. Any such changes could have a material adverse effect on the Corporation’s business or financial performance.</w:t>
      </w:r>
    </w:p>
    <w:p>
      <w:pPr>
        <w:sectPr>
          <w:pgSz w:w="11900" w:h="16838" w:orient="portrait"/>
          <w:cols w:equalWidth="0" w:num="1">
            <w:col w:w="11120"/>
          </w:cols>
          <w:pgMar w:left="320" w:top="125" w:right="459" w:bottom="0" w:gutter="0" w:footer="0" w:header="0"/>
        </w:sectPr>
      </w:pPr>
    </w:p>
    <w:bookmarkStart w:id="47" w:name="page48"/>
    <w:bookmarkEnd w:id="47"/>
    <w:p>
      <w:pPr>
        <w:ind w:left="120"/>
        <w:spacing w:after="0"/>
        <w:rPr>
          <w:sz w:val="20"/>
          <w:szCs w:val="20"/>
          <w:color w:val="auto"/>
        </w:rPr>
      </w:pPr>
      <w:r>
        <w:rPr>
          <w:rFonts w:ascii="Arial" w:cs="Arial" w:eastAsia="Arial" w:hAnsi="Arial"/>
          <w:sz w:val="18"/>
          <w:szCs w:val="18"/>
          <w:b w:val="1"/>
          <w:bCs w:val="1"/>
          <w:color w:val="auto"/>
        </w:rPr>
        <w:t>Jamaica</w:t>
      </w:r>
    </w:p>
    <w:p>
      <w:pPr>
        <w:spacing w:after="0" w:line="117" w:lineRule="exact"/>
        <w:rPr>
          <w:sz w:val="20"/>
          <w:szCs w:val="20"/>
          <w:color w:val="auto"/>
        </w:rPr>
      </w:pPr>
    </w:p>
    <w:p>
      <w:pPr>
        <w:ind w:left="120" w:right="40"/>
        <w:spacing w:after="0" w:line="303" w:lineRule="auto"/>
        <w:rPr>
          <w:sz w:val="20"/>
          <w:szCs w:val="20"/>
          <w:color w:val="auto"/>
        </w:rPr>
      </w:pPr>
      <w:r>
        <w:rPr>
          <w:rFonts w:ascii="Arial" w:cs="Arial" w:eastAsia="Arial" w:hAnsi="Arial"/>
          <w:sz w:val="16"/>
          <w:szCs w:val="16"/>
          <w:color w:val="auto"/>
        </w:rPr>
        <w:t xml:space="preserve">Psilocybin mushrooms do not fall within the definition of a dangerous drug under the </w:t>
      </w:r>
      <w:r>
        <w:rPr>
          <w:rFonts w:ascii="Arial" w:cs="Arial" w:eastAsia="Arial" w:hAnsi="Arial"/>
          <w:sz w:val="16"/>
          <w:szCs w:val="16"/>
          <w:i w:val="1"/>
          <w:iCs w:val="1"/>
          <w:color w:val="auto"/>
        </w:rPr>
        <w:t>Dangerous Drugs Act</w:t>
      </w:r>
      <w:r>
        <w:rPr>
          <w:rFonts w:ascii="Arial" w:cs="Arial" w:eastAsia="Arial" w:hAnsi="Arial"/>
          <w:sz w:val="16"/>
          <w:szCs w:val="16"/>
          <w:color w:val="auto"/>
        </w:rPr>
        <w:t xml:space="preserve"> (the “</w:t>
      </w:r>
      <w:r>
        <w:rPr>
          <w:rFonts w:ascii="Arial" w:cs="Arial" w:eastAsia="Arial" w:hAnsi="Arial"/>
          <w:sz w:val="16"/>
          <w:szCs w:val="16"/>
          <w:b w:val="1"/>
          <w:bCs w:val="1"/>
          <w:color w:val="auto"/>
        </w:rPr>
        <w:t>DDA</w:t>
      </w:r>
      <w:r>
        <w:rPr>
          <w:rFonts w:ascii="Arial" w:cs="Arial" w:eastAsia="Arial" w:hAnsi="Arial"/>
          <w:sz w:val="16"/>
          <w:szCs w:val="16"/>
          <w:color w:val="auto"/>
        </w:rPr>
        <w:t>”) in Jamaica. The Corporation’s future business activities in Jamaica involve the import of psychedelic and pharmaceutical based medicines (derived from mushrooms) for the purposes of conducting research and development as well as testing on human subjects i.e., clinical trials in Jamaica. It is intended that the clinical trials will be conducted by the University of West Indies (“</w:t>
      </w:r>
      <w:r>
        <w:rPr>
          <w:rFonts w:ascii="Arial" w:cs="Arial" w:eastAsia="Arial" w:hAnsi="Arial"/>
          <w:sz w:val="16"/>
          <w:szCs w:val="16"/>
          <w:b w:val="1"/>
          <w:bCs w:val="1"/>
          <w:color w:val="auto"/>
        </w:rPr>
        <w:t>UWI</w:t>
      </w:r>
      <w:r>
        <w:rPr>
          <w:rFonts w:ascii="Arial" w:cs="Arial" w:eastAsia="Arial" w:hAnsi="Arial"/>
          <w:sz w:val="16"/>
          <w:szCs w:val="16"/>
          <w:color w:val="auto"/>
        </w:rPr>
        <w:t>”) and the Corporation will act as a sponsor (the “</w:t>
      </w:r>
      <w:r>
        <w:rPr>
          <w:rFonts w:ascii="Arial" w:cs="Arial" w:eastAsia="Arial" w:hAnsi="Arial"/>
          <w:sz w:val="16"/>
          <w:szCs w:val="16"/>
          <w:b w:val="1"/>
          <w:bCs w:val="1"/>
          <w:color w:val="auto"/>
        </w:rPr>
        <w:t>Clinical Trials</w:t>
      </w:r>
      <w:r>
        <w:rPr>
          <w:rFonts w:ascii="Arial" w:cs="Arial" w:eastAsia="Arial" w:hAnsi="Arial"/>
          <w:sz w:val="16"/>
          <w:szCs w:val="16"/>
          <w:color w:val="auto"/>
        </w:rPr>
        <w:t>”).</w:t>
      </w:r>
    </w:p>
    <w:p>
      <w:pPr>
        <w:spacing w:after="0" w:line="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08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9">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jc w:val="both"/>
        <w:ind w:left="120" w:right="160"/>
        <w:spacing w:after="0" w:line="259" w:lineRule="auto"/>
        <w:rPr>
          <w:sz w:val="20"/>
          <w:szCs w:val="20"/>
          <w:color w:val="auto"/>
        </w:rPr>
      </w:pPr>
      <w:r>
        <w:rPr>
          <w:rFonts w:ascii="Arial" w:cs="Arial" w:eastAsia="Arial" w:hAnsi="Arial"/>
          <w:sz w:val="18"/>
          <w:szCs w:val="18"/>
          <w:color w:val="auto"/>
        </w:rPr>
        <w:t>The process of conducting clinical trials in Jamaica is governed by the Ministry of Health, Jamaica Guidelines for the Conduct of Research on Human Subjects (the “</w:t>
      </w:r>
      <w:r>
        <w:rPr>
          <w:rFonts w:ascii="Arial" w:cs="Arial" w:eastAsia="Arial" w:hAnsi="Arial"/>
          <w:sz w:val="18"/>
          <w:szCs w:val="18"/>
          <w:b w:val="1"/>
          <w:bCs w:val="1"/>
          <w:color w:val="auto"/>
        </w:rPr>
        <w:t>Guidelines</w:t>
      </w:r>
      <w:r>
        <w:rPr>
          <w:rFonts w:ascii="Arial" w:cs="Arial" w:eastAsia="Arial" w:hAnsi="Arial"/>
          <w:sz w:val="18"/>
          <w:szCs w:val="18"/>
          <w:color w:val="auto"/>
        </w:rPr>
        <w:t>”). The Corporation and the UWI would be required to ensure that the clinical trials are being conducted in accordance with these Guidelines. The Guidelines provide that prior to conducting research on human subjects, all researchers (i.e., academics, scientists, students, and investigators) are required to prepare a research protocol/proposal.</w:t>
      </w:r>
    </w:p>
    <w:p>
      <w:pPr>
        <w:spacing w:after="0" w:line="18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Research protocols should be submitted to the Medical Officer of Health in the parish where the proposed research is to be conducted, for evaluation of the ethical and scientific merits. Where the site of the proposed research includes a hospital, the Senior Medical Officer of the facility should also receive a copy of the research protocol, and his/her approval to conduct the study should be obtained.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xml:space="preserve">The regulation of the sale, manufacturing, importation and distribution of drugs in Jamaica is largely governed by the </w:t>
      </w:r>
      <w:r>
        <w:rPr>
          <w:rFonts w:ascii="Arial" w:cs="Arial" w:eastAsia="Arial" w:hAnsi="Arial"/>
          <w:sz w:val="17"/>
          <w:szCs w:val="17"/>
          <w:i w:val="1"/>
          <w:iCs w:val="1"/>
          <w:color w:val="auto"/>
        </w:rPr>
        <w:t>Food &amp; Drugs Act, 1964</w:t>
      </w:r>
      <w:r>
        <w:rPr>
          <w:rFonts w:ascii="Arial" w:cs="Arial" w:eastAsia="Arial" w:hAnsi="Arial"/>
          <w:sz w:val="17"/>
          <w:szCs w:val="17"/>
          <w:color w:val="auto"/>
        </w:rPr>
        <w:t xml:space="preserve"> (the</w:t>
      </w:r>
    </w:p>
    <w:p>
      <w:pPr>
        <w:spacing w:after="0" w:line="35"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Jamaica FDA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Food and Drugs Regulations</w:t>
      </w:r>
      <w:r>
        <w:rPr>
          <w:rFonts w:ascii="Arial" w:cs="Arial" w:eastAsia="Arial" w:hAnsi="Arial"/>
          <w:sz w:val="18"/>
          <w:szCs w:val="18"/>
          <w:color w:val="auto"/>
        </w:rPr>
        <w:t xml:space="preserve">, </w:t>
      </w:r>
      <w:r>
        <w:rPr>
          <w:rFonts w:ascii="Arial" w:cs="Arial" w:eastAsia="Arial" w:hAnsi="Arial"/>
          <w:sz w:val="18"/>
          <w:szCs w:val="18"/>
          <w:i w:val="1"/>
          <w:iCs w:val="1"/>
          <w:color w:val="auto"/>
        </w:rPr>
        <w:t>1975</w:t>
      </w:r>
      <w:r>
        <w:rPr>
          <w:rFonts w:ascii="Arial" w:cs="Arial" w:eastAsia="Arial" w:hAnsi="Arial"/>
          <w:sz w:val="18"/>
          <w:szCs w:val="18"/>
          <w:color w:val="auto"/>
        </w:rPr>
        <w:t xml:space="preserve"> (the “</w:t>
      </w:r>
      <w:r>
        <w:rPr>
          <w:rFonts w:ascii="Arial" w:cs="Arial" w:eastAsia="Arial" w:hAnsi="Arial"/>
          <w:sz w:val="18"/>
          <w:szCs w:val="18"/>
          <w:b w:val="1"/>
          <w:bCs w:val="1"/>
          <w:color w:val="auto"/>
        </w:rPr>
        <w:t>Regulations</w:t>
      </w:r>
      <w:r>
        <w:rPr>
          <w:rFonts w:ascii="Arial" w:cs="Arial" w:eastAsia="Arial" w:hAnsi="Arial"/>
          <w:sz w:val="18"/>
          <w:szCs w:val="18"/>
          <w:color w:val="auto"/>
        </w:rPr>
        <w:t>”). Section 4 of the Jamaica FDA prohibits the importation of any drug into Jamaica unless it conforms to the law of the country in which it was manufactured or produced and is accompanied by a certificate declaring that the drug does not contravene any known laws of that country and that its sale therein for consumption or use by or for man or animal, as the case may be, would not constitute a violation of the laws of that country.</w:t>
      </w:r>
    </w:p>
    <w:p>
      <w:pPr>
        <w:spacing w:after="0" w:line="193"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Regulation 40 stipulates that, a person shall not sell, manufacture, import or distribute a drug unless that drug has been registered with the MOH. The Regulations further state that a permit must be obtained from the Ministry of Health Jamaica (“</w:t>
      </w:r>
      <w:r>
        <w:rPr>
          <w:rFonts w:ascii="Arial" w:cs="Arial" w:eastAsia="Arial" w:hAnsi="Arial"/>
          <w:sz w:val="18"/>
          <w:szCs w:val="18"/>
          <w:b w:val="1"/>
          <w:bCs w:val="1"/>
          <w:color w:val="auto"/>
        </w:rPr>
        <w:t>MOH</w:t>
      </w:r>
      <w:r>
        <w:rPr>
          <w:rFonts w:ascii="Arial" w:cs="Arial" w:eastAsia="Arial" w:hAnsi="Arial"/>
          <w:sz w:val="18"/>
          <w:szCs w:val="18"/>
          <w:color w:val="auto"/>
        </w:rPr>
        <w:t>”) for the sale, manufacturing, importation and distribution of drugs into Jamaica. Additionally, Regulation 65 states that a person shall not import, sell, advertise for sale, or manufacture a new drug in Jamaica unless that person has obtained a licence from the MOH.</w:t>
      </w:r>
    </w:p>
    <w:p>
      <w:pPr>
        <w:spacing w:after="0" w:line="18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Failure to comply with section 4 of the Jamaica FDA shall result in such person being guilty of an offence and liable to a fine not exceeding J$1,000,000 (approximately US$6,711) or to imprisonment with or without hard labour for a term not exceeding twelve months. Where a person committing an offence under the Jamaica FDA is a corporation, the chairman, president, the officers and every director thereof concerned in the management of such corporation, shall also be guilty of the same offence unless he/she proves that the act or omission constituting the offence took place without his/her knowledge or that he/she exercised all due diligence to prevent the commission thereof.</w:t>
      </w:r>
    </w:p>
    <w:p>
      <w:pPr>
        <w:spacing w:after="0" w:line="176"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Regulation 87 provides that any person who fails to comply with the Regulations shall be guilty of an offence and shall be liable to a fine not exceeding J$2,000 (approximately US$13) or to imprisonment for a term not exceeding twelve months.</w:t>
      </w:r>
    </w:p>
    <w:p>
      <w:pPr>
        <w:spacing w:after="0" w:line="166" w:lineRule="exact"/>
        <w:rPr>
          <w:sz w:val="20"/>
          <w:szCs w:val="20"/>
          <w:color w:val="auto"/>
        </w:rPr>
      </w:pPr>
    </w:p>
    <w:p>
      <w:pPr>
        <w:ind w:left="120" w:right="20"/>
        <w:spacing w:after="0" w:line="266" w:lineRule="auto"/>
        <w:rPr>
          <w:sz w:val="20"/>
          <w:szCs w:val="20"/>
          <w:color w:val="auto"/>
        </w:rPr>
      </w:pPr>
      <w:r>
        <w:rPr>
          <w:rFonts w:ascii="Arial" w:cs="Arial" w:eastAsia="Arial" w:hAnsi="Arial"/>
          <w:sz w:val="18"/>
          <w:szCs w:val="18"/>
          <w:color w:val="auto"/>
        </w:rPr>
        <w:t xml:space="preserve">In the event that the Clinical Trials include the preparation and manufacture of precursor chemicals, then the </w:t>
      </w:r>
      <w:r>
        <w:rPr>
          <w:rFonts w:ascii="Arial" w:cs="Arial" w:eastAsia="Arial" w:hAnsi="Arial"/>
          <w:sz w:val="18"/>
          <w:szCs w:val="18"/>
          <w:i w:val="1"/>
          <w:iCs w:val="1"/>
          <w:color w:val="auto"/>
        </w:rPr>
        <w:t>Precursor Chemicals Act</w:t>
      </w:r>
      <w:r>
        <w:rPr>
          <w:rFonts w:ascii="Arial" w:cs="Arial" w:eastAsia="Arial" w:hAnsi="Arial"/>
          <w:sz w:val="18"/>
          <w:szCs w:val="18"/>
          <w:color w:val="auto"/>
        </w:rPr>
        <w:t xml:space="preserve"> (the “</w:t>
      </w:r>
      <w:r>
        <w:rPr>
          <w:rFonts w:ascii="Arial" w:cs="Arial" w:eastAsia="Arial" w:hAnsi="Arial"/>
          <w:sz w:val="18"/>
          <w:szCs w:val="18"/>
          <w:b w:val="1"/>
          <w:bCs w:val="1"/>
          <w:color w:val="auto"/>
        </w:rPr>
        <w:t>PCA</w:t>
      </w:r>
      <w:r>
        <w:rPr>
          <w:rFonts w:ascii="Arial" w:cs="Arial" w:eastAsia="Arial" w:hAnsi="Arial"/>
          <w:sz w:val="18"/>
          <w:szCs w:val="18"/>
          <w:color w:val="auto"/>
        </w:rPr>
        <w:t>”) may be applicable to the Clinical Trials. As per section 6 of the PCA, any person who proposes to engage in any prescribed activity shall apply to the Pharmaceutical &amp; Regulatory Affairs Department of the MOH for a licence to engage in such prescribed activity.</w:t>
      </w:r>
    </w:p>
    <w:p>
      <w:pPr>
        <w:spacing w:after="0" w:line="180"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Section 23 under the PCA stipulates that any person who engages in any prescribed activity without obtaining the requisite licence shall be guilty of an offence and liable to a fine not exceeding J$3,000,000 (approximately US$20,134) or to imprisonment for a term not exceeding three years or to both such fine and imprisonment.</w:t>
      </w:r>
    </w:p>
    <w:p>
      <w:pPr>
        <w:spacing w:after="0" w:line="184"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As of the date of this Prospectus, the Corporation’s sponsorship of the Clinical Trials has not commenced. The Corporation has submitted its application to the Institutional Review Board and Ethics Committee of the Ministry of Health Jamaica (“</w:t>
      </w:r>
      <w:r>
        <w:rPr>
          <w:rFonts w:ascii="Arial" w:cs="Arial" w:eastAsia="Arial" w:hAnsi="Arial"/>
          <w:sz w:val="18"/>
          <w:szCs w:val="18"/>
          <w:b w:val="1"/>
          <w:bCs w:val="1"/>
          <w:color w:val="auto"/>
        </w:rPr>
        <w:t>Jamaica IRB</w:t>
      </w:r>
      <w:r>
        <w:rPr>
          <w:rFonts w:ascii="Arial" w:cs="Arial" w:eastAsia="Arial" w:hAnsi="Arial"/>
          <w:sz w:val="18"/>
          <w:szCs w:val="18"/>
          <w:color w:val="auto"/>
        </w:rPr>
        <w:t>”) and is awaiting comments. Once such comments are settled, if any, the Corporation will begin its sponsorship of the Clinical Trials subject to applicable laws. The Corporation is unable to apply for an import licence for its sponsored Clinical Trial materials until it receives final Jamaica IRB approval. Once received, the Corporation will apply to obtain an import licence and any other required licences.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08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0">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Kingdom</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In the UK, there are two main “layers” of regulation with which products containing controlled substances must comply. These are: (i) controlled drugs legislation, which applies to all products irrespective of the type of product, and (ii) the regulatory framework applicable to a specific category of products, in this case, pharmaceuticals and food/food supplements.</w:t>
      </w:r>
    </w:p>
    <w:p>
      <w:pPr>
        <w:spacing w:after="0" w:line="180" w:lineRule="exact"/>
        <w:rPr>
          <w:sz w:val="20"/>
          <w:szCs w:val="20"/>
          <w:color w:val="auto"/>
        </w:rPr>
      </w:pPr>
    </w:p>
    <w:p>
      <w:pPr>
        <w:ind w:left="120" w:right="220"/>
        <w:spacing w:after="0" w:line="266" w:lineRule="auto"/>
        <w:rPr>
          <w:sz w:val="20"/>
          <w:szCs w:val="20"/>
          <w:color w:val="auto"/>
        </w:rPr>
      </w:pPr>
      <w:r>
        <w:rPr>
          <w:rFonts w:ascii="Arial" w:cs="Arial" w:eastAsia="Arial" w:hAnsi="Arial"/>
          <w:sz w:val="18"/>
          <w:szCs w:val="18"/>
          <w:color w:val="auto"/>
        </w:rPr>
        <w:t>The main UK controlled drugs legislation is the Misuse of Drugs Act 1971 (“</w:t>
      </w:r>
      <w:r>
        <w:rPr>
          <w:rFonts w:ascii="Arial" w:cs="Arial" w:eastAsia="Arial" w:hAnsi="Arial"/>
          <w:sz w:val="18"/>
          <w:szCs w:val="18"/>
          <w:b w:val="1"/>
          <w:bCs w:val="1"/>
          <w:color w:val="auto"/>
        </w:rPr>
        <w:t>MDA</w:t>
      </w:r>
      <w:r>
        <w:rPr>
          <w:rFonts w:ascii="Arial" w:cs="Arial" w:eastAsia="Arial" w:hAnsi="Arial"/>
          <w:sz w:val="18"/>
          <w:szCs w:val="18"/>
          <w:color w:val="auto"/>
        </w:rPr>
        <w:t>”) and the Misuse of Drugs Regulations 2001 (“</w:t>
      </w:r>
      <w:r>
        <w:rPr>
          <w:rFonts w:ascii="Arial" w:cs="Arial" w:eastAsia="Arial" w:hAnsi="Arial"/>
          <w:sz w:val="18"/>
          <w:szCs w:val="18"/>
          <w:b w:val="1"/>
          <w:bCs w:val="1"/>
          <w:color w:val="auto"/>
        </w:rPr>
        <w:t>MDR</w:t>
      </w:r>
      <w:r>
        <w:rPr>
          <w:rFonts w:ascii="Arial" w:cs="Arial" w:eastAsia="Arial" w:hAnsi="Arial"/>
          <w:sz w:val="18"/>
          <w:szCs w:val="18"/>
          <w:color w:val="auto"/>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spacing w:after="0" w:line="180"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In the United Kingdom, “Fungus (of any kind) which contains psilocin or an ester of psilocin” is controlled as a Class A drug under the MDA and Schedule 1 drug under the MDR. As psilocybin is a phosphate ester of psilocin, even if it were isolated from psilocin, it would still fulfil this definition.</w:t>
      </w:r>
    </w:p>
    <w:p>
      <w:pPr>
        <w:spacing w:after="0" w:line="124" w:lineRule="exact"/>
        <w:rPr>
          <w:sz w:val="20"/>
          <w:szCs w:val="20"/>
          <w:color w:val="auto"/>
        </w:rPr>
      </w:pPr>
    </w:p>
    <w:p>
      <w:pPr>
        <w:ind w:left="120" w:right="560"/>
        <w:spacing w:after="0" w:line="263" w:lineRule="auto"/>
        <w:rPr>
          <w:sz w:val="20"/>
          <w:szCs w:val="20"/>
          <w:color w:val="auto"/>
        </w:rPr>
      </w:pPr>
      <w:r>
        <w:rPr>
          <w:rFonts w:ascii="Arial" w:cs="Arial" w:eastAsia="Arial" w:hAnsi="Arial"/>
          <w:sz w:val="18"/>
          <w:szCs w:val="18"/>
          <w:color w:val="auto"/>
        </w:rPr>
        <w:t>In the United Kingdom, Class A drugs are deemed to be the most dangerous, and so carry the harshest punishments for unlawful manufacture, production, possession and supply. Schedule 1 drugs can only be lawfully manufactured, produced, possessed and supplied under a Home Office licence. Whilst exemptions do exist, none are applicable to the API.</w:t>
      </w:r>
    </w:p>
    <w:p>
      <w:pPr>
        <w:sectPr>
          <w:pgSz w:w="11900" w:h="16838" w:orient="portrait"/>
          <w:cols w:equalWidth="0" w:num="1">
            <w:col w:w="11100"/>
          </w:cols>
          <w:pgMar w:left="320" w:top="121" w:right="479" w:bottom="0" w:gutter="0" w:footer="0" w:header="0"/>
        </w:sectPr>
      </w:pPr>
    </w:p>
    <w:bookmarkStart w:id="48" w:name="page49"/>
    <w:bookmarkEnd w:id="48"/>
    <w:p>
      <w:pPr>
        <w:ind w:left="120"/>
        <w:spacing w:after="0"/>
        <w:rPr>
          <w:sz w:val="20"/>
          <w:szCs w:val="20"/>
          <w:color w:val="auto"/>
        </w:rPr>
      </w:pPr>
      <w:r>
        <w:rPr>
          <w:rFonts w:ascii="Arial" w:cs="Arial" w:eastAsia="Arial" w:hAnsi="Arial"/>
          <w:sz w:val="18"/>
          <w:szCs w:val="18"/>
          <w:u w:val="single" w:color="auto"/>
          <w:color w:val="auto"/>
        </w:rPr>
        <w:t>Licensing Requirements</w:t>
      </w:r>
    </w:p>
    <w:p>
      <w:pPr>
        <w:spacing w:after="0" w:line="113" w:lineRule="exact"/>
        <w:rPr>
          <w:sz w:val="20"/>
          <w:szCs w:val="20"/>
          <w:color w:val="auto"/>
        </w:rPr>
      </w:pPr>
    </w:p>
    <w:p>
      <w:pPr>
        <w:ind w:left="120" w:right="160"/>
        <w:spacing w:after="0" w:line="289" w:lineRule="auto"/>
        <w:rPr>
          <w:sz w:val="20"/>
          <w:szCs w:val="20"/>
          <w:color w:val="auto"/>
        </w:rPr>
      </w:pPr>
      <w:r>
        <w:rPr>
          <w:rFonts w:ascii="Arial" w:cs="Arial" w:eastAsia="Arial" w:hAnsi="Arial"/>
          <w:sz w:val="17"/>
          <w:szCs w:val="17"/>
          <w:color w:val="auto"/>
        </w:rPr>
        <w:t>The Corporation obtains acceptable psychedelic agent psilocybin (“</w:t>
      </w:r>
      <w:r>
        <w:rPr>
          <w:rFonts w:ascii="Arial" w:cs="Arial" w:eastAsia="Arial" w:hAnsi="Arial"/>
          <w:sz w:val="17"/>
          <w:szCs w:val="17"/>
          <w:b w:val="1"/>
          <w:bCs w:val="1"/>
          <w:color w:val="auto"/>
        </w:rPr>
        <w:t>API</w:t>
      </w:r>
      <w:r>
        <w:rPr>
          <w:rFonts w:ascii="Arial" w:cs="Arial" w:eastAsia="Arial" w:hAnsi="Arial"/>
          <w:sz w:val="17"/>
          <w:szCs w:val="17"/>
          <w:color w:val="auto"/>
        </w:rPr>
        <w:t>”) from the pharmaceutical ingredient provider who is based in the United States. The API itself is expected to be manufactured and packaged in FDA-registered facilities in the United Kingdom. The API is expected to be sent directly to the Corporation’s partners for research and development purposes in the United States, Canada and Jamaica.</w:t>
      </w:r>
    </w:p>
    <w:p>
      <w:pPr>
        <w:spacing w:after="0" w:line="162"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Although the facilities in the UK are currently FDA-registered, this would not be sufficient to ensure the existence of valid marketing activities at this site. As mentioned above, in order to produce, possess and supply the API, the UK-based facility must also hold a domestic licence issued by the Home Office covering the manufacture, production, possession and supply of a controlled substance, as well as an export licence for each API shipment. The export application must include details of the importer and any import licence required by the local authorities in the United States.</w:t>
      </w:r>
    </w:p>
    <w:p>
      <w:pPr>
        <w:spacing w:after="0" w:line="157"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All premises that are licensed in connection with the possession, supply, manufacture and/or production of controlled drugs are required to adhere to detailed security standards.</w:t>
      </w:r>
      <w:r>
        <w:rPr>
          <w:rFonts w:ascii="Arial" w:cs="Arial" w:eastAsia="Arial" w:hAnsi="Arial"/>
          <w:sz w:val="15"/>
          <w:szCs w:val="15"/>
          <w:color w:val="auto"/>
        </w:rPr>
        <w:t>7</w:t>
      </w:r>
    </w:p>
    <w:p>
      <w:pPr>
        <w:spacing w:after="0" w:line="170"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Under the Home Office guidance, each organisation involved in the movement of controlled drugs should have a standard operating procedure covering their responsibilities, record keeping, reconciliation and reporting of thefts/losses.</w:t>
      </w: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78105</wp:posOffset>
            </wp:positionV>
            <wp:extent cx="7715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9" w:lineRule="exact"/>
        <w:rPr>
          <w:sz w:val="20"/>
          <w:szCs w:val="20"/>
          <w:color w:val="auto"/>
        </w:rPr>
      </w:pPr>
    </w:p>
    <w:p>
      <w:pPr>
        <w:ind w:left="340" w:right="660" w:hanging="224"/>
        <w:spacing w:after="0" w:line="291" w:lineRule="auto"/>
        <w:tabs>
          <w:tab w:leader="none" w:pos="340" w:val="left"/>
        </w:tabs>
        <w:numPr>
          <w:ilvl w:val="0"/>
          <w:numId w:val="28"/>
        </w:numPr>
        <w:rPr>
          <w:rFonts w:ascii="Arial" w:cs="Arial" w:eastAsia="Arial" w:hAnsi="Arial"/>
          <w:sz w:val="13"/>
          <w:szCs w:val="13"/>
          <w:color w:val="auto"/>
        </w:rPr>
      </w:pPr>
      <w:r>
        <w:rPr>
          <w:rFonts w:ascii="Arial" w:cs="Arial" w:eastAsia="Arial" w:hAnsi="Arial"/>
          <w:sz w:val="16"/>
          <w:szCs w:val="16"/>
          <w:color w:val="auto"/>
        </w:rPr>
        <w:t>Home Office guidance; Security guidance for all existing or prospective Home Office Controlled Drug Licensees and/or Precursor Chemical Licensees or Registrants; 2020; https://assets.publishing.service.gov.uk/government/uploads/system/uploads/attachment_data/file/</w:t>
      </w:r>
    </w:p>
    <w:p>
      <w:pPr>
        <w:ind w:left="340"/>
        <w:spacing w:after="0"/>
        <w:rPr>
          <w:sz w:val="20"/>
          <w:szCs w:val="20"/>
          <w:color w:val="auto"/>
        </w:rPr>
      </w:pPr>
      <w:r>
        <w:rPr>
          <w:rFonts w:ascii="Arial" w:cs="Arial" w:eastAsia="Arial" w:hAnsi="Arial"/>
          <w:sz w:val="18"/>
          <w:szCs w:val="18"/>
          <w:color w:val="auto"/>
        </w:rPr>
        <w:t>857591/Security_Guidance_for_all_Businesses_and_Other_Organisations_v1.4_Jan_2020.pdf.</w:t>
      </w:r>
    </w:p>
    <w:p>
      <w:pPr>
        <w:spacing w:after="0" w:line="8" w:lineRule="exact"/>
        <w:rPr>
          <w:sz w:val="20"/>
          <w:szCs w:val="20"/>
          <w:color w:val="auto"/>
        </w:rPr>
      </w:pPr>
    </w:p>
    <w:p>
      <w:pPr>
        <w:ind w:left="340" w:right="1220" w:hanging="224"/>
        <w:spacing w:after="0" w:line="325" w:lineRule="auto"/>
        <w:tabs>
          <w:tab w:leader="none" w:pos="340" w:val="left"/>
        </w:tabs>
        <w:numPr>
          <w:ilvl w:val="0"/>
          <w:numId w:val="29"/>
        </w:numPr>
        <w:rPr>
          <w:rFonts w:ascii="Arial" w:cs="Arial" w:eastAsia="Arial" w:hAnsi="Arial"/>
          <w:sz w:val="13"/>
          <w:szCs w:val="13"/>
          <w:color w:val="auto"/>
        </w:rPr>
      </w:pPr>
      <w:r>
        <w:rPr>
          <w:rFonts w:ascii="Arial" w:cs="Arial" w:eastAsia="Arial" w:hAnsi="Arial"/>
          <w:sz w:val="16"/>
          <w:szCs w:val="16"/>
          <w:color w:val="auto"/>
        </w:rPr>
        <w:t>Home Office guidance; Guidelines for Standard Operating Procedures (SOPs); https://assets.publishing.service.gov.uk/government/uploads/system/uploads/attachment_data/file/480572/StandardOpProcedure.pdf.</w:t>
      </w:r>
    </w:p>
    <w:p>
      <w:pPr>
        <w:spacing w:after="0" w:line="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08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2">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Pharmaceutical Products</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Products are regulated as “medicinal products” under UK legislation (the Human Medicines Regulations 2012) if (i) they are presented as a substance or combination of substances having properties for treating or preventing disease in human beings having a medicinal effect (e.g., in marketing claims) or (ii) have a medicinal effect (i.e., even if no claims are made about the product).</w:t>
      </w:r>
    </w:p>
    <w:p>
      <w:pPr>
        <w:spacing w:after="0" w:line="184"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A product has a “medicinal effect” if it has a pharmacological, immunological or metabolic effect on the body that restores, corrects or modifies a physiological function. Whether this is the case for a specific product will depend on factors such as the concentration of the psilocybin/psilocin and the mode of action of any psilocybin/psilocin absorbed in the body.</w:t>
      </w:r>
    </w:p>
    <w:p>
      <w:pPr>
        <w:spacing w:after="0" w:line="184"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If a product is a medicinal product, a marketing authorisation for the product is required before the product can be placed on the market in the UK. The process for obtaining a marketing authorisation involves submitting pre-clinical and clinical data as well as quality and manufacturing information in the form of a common technical document. In addition to a marketing authorisation for the product itself, companies carrying out activities involving medicinal products, such as manufacturing, distribution and wholesaling, need to meet defined standards (GMP) and/or Good Distribution Practice (GDP) and to hold a related licence from the UK Medicines and Healthcare products Regulatory Agency (“</w:t>
      </w:r>
      <w:r>
        <w:rPr>
          <w:rFonts w:ascii="Arial" w:cs="Arial" w:eastAsia="Arial" w:hAnsi="Arial"/>
          <w:sz w:val="17"/>
          <w:szCs w:val="17"/>
          <w:b w:val="1"/>
          <w:bCs w:val="1"/>
          <w:color w:val="auto"/>
        </w:rPr>
        <w:t>MHRA</w:t>
      </w:r>
      <w:r>
        <w:rPr>
          <w:rFonts w:ascii="Arial" w:cs="Arial" w:eastAsia="Arial" w:hAnsi="Arial"/>
          <w:sz w:val="17"/>
          <w:szCs w:val="17"/>
          <w:color w:val="auto"/>
        </w:rPr>
        <w:t>”).</w:t>
      </w:r>
    </w:p>
    <w:p>
      <w:pPr>
        <w:spacing w:after="0" w:line="17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As mentioned above, once the API has been made in the UK, it is expected to be sent directly to the Corporation’s partners for research and development purposes in the United States, Canada or Jamaica. How the API is subsequently processed will determine the licences that the UK-based facility must hold. In particular:</w:t>
      </w:r>
    </w:p>
    <w:p>
      <w:pPr>
        <w:spacing w:after="0" w:line="85" w:lineRule="exact"/>
        <w:rPr>
          <w:sz w:val="20"/>
          <w:szCs w:val="20"/>
          <w:color w:val="auto"/>
        </w:rPr>
      </w:pPr>
    </w:p>
    <w:p>
      <w:pPr>
        <w:jc w:val="both"/>
        <w:ind w:left="1100" w:right="240" w:hanging="433"/>
        <w:spacing w:after="0" w:line="266" w:lineRule="auto"/>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API is just one ‘ingredient’ of the investigational medicinal product (“</w:t>
      </w:r>
      <w:r>
        <w:rPr>
          <w:rFonts w:ascii="Arial" w:cs="Arial" w:eastAsia="Arial" w:hAnsi="Arial"/>
          <w:sz w:val="18"/>
          <w:szCs w:val="18"/>
          <w:b w:val="1"/>
          <w:bCs w:val="1"/>
          <w:color w:val="auto"/>
        </w:rPr>
        <w:t>IMP</w:t>
      </w:r>
      <w:r>
        <w:rPr>
          <w:rFonts w:ascii="Arial" w:cs="Arial" w:eastAsia="Arial" w:hAnsi="Arial"/>
          <w:sz w:val="18"/>
          <w:szCs w:val="18"/>
          <w:color w:val="auto"/>
        </w:rPr>
        <w:t>”) which is used in the clinical trial then the UK-based facility must register with the MHRA and provide the MHRA with 60 days’ notice of the intended start of manufacture/distribution, and comply with GMP and Good Distribution Practice for active substances.</w:t>
      </w:r>
    </w:p>
    <w:p>
      <w:pPr>
        <w:spacing w:after="0" w:line="85" w:lineRule="exact"/>
        <w:rPr>
          <w:rFonts w:ascii="Arial" w:cs="Arial" w:eastAsia="Arial" w:hAnsi="Arial"/>
          <w:sz w:val="18"/>
          <w:szCs w:val="18"/>
          <w:color w:val="auto"/>
        </w:rPr>
      </w:pPr>
    </w:p>
    <w:p>
      <w:pPr>
        <w:ind w:left="1100" w:right="560" w:hanging="433"/>
        <w:spacing w:after="0" w:line="263" w:lineRule="auto"/>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Conversely, if the API will itself constitute the IMP, the manufacturer must hold a Manufacturer’s Authorisations for IMPs licence (“</w:t>
      </w:r>
      <w:r>
        <w:rPr>
          <w:rFonts w:ascii="Arial" w:cs="Arial" w:eastAsia="Arial" w:hAnsi="Arial"/>
          <w:sz w:val="18"/>
          <w:szCs w:val="18"/>
          <w:b w:val="1"/>
          <w:bCs w:val="1"/>
          <w:color w:val="auto"/>
        </w:rPr>
        <w:t>MIA(IMP</w:t>
      </w:r>
      <w:r>
        <w:rPr>
          <w:rFonts w:ascii="Arial" w:cs="Arial" w:eastAsia="Arial" w:hAnsi="Arial"/>
          <w:sz w:val="18"/>
          <w:szCs w:val="18"/>
          <w:color w:val="auto"/>
        </w:rPr>
        <w:t>)”). In this scenario, an MIA(IMP) would be required regardless of whether the IMP is for use in the UK, another EEA Member State or a third country (such as the United States, Canada or Jamaica).</w:t>
      </w:r>
    </w:p>
    <w:p>
      <w:pPr>
        <w:spacing w:after="0" w:line="184"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Some products fall on the borderline between medicines and another category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Food/Food Supplements</w:t>
      </w:r>
    </w:p>
    <w:p>
      <w:pPr>
        <w:spacing w:after="0" w:line="131" w:lineRule="exact"/>
        <w:rPr>
          <w:sz w:val="20"/>
          <w:szCs w:val="20"/>
          <w:color w:val="auto"/>
        </w:rPr>
      </w:pPr>
    </w:p>
    <w:p>
      <w:pPr>
        <w:ind w:left="1100" w:hanging="433"/>
        <w:spacing w:after="0"/>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Functional foods and nutraceuticals must comply with general UK food laws.</w:t>
      </w:r>
    </w:p>
    <w:p>
      <w:pPr>
        <w:spacing w:after="0" w:line="130" w:lineRule="exact"/>
        <w:rPr>
          <w:rFonts w:ascii="Arial" w:cs="Arial" w:eastAsia="Arial" w:hAnsi="Arial"/>
          <w:sz w:val="18"/>
          <w:szCs w:val="18"/>
          <w:color w:val="auto"/>
        </w:rPr>
      </w:pPr>
    </w:p>
    <w:p>
      <w:pPr>
        <w:ind w:left="1100" w:hanging="433"/>
        <w:spacing w:after="0" w:line="255" w:lineRule="auto"/>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Ordinarily, food and food ingredients do not need to be pre-authorised before they can be placed on the market. However, “novel foods”, which are foods that have not been consumed to a significant degree by humans in the UK or EU before 15 May 1997 do require pre-authorisation under the EU Novel Foods Regulation (EU) 2015/2283, which has been retained in UK law post-Brexit. Whilst psychedelic mushrooms may have been consumed in the past, the same cannot be said for isolated psilocybin or psilocin. For this reason, it is likely that any food item containing isolated psilocybin and/or psilocin that is not considered to be a medicinal product would fulfil the definition of a ‘novel food’.</w:t>
      </w:r>
    </w:p>
    <w:p>
      <w:pPr>
        <w:spacing w:after="0" w:line="97" w:lineRule="exact"/>
        <w:rPr>
          <w:rFonts w:ascii="Arial" w:cs="Arial" w:eastAsia="Arial" w:hAnsi="Arial"/>
          <w:sz w:val="18"/>
          <w:szCs w:val="18"/>
          <w:color w:val="auto"/>
        </w:rPr>
      </w:pPr>
    </w:p>
    <w:p>
      <w:pPr>
        <w:ind w:left="1100" w:right="40" w:hanging="433"/>
        <w:spacing w:after="0" w:line="277" w:lineRule="auto"/>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place a novel food on the market in the UK, it must be authorised in advance (either under an EU authorisation if granted pre-1 January 2021, or after this date under a Great Britain authorisation for</w:t>
      </w:r>
    </w:p>
    <w:p>
      <w:pPr>
        <w:sectPr>
          <w:pgSz w:w="11900" w:h="16838" w:orient="portrait"/>
          <w:cols w:equalWidth="0" w:num="1">
            <w:col w:w="11120"/>
          </w:cols>
          <w:pgMar w:left="320" w:top="125" w:right="459" w:bottom="0" w:gutter="0" w:footer="0" w:header="0"/>
        </w:sectPr>
      </w:pP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ectPr>
          <w:pgSz w:w="11900" w:h="16838" w:orient="portrait"/>
          <w:cols w:equalWidth="0" w:num="1">
            <w:col w:w="11120"/>
          </w:cols>
          <w:pgMar w:left="320" w:top="125" w:right="459" w:bottom="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100" w:right="100"/>
        <w:spacing w:after="0" w:line="279" w:lineRule="auto"/>
        <w:rPr>
          <w:sz w:val="20"/>
          <w:szCs w:val="20"/>
          <w:color w:val="auto"/>
        </w:rPr>
      </w:pPr>
      <w:r>
        <w:rPr>
          <w:rFonts w:ascii="Arial" w:cs="Arial" w:eastAsia="Arial" w:hAnsi="Arial"/>
          <w:sz w:val="17"/>
          <w:szCs w:val="17"/>
          <w:color w:val="auto"/>
        </w:rPr>
        <w:t>England, Scotland and Wales and under an EU authorisation for Northern Ireland). Under the updated EU Novel Foods Regulation, novel foods authorisations are now generic and not applicant-specific as they were under the previous novel foods legislation. As such, in principle, once authorised, anyone can place the authorised novel food on the UK market provided that it complies with the terms of the authorisation which include conditions of use, specifications and labelling requirements.</w:t>
      </w:r>
    </w:p>
    <w:p>
      <w:pPr>
        <w:spacing w:after="0" w:line="77" w:lineRule="exact"/>
        <w:rPr>
          <w:sz w:val="20"/>
          <w:szCs w:val="20"/>
          <w:color w:val="auto"/>
        </w:rPr>
      </w:pPr>
    </w:p>
    <w:p>
      <w:pPr>
        <w:ind w:left="1100" w:right="40" w:hanging="433"/>
        <w:spacing w:after="0" w:line="275" w:lineRule="auto"/>
        <w:tabs>
          <w:tab w:leader="none" w:pos="11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Since novel food applications are a material investment, companies are using two routes to try to protect their assets: drafting the application narrowly and as specific as possible to their own product, making it more challenging for other companies to produce an ingredient that meets the conditions of the authorisation; and if the application relies on newly developed scientific evidence which is designated by the applicant as proprietary in the application, and accepted as such in the application process, that proprietary evidence will be protected by a 5-year period of exclusivity for the applicant for that novel ingredient.</w:t>
      </w:r>
    </w:p>
    <w:p>
      <w:pPr>
        <w:spacing w:after="0" w:line="81" w:lineRule="exact"/>
        <w:rPr>
          <w:rFonts w:ascii="Arial" w:cs="Arial" w:eastAsia="Arial" w:hAnsi="Arial"/>
          <w:sz w:val="17"/>
          <w:szCs w:val="17"/>
          <w:color w:val="auto"/>
        </w:rPr>
      </w:pPr>
    </w:p>
    <w:p>
      <w:pPr>
        <w:ind w:left="1100" w:right="160" w:hanging="433"/>
        <w:spacing w:after="0" w:line="279" w:lineRule="auto"/>
        <w:tabs>
          <w:tab w:leader="none" w:pos="11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 broad terms, the information required in the application dossier includes: a description of the production process; the detailed composition of the novel food; scientific evidence demonstrating that the novel food does not pose a safety risk to human health; and the proposed conditions of intended use and labelling requirements. The responsibility to obtain a novel foods authorisation would be that of the person who intended to commercialise the product, and not the manufacturer of the psilocybin/psilocin itself.</w:t>
      </w:r>
    </w:p>
    <w:p>
      <w:pPr>
        <w:spacing w:after="0" w:line="17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In addition to novel foods legislation, the person who intends to commercialise the product in the UK would also have to comply with the full body of food legislation, which includes food labelling and food hygiene requirements.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Corporation is focused on development of psychedelic medicines and other products, through research and development of novel chemical compounds and delivery mechanisms and study of such compounds in clinical environments around the world including, but not limited to research and studies to be conducted with the UWI and, its affiliate, the Caribbean Institute for Health Research. The Corporation anticipates growing its pipeline of psychedelic pharmaceutical products inspired medicines through its internal research, development, proprietary discovery programs, mergers and acquisitions, joint ventures and collaborative development agreements. For the time being, the Corporation maintains intellectual property generated by its R&amp;D programs through patent filings and as trade secrets. The Corporation anticipates that as these programs mature more patent applications will be filed and more details about these programs will be disclosed at such time.</w:t>
      </w:r>
    </w:p>
    <w:p>
      <w:pPr>
        <w:spacing w:after="0" w:line="17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As a result of COVID-19, UWI has implemented certain facility procedures and is utilizing technology in an effort to mitigate the effects of the pandemic, specifically by moving patient interactions to remote status wherever possible. The Corporation cannot guarantee that the continued effects of COVID-19 will not impact patient recruiting for clinical trials and institutional processes at UWI or other institutions involved in pharmaceutical product development.</w:t>
      </w:r>
    </w:p>
    <w:p>
      <w:pPr>
        <w:spacing w:after="0" w:line="187"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Psychedelics are a class of drug whose primary action is to trigger psychedelic experiences via serotonin receptor agonism, causing thought, visual and auditory changes, and altered state of consciousness. Major psychedelic drugs include mescaline, LSD, psilocybin, and dimethyl tryptamine (“</w:t>
      </w:r>
      <w:r>
        <w:rPr>
          <w:rFonts w:ascii="Arial" w:cs="Arial" w:eastAsia="Arial" w:hAnsi="Arial"/>
          <w:sz w:val="16"/>
          <w:szCs w:val="16"/>
          <w:b w:val="1"/>
          <w:bCs w:val="1"/>
          <w:color w:val="auto"/>
        </w:rPr>
        <w:t>DMT</w:t>
      </w:r>
      <w:r>
        <w:rPr>
          <w:rFonts w:ascii="Arial" w:cs="Arial" w:eastAsia="Arial" w:hAnsi="Arial"/>
          <w:sz w:val="16"/>
          <w:szCs w:val="16"/>
          <w:color w:val="auto"/>
        </w:rPr>
        <w:t xml:space="preserve">”). Psilocybin is a naturally occurring psychedelic prodrug compound produced by more than 200 species of mushrooms, collectively known as psilocybin mushrooms. The most potent are members of the genus </w:t>
      </w:r>
      <w:r>
        <w:rPr>
          <w:rFonts w:ascii="Arial" w:cs="Arial" w:eastAsia="Arial" w:hAnsi="Arial"/>
          <w:sz w:val="16"/>
          <w:szCs w:val="16"/>
          <w:i w:val="1"/>
          <w:iCs w:val="1"/>
          <w:color w:val="auto"/>
        </w:rPr>
        <w:t>Psilocybe</w:t>
      </w:r>
      <w:r>
        <w:rPr>
          <w:rFonts w:ascii="Arial" w:cs="Arial" w:eastAsia="Arial" w:hAnsi="Arial"/>
          <w:sz w:val="16"/>
          <w:szCs w:val="16"/>
          <w:color w:val="auto"/>
        </w:rPr>
        <w:t xml:space="preserve">, such as </w:t>
      </w:r>
      <w:r>
        <w:rPr>
          <w:rFonts w:ascii="Arial" w:cs="Arial" w:eastAsia="Arial" w:hAnsi="Arial"/>
          <w:sz w:val="16"/>
          <w:szCs w:val="16"/>
          <w:i w:val="1"/>
          <w:iCs w:val="1"/>
          <w:color w:val="auto"/>
        </w:rPr>
        <w:t>P. azurescens</w:t>
      </w:r>
      <w:r>
        <w:rPr>
          <w:rFonts w:ascii="Arial" w:cs="Arial" w:eastAsia="Arial" w:hAnsi="Arial"/>
          <w:sz w:val="16"/>
          <w:szCs w:val="16"/>
          <w:color w:val="auto"/>
        </w:rPr>
        <w:t xml:space="preserve">, </w:t>
      </w:r>
      <w:r>
        <w:rPr>
          <w:rFonts w:ascii="Arial" w:cs="Arial" w:eastAsia="Arial" w:hAnsi="Arial"/>
          <w:sz w:val="16"/>
          <w:szCs w:val="16"/>
          <w:i w:val="1"/>
          <w:iCs w:val="1"/>
          <w:color w:val="auto"/>
        </w:rPr>
        <w:t>P. semilanceata</w:t>
      </w:r>
      <w:r>
        <w:rPr>
          <w:rFonts w:ascii="Arial" w:cs="Arial" w:eastAsia="Arial" w:hAnsi="Arial"/>
          <w:sz w:val="16"/>
          <w:szCs w:val="16"/>
          <w:color w:val="auto"/>
        </w:rPr>
        <w:t xml:space="preserve">, and </w:t>
      </w:r>
      <w:r>
        <w:rPr>
          <w:rFonts w:ascii="Arial" w:cs="Arial" w:eastAsia="Arial" w:hAnsi="Arial"/>
          <w:sz w:val="16"/>
          <w:szCs w:val="16"/>
          <w:i w:val="1"/>
          <w:iCs w:val="1"/>
          <w:color w:val="auto"/>
        </w:rPr>
        <w:t>P. cyanescens</w:t>
      </w:r>
      <w:r>
        <w:rPr>
          <w:rFonts w:ascii="Arial" w:cs="Arial" w:eastAsia="Arial" w:hAnsi="Arial"/>
          <w:sz w:val="16"/>
          <w:szCs w:val="16"/>
          <w:color w:val="auto"/>
        </w:rPr>
        <w:t>, but psilocybin has also been isolated from about a dozen other genera. As a prodrug, psilocybin is quickly converted by the body to psilocin, which has mind-altering effects.</w:t>
      </w:r>
    </w:p>
    <w:p>
      <w:pPr>
        <w:spacing w:after="0" w:line="16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pharmacokinetics, pharmacology and human metabolism of psilocybin are well known and well characterized. In conjunction with psychotherapy, psilocybin has been utilized broadly in phase II clinical trials.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08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4">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23"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Psilocybin found in certain species of mushrooms is a non-habit forming naturally occurring psychedelic compound. Once ingested, psilocybin is rapidly metabolized to psilocin, which then acts on serotonin receptors in the brain. The Corporation intends to research and sponsor clinical trials on the efficacy of chemically synthesized psilocybin as it relates to the following indications</w:t>
      </w:r>
      <w:r>
        <w:rPr>
          <w:rFonts w:ascii="Arial" w:cs="Arial" w:eastAsia="Arial" w:hAnsi="Arial"/>
          <w:sz w:val="15"/>
          <w:szCs w:val="15"/>
          <w:color w:val="auto"/>
        </w:rPr>
        <w:t>9</w:t>
      </w:r>
      <w:r>
        <w:rPr>
          <w:rFonts w:ascii="Arial" w:cs="Arial" w:eastAsia="Arial" w:hAnsi="Arial"/>
          <w:sz w:val="18"/>
          <w:szCs w:val="18"/>
          <w:color w:val="auto"/>
        </w:rPr>
        <w:t>:</w:t>
      </w:r>
    </w:p>
    <w:p>
      <w:pPr>
        <w:spacing w:after="0" w:line="89" w:lineRule="exact"/>
        <w:rPr>
          <w:sz w:val="20"/>
          <w:szCs w:val="20"/>
          <w:color w:val="auto"/>
        </w:rPr>
      </w:pPr>
    </w:p>
    <w:p>
      <w:pPr>
        <w:ind w:left="1100" w:hanging="433"/>
        <w:spacing w:after="0"/>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mental health (depression, PTSD, anxiety and attention deficit hyperactivity disorder); and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addiction (alcohol, drugs and cigarettes).</w:t>
      </w:r>
    </w:p>
    <w:p>
      <w:pPr>
        <w:spacing w:after="0" w:line="22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In late 2019, management of Cybin Corp. commenced research and development on the delivery of synthetic psilocybin and other psychedelics through mechanisms such as sublingual film delivery. Cybin has filed a patent application for such delivery mechanism.</w:t>
      </w:r>
    </w:p>
    <w:p>
      <w:pPr>
        <w:spacing w:after="0" w:line="170"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In partnership with UWI, the Corporation plans to conduct research and development of synthetic psilocybin. The Corporation’s activity in relation to the intended research of psilocybin mushrooms, botanicals and other related fungi is limited to the jurisdiction of Jamaica and the Corporation does not deal with psychedelic substances except within laboratory and clinical trial settings conducted within approved regulatory frameworks in order to identify and develop treatments for medical conditions and does not have any direct or indirect involvement with illegal selling, production or distribution of any substances in jurisdictions in which it operates. The Corporation’s Jamaica team is composed of business consultants, legal counsel and local post-doctoral research students. As of the date of this Prospectus, the Corporation’s sponsorship of the clinical trials has not commenced. The Corporation has submitted its application to the Jamaica IRB and has received conditional approval and is awaiting final approval. Once such comments are settled, if any, the Corporation will begin its sponsorship of the clinical trials subject to applicable laws. The Corporation is unable to apply for an import license for its sponsored clinical trial materials until it receives final Jamaica IRB approval, once received, the Corporation will apply to obtain an import license.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Research and development is led by the Corporation’s North American Chief Research and Development Officer, Dr. Michael G. Palfreyman.</w:t>
      </w:r>
    </w:p>
    <w:p>
      <w:pPr>
        <w:spacing w:after="0" w:line="35" w:lineRule="exact"/>
        <w:rPr>
          <w:sz w:val="20"/>
          <w:szCs w:val="20"/>
          <w:color w:val="auto"/>
        </w:rPr>
      </w:pPr>
    </w:p>
    <w:p>
      <w:pPr>
        <w:ind w:left="120" w:right="220"/>
        <w:spacing w:after="0" w:line="260" w:lineRule="auto"/>
        <w:rPr>
          <w:sz w:val="20"/>
          <w:szCs w:val="20"/>
          <w:color w:val="auto"/>
        </w:rPr>
      </w:pPr>
      <w:r>
        <w:rPr>
          <w:rFonts w:ascii="Arial" w:cs="Arial" w:eastAsia="Arial" w:hAnsi="Arial"/>
          <w:sz w:val="18"/>
          <w:szCs w:val="18"/>
          <w:color w:val="auto"/>
        </w:rPr>
        <w:t>Dr. Palfreyman, who holds a PhD in Neuroscience and Neuropharmacology from the University of Nottingham, United Kingdom, is an accomplished pharmaceutical industry veteran responsible for more than 30 successful clinical programs.</w:t>
      </w:r>
    </w:p>
    <w:p>
      <w:pPr>
        <w:sectPr>
          <w:pgSz w:w="11900" w:h="16838" w:orient="portrait"/>
          <w:cols w:equalWidth="0" w:num="1">
            <w:col w:w="11120"/>
          </w:cols>
          <w:pgMar w:left="320" w:top="122" w:right="459" w:bottom="174" w:gutter="0" w:footer="0" w:header="0"/>
        </w:sectPr>
      </w:pPr>
    </w:p>
    <w:bookmarkStart w:id="50" w:name="page51"/>
    <w:bookmarkEnd w:id="50"/>
    <w:p>
      <w:pPr>
        <w:ind w:left="120" w:right="140"/>
        <w:spacing w:after="0" w:line="277" w:lineRule="auto"/>
        <w:rPr>
          <w:sz w:val="20"/>
          <w:szCs w:val="20"/>
          <w:color w:val="auto"/>
        </w:rPr>
      </w:pPr>
      <w:r>
        <w:rPr>
          <w:rFonts w:ascii="Arial" w:cs="Arial" w:eastAsia="Arial" w:hAnsi="Arial"/>
          <w:sz w:val="18"/>
          <w:szCs w:val="18"/>
          <w:color w:val="auto"/>
        </w:rPr>
        <w:t>The Corporation has also retained Stosic and Associates, a leading government relations firm, to work with high level pharmaceutical, institutional and government relations individuals to progress the acceptance of psychedelics in Canada for medical use.</w:t>
      </w:r>
    </w:p>
    <w:p>
      <w:pPr>
        <w:spacing w:after="0" w:line="170" w:lineRule="exact"/>
        <w:rPr>
          <w:sz w:val="20"/>
          <w:szCs w:val="20"/>
          <w:color w:val="auto"/>
        </w:rPr>
      </w:pPr>
    </w:p>
    <w:p>
      <w:pPr>
        <w:jc w:val="both"/>
        <w:ind w:left="120" w:right="80"/>
        <w:spacing w:after="0" w:line="257" w:lineRule="auto"/>
        <w:rPr>
          <w:sz w:val="20"/>
          <w:szCs w:val="20"/>
          <w:color w:val="auto"/>
        </w:rPr>
      </w:pPr>
      <w:r>
        <w:rPr>
          <w:rFonts w:ascii="Arial" w:cs="Arial" w:eastAsia="Arial" w:hAnsi="Arial"/>
          <w:sz w:val="18"/>
          <w:szCs w:val="18"/>
          <w:color w:val="auto"/>
        </w:rPr>
        <w:t>The Corporation’s research and development must be conducted in strict compliance with the regulations of federal, state, local and regulatory agencies in Canada and the United States, and the equivalent regulatory agencies in the other jurisdictions in which the Corporation operates, including Jamaica. These regulatory authorities regulate, among other things, the research, manufacture, promotion and distribution of drugs in specific jurisdictions under applicable laws and regulations. It is important to note, that unlike in Canada and the United States, psilocybin mushrooms are not an illegal drug under Jamaica’s DDA. Accordingly, conducting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1" w:lineRule="exact"/>
        <w:rPr>
          <w:sz w:val="20"/>
          <w:szCs w:val="20"/>
          <w:color w:val="auto"/>
        </w:rPr>
      </w:pPr>
    </w:p>
    <w:p>
      <w:pPr>
        <w:ind w:left="340" w:right="60" w:hanging="224"/>
        <w:spacing w:after="0" w:line="272"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7"/>
          <w:szCs w:val="17"/>
          <w:color w:val="auto"/>
        </w:rPr>
        <w:t>Certain statements regarding psilocybin, psychedelic tryptamine, tryptamine derivatives or other psychedelic compounds, nutraceutical products or functional mushrooms have not been evaluated by Health Canada, the FDA or other similar regulatory authorities, nor has the efficacy of psilocybin, psychedelic tryptamine, tryptamine derivatives or other psychedelic compounds, nutraceutical products or functional mushrooms been confirmed by approved research. There is no assurance that psilocybin, psychedelic tryptamine, tryptamine derivatives or other psychedelic compounds, nutraceutical products or functional mushrooms can be used to diagnose, treat, cure or prevent any disease or condition and robust scientific research and clinical trials are needed. There are multiple risk factors regarding the ability to successfully commercially scale a chemically synthesized process to obtain psilocybin and other analogues.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08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6">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23"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research on psilocybin mushrooms does not contravene the laws of Jamaica and does not require any permit or authorization from Jamaican regulatory authorities.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Canada</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Psychedelics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process required before a prescription drug product candidate may be marketed in Canada generally involves:</w:t>
      </w:r>
    </w:p>
    <w:p>
      <w:pPr>
        <w:spacing w:after="0" w:line="131" w:lineRule="exact"/>
        <w:rPr>
          <w:sz w:val="20"/>
          <w:szCs w:val="20"/>
          <w:color w:val="auto"/>
        </w:rPr>
      </w:pPr>
    </w:p>
    <w:p>
      <w:pPr>
        <w:ind w:left="1100" w:hanging="433"/>
        <w:spacing w:after="0" w:line="277" w:lineRule="auto"/>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Chemical and Biological Research – </w:t>
      </w:r>
      <w:r>
        <w:rPr>
          <w:rFonts w:ascii="Arial" w:cs="Arial" w:eastAsia="Arial" w:hAnsi="Arial"/>
          <w:sz w:val="18"/>
          <w:szCs w:val="18"/>
          <w:color w:val="auto"/>
        </w:rPr>
        <w:t>Laboratory tests are carried out on tissue cultures and with a variety of small animals to determine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effects of the drug. If the results are promising, the manufacturer will proceed to the next step of development.</w:t>
      </w:r>
    </w:p>
    <w:p>
      <w:pPr>
        <w:spacing w:after="0" w:line="75" w:lineRule="exact"/>
        <w:rPr>
          <w:rFonts w:ascii="Arial" w:cs="Arial" w:eastAsia="Arial" w:hAnsi="Arial"/>
          <w:sz w:val="18"/>
          <w:szCs w:val="18"/>
          <w:color w:val="auto"/>
        </w:rPr>
      </w:pPr>
    </w:p>
    <w:p>
      <w:pPr>
        <w:ind w:left="1100" w:right="40" w:hanging="433"/>
        <w:spacing w:after="0" w:line="308" w:lineRule="auto"/>
        <w:tabs>
          <w:tab w:leader="none" w:pos="1100"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 xml:space="preserve">Pre-Clinical Development – </w:t>
      </w:r>
      <w:r>
        <w:rPr>
          <w:rFonts w:ascii="Arial" w:cs="Arial" w:eastAsia="Arial" w:hAnsi="Arial"/>
          <w:sz w:val="17"/>
          <w:szCs w:val="17"/>
          <w:color w:val="auto"/>
        </w:rPr>
        <w:t>Animals are given the drug in varying amounts over differing periods of time. If it can be shown that the drug</w:t>
      </w:r>
      <w:r>
        <w:rPr>
          <w:rFonts w:ascii="Arial" w:cs="Arial" w:eastAsia="Arial" w:hAnsi="Arial"/>
          <w:sz w:val="17"/>
          <w:szCs w:val="17"/>
          <w:i w:val="1"/>
          <w:iCs w:val="1"/>
          <w:color w:val="auto"/>
        </w:rPr>
        <w:t xml:space="preserve"> </w:t>
      </w:r>
      <w:r>
        <w:rPr>
          <w:rFonts w:ascii="Arial" w:cs="Arial" w:eastAsia="Arial" w:hAnsi="Arial"/>
          <w:sz w:val="17"/>
          <w:szCs w:val="17"/>
          <w:color w:val="auto"/>
        </w:rPr>
        <w:t>causes no serious or unexpected harm at the doses required to have an effect, the manufacturer will proceed to clinical trials.</w:t>
      </w:r>
    </w:p>
    <w:p>
      <w:pPr>
        <w:spacing w:after="0" w:line="51" w:lineRule="exact"/>
        <w:rPr>
          <w:rFonts w:ascii="Arial" w:cs="Arial" w:eastAsia="Arial" w:hAnsi="Arial"/>
          <w:sz w:val="17"/>
          <w:szCs w:val="17"/>
          <w:color w:val="auto"/>
        </w:rPr>
      </w:pPr>
    </w:p>
    <w:p>
      <w:pPr>
        <w:ind w:left="1100" w:right="20" w:hanging="433"/>
        <w:spacing w:after="0" w:line="301" w:lineRule="auto"/>
        <w:tabs>
          <w:tab w:leader="none" w:pos="110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Clinical Trials – Phase I – </w:t>
      </w:r>
      <w:r>
        <w:rPr>
          <w:rFonts w:ascii="Arial" w:cs="Arial" w:eastAsia="Arial" w:hAnsi="Arial"/>
          <w:sz w:val="16"/>
          <w:szCs w:val="16"/>
          <w:color w:val="auto"/>
        </w:rPr>
        <w:t>The first administration in humans is to test if people can tolerate the drug. If this testing is to take place in</w:t>
      </w:r>
      <w:r>
        <w:rPr>
          <w:rFonts w:ascii="Arial" w:cs="Arial" w:eastAsia="Arial" w:hAnsi="Arial"/>
          <w:sz w:val="16"/>
          <w:szCs w:val="16"/>
          <w:i w:val="1"/>
          <w:iCs w:val="1"/>
          <w:color w:val="auto"/>
        </w:rPr>
        <w:t xml:space="preserve"> </w:t>
      </w:r>
      <w:r>
        <w:rPr>
          <w:rFonts w:ascii="Arial" w:cs="Arial" w:eastAsia="Arial" w:hAnsi="Arial"/>
          <w:sz w:val="16"/>
          <w:szCs w:val="16"/>
          <w:color w:val="auto"/>
        </w:rPr>
        <w:t>Canada, the manufacturer must prepare a clinical trial application for the Therapeutic Products Directorate of Health Canada (the “</w:t>
      </w:r>
      <w:r>
        <w:rPr>
          <w:rFonts w:ascii="Arial" w:cs="Arial" w:eastAsia="Arial" w:hAnsi="Arial"/>
          <w:sz w:val="16"/>
          <w:szCs w:val="16"/>
          <w:b w:val="1"/>
          <w:bCs w:val="1"/>
          <w:color w:val="auto"/>
        </w:rPr>
        <w:t>TPD</w:t>
      </w:r>
      <w:r>
        <w:rPr>
          <w:rFonts w:ascii="Arial" w:cs="Arial" w:eastAsia="Arial" w:hAnsi="Arial"/>
          <w:sz w:val="16"/>
          <w:szCs w:val="16"/>
          <w:color w:val="auto"/>
        </w:rPr>
        <w:t>”). This includes the results of the first two steps and a proposal for testing in humans. If the information is sufficient, the Health Products and Food Branch of Health Canada (the “</w:t>
      </w:r>
      <w:r>
        <w:rPr>
          <w:rFonts w:ascii="Arial" w:cs="Arial" w:eastAsia="Arial" w:hAnsi="Arial"/>
          <w:sz w:val="16"/>
          <w:szCs w:val="16"/>
          <w:b w:val="1"/>
          <w:bCs w:val="1"/>
          <w:color w:val="auto"/>
        </w:rPr>
        <w:t>HPFB</w:t>
      </w:r>
      <w:r>
        <w:rPr>
          <w:rFonts w:ascii="Arial" w:cs="Arial" w:eastAsia="Arial" w:hAnsi="Arial"/>
          <w:sz w:val="16"/>
          <w:szCs w:val="16"/>
          <w:color w:val="auto"/>
        </w:rPr>
        <w:t>”) grants permission to start testing the drug, generally first on healthy volunteers.</w:t>
      </w:r>
    </w:p>
    <w:p>
      <w:pPr>
        <w:spacing w:after="0" w:line="62" w:lineRule="exact"/>
        <w:rPr>
          <w:rFonts w:ascii="Arial" w:cs="Arial" w:eastAsia="Arial" w:hAnsi="Arial"/>
          <w:sz w:val="16"/>
          <w:szCs w:val="16"/>
          <w:color w:val="auto"/>
        </w:rPr>
      </w:pPr>
    </w:p>
    <w:p>
      <w:pPr>
        <w:ind w:left="1100" w:right="80" w:hanging="433"/>
        <w:spacing w:after="0" w:line="263" w:lineRule="auto"/>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Clinical Trials – Phase II – </w:t>
      </w:r>
      <w:r>
        <w:rPr>
          <w:rFonts w:ascii="Arial" w:cs="Arial" w:eastAsia="Arial" w:hAnsi="Arial"/>
          <w:sz w:val="18"/>
          <w:szCs w:val="18"/>
          <w:color w:val="auto"/>
        </w:rPr>
        <w:t>Phase II trials are carried out on people with the target condition, who are usually otherwise healthy, with no</w:t>
      </w:r>
      <w:r>
        <w:rPr>
          <w:rFonts w:ascii="Arial" w:cs="Arial" w:eastAsia="Arial" w:hAnsi="Arial"/>
          <w:sz w:val="18"/>
          <w:szCs w:val="18"/>
          <w:i w:val="1"/>
          <w:iCs w:val="1"/>
          <w:color w:val="auto"/>
        </w:rPr>
        <w:t xml:space="preserve"> </w:t>
      </w:r>
      <w:r>
        <w:rPr>
          <w:rFonts w:ascii="Arial" w:cs="Arial" w:eastAsia="Arial" w:hAnsi="Arial"/>
          <w:sz w:val="18"/>
          <w:szCs w:val="18"/>
          <w:color w:val="auto"/>
        </w:rPr>
        <w:t>other medical condition. Trials carried out in Canada must be approved by the TPD. In phase II, the objective of the trials is to continue to gather information on the safety of the drug and begin to determine its effectiveness.</w:t>
      </w:r>
    </w:p>
    <w:p>
      <w:pPr>
        <w:spacing w:after="0" w:line="89" w:lineRule="exact"/>
        <w:rPr>
          <w:rFonts w:ascii="Arial" w:cs="Arial" w:eastAsia="Arial" w:hAnsi="Arial"/>
          <w:sz w:val="18"/>
          <w:szCs w:val="18"/>
          <w:color w:val="auto"/>
        </w:rPr>
      </w:pPr>
    </w:p>
    <w:p>
      <w:pPr>
        <w:ind w:left="1100" w:right="120" w:hanging="433"/>
        <w:spacing w:after="0" w:line="259" w:lineRule="auto"/>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Clinical Trials – Phase III – </w:t>
      </w:r>
      <w:r>
        <w:rPr>
          <w:rFonts w:ascii="Arial" w:cs="Arial" w:eastAsia="Arial" w:hAnsi="Arial"/>
          <w:sz w:val="18"/>
          <w:szCs w:val="18"/>
          <w:color w:val="auto"/>
        </w:rPr>
        <w:t>If the results from phase II show promise, the manufacturer provides an updated clinical trial application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TPD for phase III trials. The objectives of phase III include determining whether the drug can be shown to be effective, and have an acceptable side effect profile, in people who better represent the general population. Further information will also be obtained on how the drug should be used, the optimal dosage regimen and the possible side effects.</w:t>
      </w:r>
    </w:p>
    <w:p>
      <w:pPr>
        <w:spacing w:after="0" w:line="92" w:lineRule="exact"/>
        <w:rPr>
          <w:rFonts w:ascii="Arial" w:cs="Arial" w:eastAsia="Arial" w:hAnsi="Arial"/>
          <w:sz w:val="18"/>
          <w:szCs w:val="18"/>
          <w:color w:val="auto"/>
        </w:rPr>
      </w:pPr>
    </w:p>
    <w:p>
      <w:pPr>
        <w:ind w:left="1100" w:right="40" w:hanging="433"/>
        <w:spacing w:after="0" w:line="257" w:lineRule="auto"/>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New Drug Submission – </w:t>
      </w:r>
      <w:r>
        <w:rPr>
          <w:rFonts w:ascii="Arial" w:cs="Arial" w:eastAsia="Arial" w:hAnsi="Arial"/>
          <w:sz w:val="18"/>
          <w:szCs w:val="18"/>
          <w:color w:val="auto"/>
        </w:rPr>
        <w:t>If the results from phase III continue to be favourable, the drug manufacturer can submit a new drug submission</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NDS</w:t>
      </w:r>
      <w:r>
        <w:rPr>
          <w:rFonts w:ascii="Arial" w:cs="Arial" w:eastAsia="Arial" w:hAnsi="Arial"/>
          <w:sz w:val="18"/>
          <w:szCs w:val="18"/>
          <w:color w:val="auto"/>
        </w:rPr>
        <w:t>”) to the TPD. A drug manufacturer can submit an NDS regardless of whether the clinical trials were carried out in Canada. The TPD reviews all the 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United States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process required before a prescription drug product candidate may be marketed in the United States generally involves:</w:t>
      </w:r>
    </w:p>
    <w:p>
      <w:pPr>
        <w:spacing w:after="0" w:line="131" w:lineRule="exact"/>
        <w:rPr>
          <w:sz w:val="20"/>
          <w:szCs w:val="20"/>
          <w:color w:val="auto"/>
        </w:rPr>
      </w:pPr>
    </w:p>
    <w:p>
      <w:pPr>
        <w:ind w:left="1100" w:right="120" w:hanging="433"/>
        <w:spacing w:after="0" w:line="277" w:lineRule="auto"/>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completion of extensive non-clinical laboratory tests, animal studies and formulation studies, all performed in accordance with the FDA’s Good Laboratory, Good Clinical and/or Manufacturing Practice regulations;</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approval by an institutional review board or independent ethics committee at each clinical trial site before each trial may be initiated;</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14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7">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100" w:right="80" w:hanging="433"/>
        <w:spacing w:after="0" w:line="342" w:lineRule="auto"/>
        <w:tabs>
          <w:tab w:leader="none" w:pos="11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for some products, performance of adequate and well-controlled human clinical trials in accordance with the FDA’s regulations, including Good Clinical Practices, to establish the safety and efficacy of the prescription drug product candidate for each proposed indication;</w:t>
      </w:r>
    </w:p>
    <w:p>
      <w:pPr>
        <w:spacing w:after="0" w:line="25" w:lineRule="exact"/>
        <w:rPr>
          <w:rFonts w:ascii="Arial" w:cs="Arial" w:eastAsia="Arial" w:hAnsi="Arial"/>
          <w:sz w:val="16"/>
          <w:szCs w:val="16"/>
          <w:color w:val="auto"/>
        </w:rPr>
      </w:pPr>
    </w:p>
    <w:p>
      <w:pPr>
        <w:ind w:left="1100" w:hanging="433"/>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submission to the FDA of a New Drug Application (“</w:t>
      </w:r>
      <w:r>
        <w:rPr>
          <w:rFonts w:ascii="Arial" w:cs="Arial" w:eastAsia="Arial" w:hAnsi="Arial"/>
          <w:sz w:val="18"/>
          <w:szCs w:val="18"/>
          <w:b w:val="1"/>
          <w:bCs w:val="1"/>
          <w:color w:val="auto"/>
        </w:rPr>
        <w:t>NDA</w:t>
      </w:r>
      <w:r>
        <w:rPr>
          <w:rFonts w:ascii="Arial" w:cs="Arial" w:eastAsia="Arial" w:hAnsi="Arial"/>
          <w:sz w:val="18"/>
          <w:szCs w:val="18"/>
          <w:color w:val="auto"/>
        </w:rPr>
        <w:t>”); and</w:t>
      </w:r>
    </w:p>
    <w:p>
      <w:pPr>
        <w:spacing w:after="0" w:line="134" w:lineRule="exact"/>
        <w:rPr>
          <w:rFonts w:ascii="Arial" w:cs="Arial" w:eastAsia="Arial" w:hAnsi="Arial"/>
          <w:sz w:val="18"/>
          <w:szCs w:val="18"/>
          <w:color w:val="auto"/>
        </w:rPr>
      </w:pPr>
    </w:p>
    <w:p>
      <w:pPr>
        <w:ind w:left="1100" w:hanging="433"/>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FDA review and approval of the NDA prior to any commercial marketing, sale or shipment of the drug.</w:t>
      </w:r>
    </w:p>
    <w:p>
      <w:pPr>
        <w:sectPr>
          <w:pgSz w:w="11900" w:h="16838" w:orient="portrait"/>
          <w:cols w:equalWidth="0" w:num="1">
            <w:col w:w="11120"/>
          </w:cols>
          <w:pgMar w:left="320" w:top="125" w:right="459" w:bottom="200" w:gutter="0" w:footer="0" w:header="0"/>
        </w:sectPr>
      </w:pPr>
    </w:p>
    <w:bookmarkStart w:id="51" w:name="page52"/>
    <w:bookmarkEnd w:id="51"/>
    <w:p>
      <w:pPr>
        <w:ind w:left="120"/>
        <w:spacing w:after="0" w:line="277" w:lineRule="auto"/>
        <w:rPr>
          <w:sz w:val="20"/>
          <w:szCs w:val="20"/>
          <w:color w:val="auto"/>
        </w:rPr>
      </w:pPr>
      <w:r>
        <w:rPr>
          <w:rFonts w:ascii="Arial" w:cs="Arial" w:eastAsia="Arial" w:hAnsi="Arial"/>
          <w:sz w:val="18"/>
          <w:szCs w:val="18"/>
          <w:color w:val="auto"/>
        </w:rPr>
        <w:t>The testing and approval process requires substantial time, effort and financial resources, and the Corporation cannot be certain that any approvals for its prescription drug product candidates will be granted on a timely basis, if at all.</w:t>
      </w:r>
    </w:p>
    <w:p>
      <w:pPr>
        <w:spacing w:after="0" w:line="170" w:lineRule="exact"/>
        <w:rPr>
          <w:sz w:val="20"/>
          <w:szCs w:val="20"/>
          <w:color w:val="auto"/>
        </w:rPr>
      </w:pPr>
    </w:p>
    <w:p>
      <w:pPr>
        <w:jc w:val="both"/>
        <w:ind w:left="120" w:right="240"/>
        <w:spacing w:after="0" w:line="286" w:lineRule="auto"/>
        <w:rPr>
          <w:sz w:val="20"/>
          <w:szCs w:val="20"/>
          <w:color w:val="auto"/>
        </w:rPr>
      </w:pPr>
      <w:r>
        <w:rPr>
          <w:rFonts w:ascii="Arial" w:cs="Arial" w:eastAsia="Arial" w:hAnsi="Arial"/>
          <w:sz w:val="16"/>
          <w:szCs w:val="16"/>
          <w:color w:val="auto"/>
        </w:rPr>
        <w:t>Non-clinical tests include laboratory evaluations of product chemistry, formulation and stability, as well as studies to evaluate toxicity in animals and other animal studies.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w:t>
      </w:r>
    </w:p>
    <w:p>
      <w:pPr>
        <w:spacing w:after="0" w:line="1" w:lineRule="exact"/>
        <w:rPr>
          <w:sz w:val="20"/>
          <w:szCs w:val="20"/>
          <w:color w:val="auto"/>
        </w:rPr>
      </w:pPr>
    </w:p>
    <w:p>
      <w:pPr>
        <w:ind w:left="120" w:right="120"/>
        <w:spacing w:after="0" w:line="302" w:lineRule="auto"/>
        <w:rPr>
          <w:sz w:val="20"/>
          <w:szCs w:val="20"/>
          <w:color w:val="auto"/>
        </w:rPr>
      </w:pPr>
      <w:r>
        <w:rPr>
          <w:rFonts w:ascii="Arial" w:cs="Arial" w:eastAsia="Arial" w:hAnsi="Arial"/>
          <w:sz w:val="16"/>
          <w:szCs w:val="16"/>
          <w:color w:val="auto"/>
        </w:rPr>
        <w:t>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w:t>
      </w:r>
    </w:p>
    <w:p>
      <w:pPr>
        <w:spacing w:after="0" w:line="151" w:lineRule="exact"/>
        <w:rPr>
          <w:sz w:val="20"/>
          <w:szCs w:val="20"/>
          <w:color w:val="auto"/>
        </w:rPr>
      </w:pPr>
    </w:p>
    <w:p>
      <w:pPr>
        <w:ind w:left="120" w:right="120"/>
        <w:spacing w:after="0" w:line="256" w:lineRule="auto"/>
        <w:rPr>
          <w:sz w:val="20"/>
          <w:szCs w:val="20"/>
          <w:color w:val="auto"/>
        </w:rPr>
      </w:pPr>
      <w:r>
        <w:rPr>
          <w:rFonts w:ascii="Arial" w:cs="Arial" w:eastAsia="Arial" w:hAnsi="Arial"/>
          <w:sz w:val="18"/>
          <w:szCs w:val="18"/>
          <w:color w:val="auto"/>
        </w:rPr>
        <w:t>An independent institutional review board (“</w:t>
      </w:r>
      <w:r>
        <w:rPr>
          <w:rFonts w:ascii="Arial" w:cs="Arial" w:eastAsia="Arial" w:hAnsi="Arial"/>
          <w:sz w:val="18"/>
          <w:szCs w:val="18"/>
          <w:b w:val="1"/>
          <w:bCs w:val="1"/>
          <w:color w:val="auto"/>
        </w:rPr>
        <w:t>IRB</w:t>
      </w:r>
      <w:r>
        <w:rPr>
          <w:rFonts w:ascii="Arial" w:cs="Arial" w:eastAsia="Arial" w:hAnsi="Arial"/>
          <w:sz w:val="18"/>
          <w:szCs w:val="18"/>
          <w:color w:val="auto"/>
        </w:rPr>
        <w:t>”), at each of the clinical centers proposing to conduct the clinical trial must review and approve the plan for any clinical trial before it commences at that center. An IRB considers, among other things, whether the risks to individuals participating in the trials are minimized and are reasonable in relation to anticipated benefits. The IRB also approves the consent form signed by the trial participants and must monitor the study until completed. The FDA, the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w:t>
      </w:r>
    </w:p>
    <w:p>
      <w:pPr>
        <w:spacing w:after="0" w:line="19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Breakthrough Therapy designations, Fast Track designations, Priority Review and Accelerated Approval, which the Corporation may need to rely upon in order to receive timely approval or to be competitive.</w:t>
      </w:r>
    </w:p>
    <w:p>
      <w:pPr>
        <w:spacing w:after="0" w:line="18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 Corporation may plan to seek orphan drug designation for certain indications qualified for such designation. The U.S., E.U.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U.S. and 10 years in the E.U. Orphan drug designation does not prevent competitors from developing or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14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8">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jc w:val="both"/>
        <w:ind w:left="120" w:right="100"/>
        <w:spacing w:after="0" w:line="311" w:lineRule="auto"/>
        <w:rPr>
          <w:sz w:val="20"/>
          <w:szCs w:val="20"/>
          <w:color w:val="auto"/>
        </w:rPr>
      </w:pPr>
      <w:r>
        <w:rPr>
          <w:rFonts w:ascii="Arial" w:cs="Arial" w:eastAsia="Arial" w:hAnsi="Arial"/>
          <w:sz w:val="16"/>
          <w:szCs w:val="16"/>
          <w:color w:val="auto"/>
        </w:rPr>
        <w:t>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(NDA) fees.</w:t>
      </w:r>
    </w:p>
    <w:p>
      <w:pPr>
        <w:spacing w:after="0" w:line="14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spacing w:after="0" w:line="168"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Controlled Substances</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spacing w:after="0" w:line="188"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Facilities that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spacing w:after="0" w:line="184"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The DEA inspects all manufacturing facilities to review security, recordkeeping, reporting and handling prior to issuing a controlled substance registration. The specific security requirements vary by the type of business activity and the schedule and quantity of controlled substances handled. The most stringent requirements apply to manufacturers of Schedule I and Schedule II substances. Required security measures commonly include</w:t>
      </w:r>
    </w:p>
    <w:p>
      <w:pPr>
        <w:sectPr>
          <w:pgSz w:w="11900" w:h="16838" w:orient="portrait"/>
          <w:cols w:equalWidth="0" w:num="1">
            <w:col w:w="11120"/>
          </w:cols>
          <w:pgMar w:left="320" w:top="125" w:right="459" w:bottom="0" w:gutter="0" w:footer="0" w:header="0"/>
        </w:sectPr>
      </w:pPr>
    </w:p>
    <w:bookmarkStart w:id="52" w:name="page53"/>
    <w:bookmarkEnd w:id="52"/>
    <w:p>
      <w:pPr>
        <w:ind w:left="120" w:right="60"/>
        <w:spacing w:after="0" w:line="255" w:lineRule="auto"/>
        <w:rPr>
          <w:sz w:val="20"/>
          <w:szCs w:val="20"/>
          <w:color w:val="auto"/>
        </w:rPr>
      </w:pPr>
      <w:r>
        <w:rPr>
          <w:rFonts w:ascii="Arial" w:cs="Arial" w:eastAsia="Arial" w:hAnsi="Arial"/>
          <w:sz w:val="18"/>
          <w:szCs w:val="18"/>
          <w:color w:val="auto"/>
        </w:rPr>
        <w:t>background checks on employees 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 dispose of controlled substances. Imports of Schedule I and II controlled substances for commercial purposes are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14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9">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w:t>
      </w:r>
    </w:p>
    <w:p>
      <w:pPr>
        <w:spacing w:after="0" w:line="165" w:lineRule="exact"/>
        <w:rPr>
          <w:sz w:val="20"/>
          <w:szCs w:val="20"/>
          <w:color w:val="auto"/>
        </w:rPr>
      </w:pPr>
    </w:p>
    <w:p>
      <w:pPr>
        <w:jc w:val="both"/>
        <w:ind w:left="120" w:right="200"/>
        <w:spacing w:after="0" w:line="296" w:lineRule="auto"/>
        <w:rPr>
          <w:sz w:val="20"/>
          <w:szCs w:val="20"/>
          <w:color w:val="auto"/>
        </w:rPr>
      </w:pPr>
      <w:r>
        <w:rPr>
          <w:rFonts w:ascii="Arial" w:cs="Arial" w:eastAsia="Arial" w:hAnsi="Arial"/>
          <w:sz w:val="16"/>
          <w:szCs w:val="16"/>
          <w:color w:val="auto"/>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spacing w:after="0" w:line="161"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Individual U.S. states also establish and maintain separate controlled substance laws and regulations, including licensing, recordkeeping, security, distribution, and dispensing requirements. State authorities, including boards of pharmacy, regulate use of controlled substances in each state. Failure to maintain compliance with applicable requirements, particularly as manifested in the loss or diversion of controlled substances, can result in enforcement action that could have a material adverse effect on the Corporation’s business, operations and financial condition. The DEA may seek civil penalties, refuse to renew necessary registrations, or initiate proceedings to revoke those registrations. In certain circumstances, violations could lead to criminal prosecution.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Patent Cooperation Treaty</w:t>
      </w:r>
    </w:p>
    <w:p>
      <w:pPr>
        <w:spacing w:after="0" w:line="113" w:lineRule="exact"/>
        <w:rPr>
          <w:sz w:val="20"/>
          <w:szCs w:val="20"/>
          <w:color w:val="auto"/>
        </w:rPr>
      </w:pPr>
    </w:p>
    <w:p>
      <w:pPr>
        <w:ind w:left="120" w:right="20"/>
        <w:spacing w:after="0" w:line="282" w:lineRule="auto"/>
        <w:rPr>
          <w:sz w:val="20"/>
          <w:szCs w:val="20"/>
          <w:color w:val="auto"/>
        </w:rPr>
      </w:pPr>
      <w:r>
        <w:rPr>
          <w:rFonts w:ascii="Arial" w:cs="Arial" w:eastAsia="Arial" w:hAnsi="Arial"/>
          <w:sz w:val="18"/>
          <w:szCs w:val="18"/>
          <w:color w:val="auto"/>
        </w:rPr>
        <w:t>The Patent Cooperation Treaty (the “</w:t>
      </w:r>
      <w:r>
        <w:rPr>
          <w:rFonts w:ascii="Arial" w:cs="Arial" w:eastAsia="Arial" w:hAnsi="Arial"/>
          <w:sz w:val="18"/>
          <w:szCs w:val="18"/>
          <w:b w:val="1"/>
          <w:bCs w:val="1"/>
          <w:color w:val="auto"/>
        </w:rPr>
        <w:t>PCT</w:t>
      </w:r>
      <w:r>
        <w:rPr>
          <w:rFonts w:ascii="Arial" w:cs="Arial" w:eastAsia="Arial" w:hAnsi="Arial"/>
          <w:sz w:val="18"/>
          <w:szCs w:val="18"/>
          <w:color w:val="auto"/>
        </w:rPr>
        <w:t>”) facilitates filing for patent recognition in multiple jurisdictions simultaneously using a single uniform patent application. 193 countries, including Canada and the United States have ratified the PCT.</w:t>
      </w:r>
    </w:p>
    <w:p>
      <w:pPr>
        <w:spacing w:after="0" w:line="166" w:lineRule="exact"/>
        <w:rPr>
          <w:sz w:val="20"/>
          <w:szCs w:val="20"/>
          <w:color w:val="auto"/>
        </w:rPr>
      </w:pPr>
    </w:p>
    <w:p>
      <w:pPr>
        <w:ind w:left="120" w:right="820"/>
        <w:spacing w:after="0" w:line="277" w:lineRule="auto"/>
        <w:rPr>
          <w:sz w:val="20"/>
          <w:szCs w:val="20"/>
          <w:color w:val="auto"/>
        </w:rPr>
      </w:pPr>
      <w:r>
        <w:rPr>
          <w:rFonts w:ascii="Arial" w:cs="Arial" w:eastAsia="Arial" w:hAnsi="Arial"/>
          <w:sz w:val="18"/>
          <w:szCs w:val="18"/>
          <w:color w:val="auto"/>
        </w:rPr>
        <w:t>Ultimately, patents are still granted in each country individually. As such, the PCT procedure consists of two phases: filing of an international application, and national evaluation under the patent laws in force in each country where a patent is sought.</w:t>
      </w:r>
    </w:p>
    <w:p>
      <w:pPr>
        <w:spacing w:after="0" w:line="170"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Within 12 months of filing a provisional patent application at the United States Patent and Trademark Office, the Corporation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 desired jurisdictions globally, such as Canada (30 months) and Europe (31 months), in each case claiming priority to the provisional patent application.</w:t>
      </w:r>
    </w:p>
    <w:p>
      <w:pPr>
        <w:spacing w:after="0" w:line="18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While the Corporation is focused on programs using psychedelic-inspired compounds, the Corporation does not have any direct or indirect involvement with the illegal selling, production or distribution of any substances in the jurisdictions in which it operates. The Corporation is exploring drug development within approved laboratory clinical trial settings conducted within approved regulatory frameworks. Though highly speculative, should any prescription drug product be developed by the Corporation (which, if it does occur, would not be for several years), such drug product will not be commercialized prior to receipt of applicable regulatory approval, which will only be granted if clinical evidence of safety and efficacy for the intended use(s) is successfully developed. The Corporation may also employ non-prescription drugs, where appropriate.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08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0">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COMPLIANCE PROGRAM</w:t>
      </w:r>
    </w:p>
    <w:p>
      <w:pPr>
        <w:spacing w:after="0" w:line="229"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The Corporation oversees and monitors compliance with applicable laws in each jurisdiction in which it operates. In addition to the Corporation’s senior executives and the employees responsible for overseeing compliance, the Corporation has local counsel engaged in every jurisdiction in which it operates and has received legal opinions or advice in each of these jurisdictions regarding (a) compliance with applicable regulatory frameworks, and (b) potential exposure to, and implications arising from, applicable laws in jurisdictions in which the Corporation has operations or intends to operate.</w:t>
      </w:r>
    </w:p>
    <w:p>
      <w:pPr>
        <w:spacing w:after="0" w:line="157" w:lineRule="exact"/>
        <w:rPr>
          <w:sz w:val="20"/>
          <w:szCs w:val="20"/>
          <w:color w:val="auto"/>
        </w:rPr>
      </w:pPr>
    </w:p>
    <w:p>
      <w:pPr>
        <w:jc w:val="both"/>
        <w:ind w:left="120" w:right="640"/>
        <w:spacing w:after="0" w:line="286" w:lineRule="auto"/>
        <w:rPr>
          <w:sz w:val="20"/>
          <w:szCs w:val="20"/>
          <w:color w:val="auto"/>
        </w:rPr>
      </w:pPr>
      <w:r>
        <w:rPr>
          <w:rFonts w:ascii="Arial" w:cs="Arial" w:eastAsia="Arial" w:hAnsi="Arial"/>
          <w:sz w:val="17"/>
          <w:szCs w:val="17"/>
          <w:color w:val="auto"/>
        </w:rPr>
        <w:t>The Corporation works with third parties who require regulatory licensing to handle scheduled drugs. The Corporation continuously updates its compliance and channel programs to maintain regulatory standards set for drug development. The Corporation also works with clinical research organizations who maintain batch records and data storage for the Corporation’s clinical programs.</w:t>
      </w:r>
    </w:p>
    <w:p>
      <w:pPr>
        <w:spacing w:after="0" w:line="165"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Additionally, the Corporation has established a Medical &amp; Clinical Advisory Team, a Research, Clinical and Regulatory Team and a Government Relations and Communications Team with cross-functional expertise in business, neuroscience, pharmaceuticals, mental health and psychedelics to advise management.</w:t>
      </w:r>
    </w:p>
    <w:p>
      <w:pPr>
        <w:spacing w:after="0" w:line="184" w:lineRule="exact"/>
        <w:rPr>
          <w:sz w:val="20"/>
          <w:szCs w:val="20"/>
          <w:color w:val="auto"/>
        </w:rPr>
      </w:pPr>
    </w:p>
    <w:p>
      <w:pPr>
        <w:ind w:left="120" w:right="560"/>
        <w:spacing w:after="0" w:line="301" w:lineRule="auto"/>
        <w:rPr>
          <w:sz w:val="20"/>
          <w:szCs w:val="20"/>
          <w:color w:val="auto"/>
        </w:rPr>
      </w:pPr>
      <w:r>
        <w:rPr>
          <w:rFonts w:ascii="Arial" w:cs="Arial" w:eastAsia="Arial" w:hAnsi="Arial"/>
          <w:sz w:val="16"/>
          <w:szCs w:val="16"/>
          <w:color w:val="auto"/>
        </w:rPr>
        <w:t>In conjunction with the Corporation’s human resources and operations departments, the Corporation oversees and implements training on the Corporation’s protocols. The Corporation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Corporation operates.</w:t>
      </w:r>
    </w:p>
    <w:p>
      <w:pPr>
        <w:sectPr>
          <w:pgSz w:w="11900" w:h="16838" w:orient="portrait"/>
          <w:cols w:equalWidth="0" w:num="1">
            <w:col w:w="11120"/>
          </w:cols>
          <w:pgMar w:left="320" w:top="125" w:right="459" w:bottom="38" w:gutter="0" w:footer="0" w:header="0"/>
        </w:sectPr>
      </w:pPr>
    </w:p>
    <w:bookmarkStart w:id="53" w:name="page54"/>
    <w:bookmarkEnd w:id="53"/>
    <w:p>
      <w:pPr>
        <w:ind w:left="120" w:right="140"/>
        <w:spacing w:after="0" w:line="263" w:lineRule="auto"/>
        <w:rPr>
          <w:sz w:val="20"/>
          <w:szCs w:val="20"/>
          <w:color w:val="auto"/>
        </w:rPr>
      </w:pPr>
      <w:r>
        <w:rPr>
          <w:rFonts w:ascii="Arial" w:cs="Arial" w:eastAsia="Arial" w:hAnsi="Arial"/>
          <w:sz w:val="18"/>
          <w:szCs w:val="18"/>
          <w:color w:val="auto"/>
        </w:rPr>
        <w:t>The programs currently in place include monitoring by executives of the Corporation to ensure that operations conform to and comply with required laws, regulations and operating procedures. The Corporation is currently in compliance with the laws and regulations in all jurisdictions and the related licencing framework applicable to its business activities.</w:t>
      </w:r>
    </w:p>
    <w:p>
      <w:pPr>
        <w:spacing w:after="0" w:line="184"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Corporation and, to its knowledge, each of its third-party researchers, suppliers and manufacturers have not received any non-compliance, citations or notices of violation which may have an impact on the Corporation’s licences, business activities or operations.</w:t>
      </w:r>
    </w:p>
    <w:p>
      <w:pPr>
        <w:spacing w:after="0" w:line="170"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The Corporation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Corporation generally obtains, under its contractual arrangements, representations and warranties from such third parties pertaining to compliance with applicable licensing requirements and the regulatory framework enacted in the jurisdiction of operation.</w:t>
      </w:r>
    </w:p>
    <w:p>
      <w:pPr>
        <w:spacing w:after="0" w:line="36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CAPITALIZATION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 the date of the Annual Financial Statements, there has been no material change to the share and loan capital of the Corporation.</w:t>
      </w:r>
    </w:p>
    <w:p>
      <w:pPr>
        <w:spacing w:after="0" w:line="22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applicable Prospectus Supplement will describe any material changes, and the effect of such material changes, on the share and loan capitalization of the Corporation that will result from the issuance of Securities pursuant to each Prospectus Supplement.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08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1">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 xml:space="preserve">The net proceeds from any Offering of Securities and the proposed use of those proceeds will be set forth in the applicable Prospectus Supplement relating to that Offering of Securities. Notwithstanding, the Corporation’s management has broad discretion in the application of proceeds of an Offering of Securities. On the basis of results obtained or for other sound business reasons, the Corporation may re-allocate funds as required. Accordingly, the Corporation’s actual use of proceeds may vary significantly from any proposed use of proceeds disclosed in any applicable Prospectus Supplement. See </w:t>
      </w:r>
      <w:r>
        <w:rPr>
          <w:rFonts w:ascii="Arial" w:cs="Arial" w:eastAsia="Arial" w:hAnsi="Arial"/>
          <w:sz w:val="17"/>
          <w:szCs w:val="17"/>
          <w:i w:val="1"/>
          <w:iCs w:val="1"/>
          <w:color w:val="auto"/>
        </w:rPr>
        <w:t>“Risk Factors – Risks Related to an Offering – Discretion over the Use of Proceeds”</w:t>
      </w:r>
      <w:r>
        <w:rPr>
          <w:rFonts w:ascii="Arial" w:cs="Arial" w:eastAsia="Arial" w:hAnsi="Arial"/>
          <w:sz w:val="17"/>
          <w:szCs w:val="17"/>
          <w:color w:val="auto"/>
        </w:rPr>
        <w: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Sources and Uses of Capital</w:t>
      </w:r>
    </w:p>
    <w:p>
      <w:pPr>
        <w:spacing w:after="0" w:line="121" w:lineRule="exact"/>
        <w:rPr>
          <w:sz w:val="20"/>
          <w:szCs w:val="20"/>
          <w:color w:val="auto"/>
        </w:rPr>
      </w:pPr>
    </w:p>
    <w:p>
      <w:pPr>
        <w:ind w:left="120" w:right="120"/>
        <w:spacing w:after="0" w:line="272" w:lineRule="auto"/>
        <w:rPr>
          <w:sz w:val="20"/>
          <w:szCs w:val="20"/>
          <w:color w:val="auto"/>
        </w:rPr>
      </w:pPr>
      <w:r>
        <w:rPr>
          <w:rFonts w:ascii="Arial" w:cs="Arial" w:eastAsia="Arial" w:hAnsi="Arial"/>
          <w:sz w:val="17"/>
          <w:szCs w:val="17"/>
          <w:color w:val="auto"/>
        </w:rPr>
        <w:t>The Corporation had cash and cash equivalents on hand as at May 31, 2021 of approximately $58,409,485 including the remaining net proceeds from the Corporation’s bought deal short form prospectus offering for aggregate gross proceeds of $34,303,500 (the “</w:t>
      </w:r>
      <w:r>
        <w:rPr>
          <w:rFonts w:ascii="Arial" w:cs="Arial" w:eastAsia="Arial" w:hAnsi="Arial"/>
          <w:sz w:val="17"/>
          <w:szCs w:val="17"/>
          <w:b w:val="1"/>
          <w:bCs w:val="1"/>
          <w:color w:val="auto"/>
        </w:rPr>
        <w:t>February Offering</w:t>
      </w:r>
      <w:r>
        <w:rPr>
          <w:rFonts w:ascii="Arial" w:cs="Arial" w:eastAsia="Arial" w:hAnsi="Arial"/>
          <w:sz w:val="17"/>
          <w:szCs w:val="17"/>
          <w:color w:val="auto"/>
        </w:rPr>
        <w:t xml:space="preserve">”) that was completed on February 4, 2021. The Corporation’s current financial resources are sufficient to meet its short-term liquidity requirements and to fund its operations for at least the coming 12 months, exclusive of any additional proceeds to be raised through an Offering of Securities. The Corporation’s expectation is based on significant assumptions and is subject to significant risk, see </w:t>
      </w:r>
      <w:r>
        <w:rPr>
          <w:rFonts w:ascii="Arial" w:cs="Arial" w:eastAsia="Arial" w:hAnsi="Arial"/>
          <w:sz w:val="17"/>
          <w:szCs w:val="17"/>
          <w:i w:val="1"/>
          <w:iCs w:val="1"/>
          <w:color w:val="auto"/>
        </w:rPr>
        <w:t>“Cautionary Note Regarding Forward Looking Information”</w:t>
      </w:r>
      <w:r>
        <w:rPr>
          <w:rFonts w:ascii="Arial" w:cs="Arial" w:eastAsia="Arial" w:hAnsi="Arial"/>
          <w:sz w:val="17"/>
          <w:szCs w:val="17"/>
          <w:color w:val="auto"/>
        </w:rPr>
        <w:t xml:space="preserve"> and </w:t>
      </w:r>
      <w:r>
        <w:rPr>
          <w:rFonts w:ascii="Arial" w:cs="Arial" w:eastAsia="Arial" w:hAnsi="Arial"/>
          <w:sz w:val="17"/>
          <w:szCs w:val="17"/>
          <w:i w:val="1"/>
          <w:iCs w:val="1"/>
          <w:color w:val="auto"/>
        </w:rPr>
        <w:t>“Risk Factors”</w:t>
      </w:r>
      <w:r>
        <w:rPr>
          <w:rFonts w:ascii="Arial" w:cs="Arial" w:eastAsia="Arial" w:hAnsi="Arial"/>
          <w:sz w:val="17"/>
          <w:szCs w:val="17"/>
          <w:color w:val="auto"/>
        </w:rPr>
        <w:t>. As at May 31, 2021, the Corporation anticipates that it will require approximately $39,417,732 to continue operations over the next 12</w:t>
      </w:r>
      <w:r>
        <w:rPr>
          <w:rFonts w:ascii="Arial" w:cs="Arial" w:eastAsia="Arial" w:hAnsi="Arial"/>
          <w:sz w:val="17"/>
          <w:szCs w:val="17"/>
          <w:i w:val="1"/>
          <w:iCs w:val="1"/>
          <w:color w:val="auto"/>
        </w:rPr>
        <w:t xml:space="preserve"> </w:t>
      </w:r>
      <w:r>
        <w:rPr>
          <w:rFonts w:ascii="Arial" w:cs="Arial" w:eastAsia="Arial" w:hAnsi="Arial"/>
          <w:sz w:val="17"/>
          <w:szCs w:val="17"/>
          <w:color w:val="auto"/>
        </w:rPr>
        <w:t>months, including funding for the Corporations business objectives and milestones.</w:t>
      </w:r>
    </w:p>
    <w:p>
      <w:pPr>
        <w:spacing w:after="0" w:line="39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4"/>
              </w:rPr>
              <w:t>Anticipated</w:t>
            </w:r>
          </w:p>
        </w:tc>
        <w:tc>
          <w:tcPr>
            <w:tcW w:w="380" w:type="dxa"/>
            <w:vAlign w:val="bottom"/>
          </w:tcPr>
          <w:p>
            <w:pPr>
              <w:spacing w:after="0"/>
              <w:rPr>
                <w:sz w:val="14"/>
                <w:szCs w:val="14"/>
                <w:color w:val="auto"/>
              </w:rPr>
            </w:pPr>
          </w:p>
        </w:tc>
        <w:tc>
          <w:tcPr>
            <w:tcW w:w="13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7"/>
              </w:rPr>
              <w:t>Use of Proceeds</w:t>
            </w:r>
          </w:p>
        </w:tc>
        <w:tc>
          <w:tcPr>
            <w:tcW w:w="16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Amounts</w:t>
            </w: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Disclosure in</w:t>
            </w:r>
          </w:p>
        </w:tc>
        <w:tc>
          <w:tcPr>
            <w:tcW w:w="11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Remaining to be</w:t>
            </w:r>
          </w:p>
        </w:tc>
        <w:tc>
          <w:tcPr>
            <w:tcW w:w="0" w:type="dxa"/>
            <w:vAlign w:val="bottom"/>
          </w:tcPr>
          <w:p>
            <w:pPr>
              <w:spacing w:after="0"/>
              <w:rPr>
                <w:sz w:val="1"/>
                <w:szCs w:val="1"/>
                <w:color w:val="auto"/>
              </w:rPr>
            </w:pPr>
          </w:p>
        </w:tc>
      </w:tr>
      <w:tr>
        <w:trPr>
          <w:trHeight w:val="149"/>
        </w:trPr>
        <w:tc>
          <w:tcPr>
            <w:tcW w:w="7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Program</w:t>
            </w:r>
            <w:r>
              <w:rPr>
                <w:rFonts w:ascii="Arial" w:cs="Arial" w:eastAsia="Arial" w:hAnsi="Arial"/>
                <w:sz w:val="12"/>
                <w:szCs w:val="12"/>
                <w:b w:val="1"/>
                <w:bCs w:val="1"/>
                <w:color w:val="auto"/>
              </w:rPr>
              <w:t>(1)</w:t>
            </w: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12 Month Use</w:t>
            </w:r>
          </w:p>
        </w:tc>
        <w:tc>
          <w:tcPr>
            <w:tcW w:w="380" w:type="dxa"/>
            <w:vAlign w:val="bottom"/>
          </w:tcPr>
          <w:p>
            <w:pPr>
              <w:spacing w:after="0"/>
              <w:rPr>
                <w:sz w:val="12"/>
                <w:szCs w:val="12"/>
                <w:color w:val="auto"/>
              </w:rPr>
            </w:pPr>
          </w:p>
        </w:tc>
        <w:tc>
          <w:tcPr>
            <w:tcW w:w="13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February 2021</w:t>
            </w:r>
          </w:p>
        </w:tc>
        <w:tc>
          <w:tcPr>
            <w:tcW w:w="11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Applied From</w:t>
            </w:r>
          </w:p>
        </w:tc>
        <w:tc>
          <w:tcPr>
            <w:tcW w:w="0" w:type="dxa"/>
            <w:vAlign w:val="bottom"/>
          </w:tcPr>
          <w:p>
            <w:pPr>
              <w:spacing w:after="0"/>
              <w:rPr>
                <w:sz w:val="1"/>
                <w:szCs w:val="1"/>
                <w:color w:val="auto"/>
              </w:rPr>
            </w:pPr>
          </w:p>
        </w:tc>
      </w:tr>
      <w:tr>
        <w:trPr>
          <w:trHeight w:val="171"/>
        </w:trPr>
        <w:tc>
          <w:tcPr>
            <w:tcW w:w="7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4"/>
              <w:spacing w:after="0"/>
              <w:rPr>
                <w:sz w:val="20"/>
                <w:szCs w:val="20"/>
                <w:color w:val="auto"/>
              </w:rPr>
            </w:pPr>
            <w:r>
              <w:rPr>
                <w:rFonts w:ascii="Arial" w:cs="Arial" w:eastAsia="Arial" w:hAnsi="Arial"/>
                <w:sz w:val="14"/>
                <w:szCs w:val="14"/>
                <w:b w:val="1"/>
                <w:bCs w:val="1"/>
                <w:color w:val="auto"/>
                <w:w w:val="92"/>
              </w:rPr>
              <w:t>of Funds</w:t>
            </w:r>
            <w:r>
              <w:rPr>
                <w:rFonts w:ascii="Arial" w:cs="Arial" w:eastAsia="Arial" w:hAnsi="Arial"/>
                <w:sz w:val="12"/>
                <w:szCs w:val="12"/>
                <w:b w:val="1"/>
                <w:bCs w:val="1"/>
                <w:color w:val="auto"/>
                <w:w w:val="92"/>
              </w:rPr>
              <w:t>(2)</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Prospectus</w:t>
            </w:r>
            <w:r>
              <w:rPr>
                <w:rFonts w:ascii="Arial" w:cs="Arial" w:eastAsia="Arial" w:hAnsi="Arial"/>
                <w:sz w:val="12"/>
                <w:szCs w:val="12"/>
                <w:b w:val="1"/>
                <w:bCs w:val="1"/>
                <w:color w:val="auto"/>
                <w:w w:val="90"/>
              </w:rPr>
              <w:t>(3)</w:t>
            </w:r>
          </w:p>
        </w:tc>
        <w:tc>
          <w:tcPr>
            <w:tcW w:w="16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Proceeds</w:t>
            </w:r>
            <w:r>
              <w:rPr>
                <w:rFonts w:ascii="Arial" w:cs="Arial" w:eastAsia="Arial" w:hAnsi="Arial"/>
                <w:sz w:val="12"/>
                <w:szCs w:val="12"/>
                <w:b w:val="1"/>
                <w:bCs w:val="1"/>
                <w:color w:val="auto"/>
                <w:w w:val="87"/>
              </w:rPr>
              <w:t>(4)</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81"/>
              </w:rPr>
              <w:t>Psilocybin</w:t>
            </w:r>
          </w:p>
        </w:tc>
        <w:tc>
          <w:tcPr>
            <w:tcW w:w="6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Program</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3,791,727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3,837,600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2,841,727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Deuterated Tryptamines Preclinical Programs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5,662,888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11,920,000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10,862,888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Phenethylamine Preclinical Development Program</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2,375,141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2,600,000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2,375,141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Nutraceutical Products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500,000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4,187,704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6,425,000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6,187,764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60" w:type="dxa"/>
            <w:vAlign w:val="bottom"/>
            <w:gridSpan w:val="2"/>
          </w:tcPr>
          <w:p>
            <w:pPr>
              <w:spacing w:after="0"/>
              <w:rPr>
                <w:sz w:val="20"/>
                <w:szCs w:val="20"/>
                <w:color w:val="auto"/>
              </w:rPr>
            </w:pPr>
            <w:r>
              <w:rPr>
                <w:rFonts w:ascii="Arial" w:cs="Arial" w:eastAsia="Arial" w:hAnsi="Arial"/>
                <w:sz w:val="18"/>
                <w:szCs w:val="18"/>
                <w:color w:val="auto"/>
              </w:rPr>
              <w:t>Other, including General and Administrative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22,900,272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10,778,000</w:t>
            </w:r>
          </w:p>
        </w:tc>
        <w:tc>
          <w:tcPr>
            <w:tcW w:w="160" w:type="dxa"/>
            <w:vAlign w:val="bottom"/>
          </w:tcPr>
          <w:p>
            <w:pPr>
              <w:spacing w:after="0"/>
              <w:rPr>
                <w:sz w:val="20"/>
                <w:szCs w:val="20"/>
                <w:color w:val="auto"/>
              </w:rPr>
            </w:pPr>
            <w:r>
              <w:rPr>
                <w:rFonts w:ascii="Arial" w:cs="Arial" w:eastAsia="Arial" w:hAnsi="Arial"/>
                <w:sz w:val="18"/>
                <w:szCs w:val="18"/>
                <w:color w:val="auto"/>
                <w:w w:val="87"/>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69,709)</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39,417,732</w:t>
            </w:r>
          </w:p>
        </w:tc>
        <w:tc>
          <w:tcPr>
            <w:tcW w:w="3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36,060,600</w:t>
            </w: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22,697,751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Notes:</w:t>
      </w:r>
    </w:p>
    <w:p>
      <w:pPr>
        <w:spacing w:after="0" w:line="27" w:lineRule="exact"/>
        <w:rPr>
          <w:sz w:val="20"/>
          <w:szCs w:val="20"/>
          <w:color w:val="auto"/>
        </w:rPr>
      </w:pPr>
    </w:p>
    <w:p>
      <w:pPr>
        <w:ind w:left="560" w:right="120" w:hanging="444"/>
        <w:spacing w:after="0" w:line="250" w:lineRule="auto"/>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Please see the Corporation’s Annual MD&amp;A for a description of the Corporation’s Programs. All milestones are subject to receipt of all necessary approvals, including the academic and scientific organizations with which the Corporation is working.</w:t>
      </w:r>
    </w:p>
    <w:p>
      <w:pPr>
        <w:ind w:left="560" w:hanging="444"/>
        <w:spacing w:after="0"/>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Certain amounts have been converted from USD to CAD at an exchange rate of 1.2575:1.</w:t>
      </w:r>
    </w:p>
    <w:p>
      <w:pPr>
        <w:spacing w:after="0" w:line="9" w:lineRule="exact"/>
        <w:rPr>
          <w:rFonts w:ascii="Arial" w:cs="Arial" w:eastAsia="Arial" w:hAnsi="Arial"/>
          <w:sz w:val="18"/>
          <w:szCs w:val="18"/>
          <w:color w:val="auto"/>
        </w:rPr>
      </w:pPr>
    </w:p>
    <w:p>
      <w:pPr>
        <w:ind w:left="560" w:right="300" w:hanging="444"/>
        <w:spacing w:after="0" w:line="260" w:lineRule="auto"/>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 proceeds from private placements previously disclosed in the Listing Statement, as well proceeds disclosed in the February Offering prospectus.</w:t>
      </w:r>
    </w:p>
    <w:p>
      <w:pPr>
        <w:spacing w:after="0" w:line="181" w:lineRule="exact"/>
        <w:rPr>
          <w:sz w:val="20"/>
          <w:szCs w:val="20"/>
          <w:color w:val="auto"/>
        </w:rPr>
      </w:pPr>
    </w:p>
    <w:p>
      <w:pPr>
        <w:ind w:left="120" w:right="540"/>
        <w:spacing w:after="0" w:line="261" w:lineRule="auto"/>
        <w:rPr>
          <w:sz w:val="20"/>
          <w:szCs w:val="20"/>
          <w:color w:val="auto"/>
        </w:rPr>
      </w:pPr>
      <w:r>
        <w:rPr>
          <w:rFonts w:ascii="Arial" w:cs="Arial" w:eastAsia="Arial" w:hAnsi="Arial"/>
          <w:sz w:val="18"/>
          <w:szCs w:val="18"/>
          <w:b w:val="1"/>
          <w:bCs w:val="1"/>
          <w:color w:val="auto"/>
        </w:rPr>
        <w:t>For detailed information in respect of the Corporation’s business objectives and milestones, and the application of proceeds from prior offerings by the Corporation, prospective purchasers of Securities should carefully consider the information described in the interim and annual management’s discussion and analysis of the Corporation, and the documents incorporated by reference herein, including the applicable Prospectus Supplement.</w:t>
      </w:r>
    </w:p>
    <w:p>
      <w:pPr>
        <w:spacing w:after="0" w:line="184"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The expected uses of capital represents the Corporation’s current intentions based upon its present plans and business condition, which could change in the future as its plans and business conditions evolve. The amounts and timing of the actual use of available capital will depend on multiple factors and there may be circumstances where, for sound business reasons, a reallocation of capital, or termination of a program objective, may be necessary in order for the Corporation to achieve its program objectives. The Corporation may also require</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08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2">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ectPr>
          <w:pgSz w:w="11900" w:h="16838" w:orient="portrait"/>
          <w:cols w:equalWidth="0" w:num="1">
            <w:col w:w="11140"/>
          </w:cols>
          <w:pgMar w:left="320" w:top="125" w:right="439" w:bottom="0" w:gutter="0" w:footer="0" w:header="0"/>
        </w:sect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EE"/>
        </w:rPr>
        <w:t>Table of Contents</w:t>
      </w:r>
    </w:p>
    <w:p>
      <w:pPr>
        <w:sectPr>
          <w:pgSz w:w="11900" w:h="16838" w:orient="portrait"/>
          <w:cols w:equalWidth="0" w:num="1">
            <w:col w:w="11140"/>
          </w:cols>
          <w:pgMar w:left="320" w:top="125" w:right="439" w:bottom="0" w:gutter="0" w:footer="0" w:header="0"/>
          <w:type w:val="continuous"/>
        </w:sectPr>
      </w:pPr>
    </w:p>
    <w:bookmarkStart w:id="54" w:name="page55"/>
    <w:bookmarkEnd w:id="54"/>
    <w:p>
      <w:pPr>
        <w:ind w:left="120" w:right="80"/>
        <w:spacing w:after="0" w:line="257" w:lineRule="auto"/>
        <w:rPr>
          <w:sz w:val="20"/>
          <w:szCs w:val="20"/>
          <w:color w:val="auto"/>
        </w:rPr>
      </w:pPr>
      <w:r>
        <w:rPr>
          <w:rFonts w:ascii="Arial" w:cs="Arial" w:eastAsia="Arial" w:hAnsi="Arial"/>
          <w:sz w:val="18"/>
          <w:szCs w:val="18"/>
          <w:color w:val="auto"/>
        </w:rPr>
        <w:t>additional funds in order to fulfill its expenditure requirements to meet existing and any new business objectives, and the Corporation expects to either issue additional securities or incur debt to do so. The material factors or assumptions used to develop the estimated amounts for the 12 months period disclosed above are included in the “</w:t>
      </w:r>
      <w:r>
        <w:rPr>
          <w:rFonts w:ascii="Arial" w:cs="Arial" w:eastAsia="Arial" w:hAnsi="Arial"/>
          <w:sz w:val="18"/>
          <w:szCs w:val="18"/>
          <w:i w:val="1"/>
          <w:iCs w:val="1"/>
          <w:color w:val="auto"/>
        </w:rPr>
        <w:t>Cautionary Note Regarding Forward-Looking Information”</w:t>
      </w:r>
      <w:r>
        <w:rPr>
          <w:rFonts w:ascii="Arial" w:cs="Arial" w:eastAsia="Arial" w:hAnsi="Arial"/>
          <w:sz w:val="18"/>
          <w:szCs w:val="18"/>
          <w:color w:val="auto"/>
        </w:rPr>
        <w:t xml:space="preserve"> section above. The actual amount that the Corporation spends in connection with each of the identified uses and programs will depend on a number of factors, including those listed under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or incorporated by reference in, this Prospectus.</w:t>
      </w:r>
    </w:p>
    <w:p>
      <w:pPr>
        <w:spacing w:after="0" w:line="188"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 xml:space="preserve">Certain COVID-19 related risks could delay or slow the implementation of the certain of the Corporation’s planned programs resulting in additional costs for the Corporation. The extent to which COVID-19 may impact the Corporation’s business activities will depend on future developments, such as the ultimate geographic spread of the disease, the duration of the outbreak, travel restrictions, business disruptions, and the effectiveness of actions taken in Canada, the United States, Jamaica, and other countries to contain and treat the disease. As these events are highly uncertain, the Corporation cannot determine their potential impact on operations at this time. The COVID-19 pandemic may negatively impact the Corporation’s business through disruption of supply and manufacturing, which would influence the amount and timing of planned expenditure. For example, prolonged disruptions in the supply of goods and services relied on by the Corporation to develop its products or restrictions resulting from government regulations that impact the Corporation’s ability to conduct its studies and clinic trials, may adversely impact the Corporation’s business. See </w:t>
      </w:r>
      <w:r>
        <w:rPr>
          <w:rFonts w:ascii="Arial" w:cs="Arial" w:eastAsia="Arial" w:hAnsi="Arial"/>
          <w:sz w:val="16"/>
          <w:szCs w:val="16"/>
          <w:i w:val="1"/>
          <w:iCs w:val="1"/>
          <w:color w:val="auto"/>
        </w:rPr>
        <w:t>“The Corporation – COVID-19</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Pandemic” </w:t>
      </w:r>
      <w:r>
        <w:rPr>
          <w:rFonts w:ascii="Arial" w:cs="Arial" w:eastAsia="Arial" w:hAnsi="Arial"/>
          <w:sz w:val="16"/>
          <w:szCs w:val="16"/>
          <w:color w:val="auto"/>
        </w:rPr>
        <w:t>and “</w:t>
      </w:r>
      <w:r>
        <w:rPr>
          <w:rFonts w:ascii="Arial" w:cs="Arial" w:eastAsia="Arial" w:hAnsi="Arial"/>
          <w:sz w:val="16"/>
          <w:szCs w:val="16"/>
          <w:i w:val="1"/>
          <w:iCs w:val="1"/>
          <w:color w:val="auto"/>
        </w:rPr>
        <w:t>Risk Factors – Risks Related to the Business of the Corporation – Novel Coronavirus COVID-19”.</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Negative Cash Flow From Operations</w:t>
      </w:r>
    </w:p>
    <w:p>
      <w:pPr>
        <w:spacing w:after="0" w:line="121"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 xml:space="preserve">Since inception, the Corporation has financed its operations primarily from the issuance of equity and interest income on funds available for investment. To date, the Corporation has raised approximately $90,000,000 in gross proceeds through private placement and prospectus offerings. The Corporation has experienced operating losses and cash outflows from operations since incorporation and will require ongoing financing to continue its research and development activates. As the Corporation has not yet achieved profitability, there are uncertainties regarding its ability to continue as a going concern.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rFonts w:ascii="Arial" w:cs="Arial" w:eastAsia="Arial" w:hAnsi="Arial"/>
          <w:sz w:val="16"/>
          <w:szCs w:val="16"/>
          <w:i w:val="1"/>
          <w:iCs w:val="1"/>
          <w:color w:val="auto"/>
        </w:rPr>
        <w:t>“Risk Factors – Risks Related to an Offering – Negative Operating Cash Flow and Going Concern”</w:t>
      </w:r>
      <w:r>
        <w:rPr>
          <w:rFonts w:ascii="Arial" w:cs="Arial" w:eastAsia="Arial" w:hAnsi="Arial"/>
          <w:sz w:val="16"/>
          <w:szCs w:val="16"/>
          <w:color w:val="auto"/>
        </w:rPr>
        <w:t>.</w:t>
      </w:r>
    </w:p>
    <w:p>
      <w:pPr>
        <w:spacing w:after="0" w:line="3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The Corporation has never declared nor paid dividends on the Common Shares. Currently, the Corporation intends to retain its future earnings, if any, to fund the development and growth of its business, and the Corporation does not anticipate declaring or paying any dividends on the Common Shares in the near future, although the Corporation reserves the right to pay dividends if and when it is determined to be advisable by the board of directors of the Corporation. As a result, shareholders will have to rely on capital appreciation, if any, to earn a return on investment in the Common Shares in the foreseeable future. See “</w:t>
      </w:r>
      <w:r>
        <w:rPr>
          <w:rFonts w:ascii="Arial" w:cs="Arial" w:eastAsia="Arial" w:hAnsi="Arial"/>
          <w:sz w:val="17"/>
          <w:szCs w:val="17"/>
          <w:i w:val="1"/>
          <w:iCs w:val="1"/>
          <w:color w:val="auto"/>
        </w:rPr>
        <w:t>Risk Factors – Risks Related to an Offering – Speculative Nature of Investment Risk</w:t>
      </w:r>
      <w:r>
        <w:rPr>
          <w:rFonts w:ascii="Arial" w:cs="Arial" w:eastAsia="Arial" w:hAnsi="Arial"/>
          <w:sz w:val="17"/>
          <w:szCs w:val="17"/>
          <w:color w:val="auto"/>
        </w:rPr>
        <w:t>”.</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08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3">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SECURITIES BEING DISTRIBUTED</w:t>
      </w:r>
    </w:p>
    <w:p>
      <w:pPr>
        <w:spacing w:after="0" w:line="229"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The following is a brief summary of certain general terms and provisions of the Securities that may be offered pursuant to this Prospectus. This summary does not purport to be complete. The particular terms and provisions of the Securities as may be offered pursuant to this Prospectus will be set forth in the applicable Prospectus Supplement pertaining to such Offering of Securities, and the extent to which the general terms and provisions described below may apply to such Securities will be described in the applicable Prospectus Supplement.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Shares</w:t>
      </w:r>
    </w:p>
    <w:p>
      <w:pPr>
        <w:spacing w:after="0" w:line="12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Corporation is authorized to issue an unlimited number of Common Shares and an unlimited number of preferred shares. As at July 2, 2021, the Corporation had 148,413,013 Common Shares and nil preferred shares issued and outstanding.</w:t>
      </w:r>
    </w:p>
    <w:p>
      <w:pPr>
        <w:spacing w:after="0" w:line="170"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Each Common Share entitles the holder thereof to one vote at meetings of shareholders of the Corporation other than meetings of the holders of another class of shares. Each holder of Common Shares is also entitled to receive dividends if, as and when declared by the board of directors of the Corporation. Holders of Common Shares are entitled to participate in any distribution of the Corporation’s net assets upon liquidation, dissolution or winding-up on an equal basis per share. There are no pre-emptive, redemption, retraction, purchase or conversion rights attaching to the Common Shares.</w:t>
      </w:r>
    </w:p>
    <w:p>
      <w:pPr>
        <w:spacing w:after="0" w:line="188" w:lineRule="exact"/>
        <w:rPr>
          <w:sz w:val="20"/>
          <w:szCs w:val="20"/>
          <w:color w:val="auto"/>
        </w:rPr>
      </w:pPr>
    </w:p>
    <w:p>
      <w:pPr>
        <w:ind w:left="120" w:right="600"/>
        <w:spacing w:after="0" w:line="308" w:lineRule="auto"/>
        <w:rPr>
          <w:sz w:val="20"/>
          <w:szCs w:val="20"/>
          <w:color w:val="auto"/>
        </w:rPr>
      </w:pPr>
      <w:r>
        <w:rPr>
          <w:rFonts w:ascii="Arial" w:cs="Arial" w:eastAsia="Arial" w:hAnsi="Arial"/>
          <w:sz w:val="17"/>
          <w:szCs w:val="17"/>
          <w:color w:val="auto"/>
        </w:rPr>
        <w:t>Common Shares may be sold separately or together with certain other Securities under this Prospectus. Common Shares may also be issuable on conversion, exchange, exercise or maturity of certain other Securities qualified for issuance under this Prospectus.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Warrants may be offered separately or together with other Securities, as the case may be. Each series of Warrants may be issued under a separate warrant indenture or warrant agency agreement to be entered into between the Corporation and one or more banks or trust companies acting as Warrant agent or may be issued as stand-alone contracts. The applicable Prospectus Supplement will include details of the Warrant agreements, if any, governing the Warrants being offered. The Warrant agent, if any, will be expected to act solely as the agent of the Corporation and will not assume a relationship of agency with any holders of Warrant certificates or beneficial owners of Warrants. The following sets forth certain general terms and provisions of the Warrants that may be offered under this Prospectus. The specific terms of the Warrants, and the extent to which the general terms described in this section apply to those Warrants, will be set forth in the applicable Prospectus Supplement.</w:t>
      </w:r>
    </w:p>
    <w:p>
      <w:pPr>
        <w:sectPr>
          <w:pgSz w:w="11900" w:h="16838" w:orient="portrait"/>
          <w:cols w:equalWidth="0" w:num="1">
            <w:col w:w="11120"/>
          </w:cols>
          <w:pgMar w:left="320" w:top="125" w:right="459" w:bottom="0" w:gutter="0" w:footer="0" w:header="0"/>
        </w:sectPr>
      </w:pPr>
    </w:p>
    <w:bookmarkStart w:id="55" w:name="page56"/>
    <w:bookmarkEnd w:id="55"/>
    <w:p>
      <w:pPr>
        <w:ind w:left="120" w:right="140"/>
        <w:spacing w:after="0" w:line="277" w:lineRule="auto"/>
        <w:rPr>
          <w:sz w:val="20"/>
          <w:szCs w:val="20"/>
          <w:color w:val="auto"/>
        </w:rPr>
      </w:pPr>
      <w:r>
        <w:rPr>
          <w:rFonts w:ascii="Arial" w:cs="Arial" w:eastAsia="Arial" w:hAnsi="Arial"/>
          <w:sz w:val="18"/>
          <w:szCs w:val="18"/>
          <w:color w:val="auto"/>
        </w:rPr>
        <w:t>A copy of any warrant indenture or any warrant agency agreement relating to an offering of Warrants will be filed by the Corporation with the relevant securities regulatory authorities in Canada after it has been entered into by the Corporation.</w:t>
      </w:r>
    </w:p>
    <w:p>
      <w:pPr>
        <w:spacing w:after="0" w:line="170"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Each applicable Prospectus Supplement will set forth the terms and other information with respect to the Warrants being offered thereby, which may include, without limitation, the following (where applicable):</w:t>
      </w:r>
    </w:p>
    <w:p>
      <w:pPr>
        <w:spacing w:after="0" w:line="76" w:lineRule="exact"/>
        <w:rPr>
          <w:sz w:val="20"/>
          <w:szCs w:val="20"/>
          <w:color w:val="auto"/>
        </w:rPr>
      </w:pPr>
    </w:p>
    <w:p>
      <w:pPr>
        <w:ind w:left="1100" w:hanging="433"/>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designation of the Warrants;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aggregate number of Warrants offered and the offering price;</w:t>
      </w:r>
    </w:p>
    <w:p>
      <w:pPr>
        <w:spacing w:after="0" w:line="130" w:lineRule="exact"/>
        <w:rPr>
          <w:rFonts w:ascii="Arial" w:cs="Arial" w:eastAsia="Arial" w:hAnsi="Arial"/>
          <w:sz w:val="18"/>
          <w:szCs w:val="18"/>
          <w:color w:val="auto"/>
        </w:rPr>
      </w:pPr>
    </w:p>
    <w:p>
      <w:pPr>
        <w:ind w:left="1100" w:right="80" w:hanging="433"/>
        <w:spacing w:after="0" w:line="277" w:lineRule="auto"/>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designation, number and terms of the other Securities purchasable upon exercise of the Warrants, and procedures that will result in the adjustment of those numbers;</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exercise price of the Warrants;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dates or periods during which the Warrants are exercisable;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designation and terms of any securities with which the Warrants are issued;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14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4">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100" w:hanging="433"/>
        <w:spacing w:after="0" w:line="277" w:lineRule="auto"/>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the Warrants are issued as a unit with another Security, the date on and after which the Warrants and the other Security will be separately transferable;</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minimum or maximum amount of Warrants that may be exercised at any one time;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such Warrants will be listed on any securities exchange;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terms, procedures and limitations relating to the transferability, exchange or exercise of the Warrants;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certain material Canadian tax consequences of owning the Warrants; and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other material terms and conditions of the Warrants.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Corporation may issue Units comprised of one or more of the other Securities described herein in any combination. Each Unit may be issued so that the holder of the Unit is also the holder of each Security included in the Unit; thus, the holder of a Unit may have the rights and obligations of a holder of each included Security. Any Unit agreement under which a Unit may be issued may provide that the Securities included in the Unit may not be held or transferred separately at any time or at any time before a specified date.</w:t>
      </w:r>
    </w:p>
    <w:p>
      <w:pPr>
        <w:spacing w:after="0" w:line="187"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Each applicable Prospectus Supplement will set forth the terms and other information with respect to the Units being offered thereby, which may include, without limitation, the following (where applicable):</w:t>
      </w:r>
    </w:p>
    <w:p>
      <w:pPr>
        <w:spacing w:after="0" w:line="76" w:lineRule="exact"/>
        <w:rPr>
          <w:sz w:val="20"/>
          <w:szCs w:val="20"/>
          <w:color w:val="auto"/>
        </w:rPr>
      </w:pPr>
    </w:p>
    <w:p>
      <w:pPr>
        <w:ind w:left="1100" w:right="1000" w:hanging="433"/>
        <w:spacing w:after="0" w:line="277" w:lineRule="auto"/>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designation, number and terms of the Units and of the Securities comprising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provisions for the issuance, payment, settlement, transfer or exchange of the Units or of the Securities comprising the Units;</w:t>
      </w:r>
    </w:p>
    <w:p>
      <w:pPr>
        <w:spacing w:after="0" w:line="142" w:lineRule="exact"/>
        <w:rPr>
          <w:rFonts w:ascii="Arial" w:cs="Arial" w:eastAsia="Arial" w:hAnsi="Arial"/>
          <w:sz w:val="17"/>
          <w:szCs w:val="17"/>
          <w:color w:val="auto"/>
        </w:rPr>
      </w:pPr>
    </w:p>
    <w:p>
      <w:pPr>
        <w:ind w:left="1100" w:hanging="433"/>
        <w:spacing w:after="0"/>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certain material Canadian tax consequences of owning the Securities comprising the Units; and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other material terms and conditions of the Units.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Debt Securities</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Debt Securities will be senior or subordinated unsecured indebtedness of the Corporation as described in the relevant Prospectus Supplement. If the Debt Securities are senior indebtedness, they will rank equally and rateably with all other unsecured indebtedness of the Corporation, from time to time issued and outstanding, which is not subordinated.</w:t>
      </w:r>
    </w:p>
    <w:p>
      <w:pPr>
        <w:spacing w:after="0" w:line="184"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If the Debt Securities are subordinated indebtedness, they will rank equally and rateably with all other subordinated Debt Securities from time to time issued and outstanding. In the event of the insolvency or winding-up of the Corporation, the subordinated Debt Securities will be subordinated and postponed in right of payment to the prior payment in full of all other liabilities and indebtedness of the Corporation, other than indebtedness that, by its terms, ranks equally with, or subordinate to, such subordinated Debt Securities.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convertible or exchangeable Debt Securities will be convertible or exchangeable only for other securities of the Corporation.</w:t>
      </w:r>
    </w:p>
    <w:p>
      <w:pPr>
        <w:spacing w:after="0" w:line="225"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 xml:space="preserve">In conformity with applicable laws of Canada, for all bonds and notes of companies that are publicly offered, the Debt Securities will be governed by a document called an </w:t>
      </w:r>
      <w:r>
        <w:rPr>
          <w:rFonts w:ascii="Arial" w:cs="Arial" w:eastAsia="Arial" w:hAnsi="Arial"/>
          <w:sz w:val="18"/>
          <w:szCs w:val="18"/>
          <w:b w:val="1"/>
          <w:bCs w:val="1"/>
          <w:color w:val="auto"/>
        </w:rPr>
        <w:t>“indenture”</w:t>
      </w:r>
      <w:r>
        <w:rPr>
          <w:rFonts w:ascii="Arial" w:cs="Arial" w:eastAsia="Arial" w:hAnsi="Arial"/>
          <w:sz w:val="18"/>
          <w:szCs w:val="18"/>
          <w:color w:val="auto"/>
        </w:rPr>
        <w:t>. There will be a separate indenture for the senior Debt Securities and the subordinated Debt Securities. An indenture is a contract between a financial institution, acting on your behalf as trustee of the Debt Securities offered, and us. The trustee has two main roles. First, subject to some limitations on the extent to which the trustee can act on your behalf, the trustee can enforce your rights against us if we default on our obligations under the indenture. Second, the trustee performs certain</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08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5">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administrative duties for us. The aggregate principal amount of Debt Securities that may be issued under each indenture is unlimited. A copy of the form of each indenture to be entered into in connection with offerings of Debt Securities will be filed with the applicable securities regulatory authorities in</w:t>
      </w:r>
    </w:p>
    <w:p>
      <w:pPr>
        <w:sectPr>
          <w:pgSz w:w="11900" w:h="16838" w:orient="portrait"/>
          <w:cols w:equalWidth="0" w:num="1">
            <w:col w:w="11100"/>
          </w:cols>
          <w:pgMar w:left="320" w:top="125" w:right="479" w:bottom="0" w:gutter="0" w:footer="0" w:header="0"/>
        </w:sectPr>
      </w:pPr>
    </w:p>
    <w:bookmarkStart w:id="56" w:name="page57"/>
    <w:bookmarkEnd w:id="56"/>
    <w:p>
      <w:pPr>
        <w:ind w:left="120" w:right="160"/>
        <w:spacing w:after="0" w:line="277" w:lineRule="auto"/>
        <w:rPr>
          <w:sz w:val="20"/>
          <w:szCs w:val="20"/>
          <w:color w:val="auto"/>
        </w:rPr>
      </w:pPr>
      <w:r>
        <w:rPr>
          <w:rFonts w:ascii="Arial" w:cs="Arial" w:eastAsia="Arial" w:hAnsi="Arial"/>
          <w:sz w:val="18"/>
          <w:szCs w:val="18"/>
          <w:color w:val="auto"/>
        </w:rPr>
        <w:t>Canada when it is entered into. A copy of any indenture or supplement thereto entered into by us will be filed with securities regulatory authorities and will be available on our profile on SEDAR.</w:t>
      </w:r>
    </w:p>
    <w:p>
      <w:pPr>
        <w:spacing w:after="0" w:line="170"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This Prospectus does not qualify for issuance Debt Securities in respect of which the payment of principal and/or interest may be determined, in whole or in part, by reference to one or more underlying interests including, for example, an equity or debt security, a statistical measure of economic or financial performance including, but not limited to, any currency, consumer price or mortgage index, or the price or value of one or more commodities, indices or other items, or any other item or formula, or any combination or basket of the foregoing items. For greater certainty, this Prospectus may qualify for issuance Debt Securities in respect of which the payment of principal and/or interest may be determined, in whole or in part, by reference to published rates of a central banking authority or one or more financial institutions, such as a prime rate or bankers’ acceptance rate, or to recognized market benchmark interest rates such as LIBOR, EURIBOR or a United States federal funds rate.</w:t>
      </w:r>
    </w:p>
    <w:p>
      <w:pPr>
        <w:spacing w:after="0" w:line="166"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Selected provisions of the Debt Securities and the indenture(s) under which such Debt Securities will be issued are summarized below. This summary is not complete. The statements made in this Prospectus relating to any indenture and Debt Securities to be issued thereunder are summaries of certain anticipated provisions thereof and are subject to, and are qualified in their entirety by reference to, all provisions of the applicable indenture. The indentures will not limit the amount of Debt Securities that we may issue thereunder. We may issue Debt Securities from time to time under an indenture in one or more series by entering into supplemental indentures or by our board of directors or a duly authorized committee authorizing the issuance. The Debt Securities of a series need not be issued at the same time, bear interest at the same rate or mature on the same date.</w:t>
      </w:r>
    </w:p>
    <w:p>
      <w:pPr>
        <w:spacing w:after="0" w:line="16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Prospectus Supplement for a particular series of Debt Securities will disclose the specific terms of such Debt Securities, including the price or prices at which the Debt Securities to be offered will be issued. The terms and provisions of any Debt Securities offered under a Prospectus Supplement may differ from the terms described below, and may not be subject to or contain any or all of such terms. Those terms may include some or all of the following:</w:t>
      </w:r>
    </w:p>
    <w:p>
      <w:pPr>
        <w:spacing w:after="0" w:line="92" w:lineRule="exact"/>
        <w:rPr>
          <w:sz w:val="20"/>
          <w:szCs w:val="20"/>
          <w:color w:val="auto"/>
        </w:rPr>
      </w:pPr>
    </w:p>
    <w:p>
      <w:pPr>
        <w:ind w:left="1100" w:hanging="433"/>
        <w:spacing w:after="0"/>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designation, aggregate principal amount and authorized denominations of such Debt Securities;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indenture under which such Debt Securities will be issued and the trustee(s) thereunder;</w:t>
      </w:r>
    </w:p>
    <w:p>
      <w:pPr>
        <w:spacing w:after="0" w:line="130" w:lineRule="exact"/>
        <w:rPr>
          <w:rFonts w:ascii="Arial" w:cs="Arial" w:eastAsia="Arial" w:hAnsi="Arial"/>
          <w:sz w:val="18"/>
          <w:szCs w:val="18"/>
          <w:color w:val="auto"/>
        </w:rPr>
      </w:pPr>
    </w:p>
    <w:p>
      <w:pPr>
        <w:ind w:left="1100" w:hanging="433"/>
        <w:spacing w:after="0" w:line="277" w:lineRule="auto"/>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currency or currency units for which the Debt Securities may be purchased and the currency or currency unit in which the principal and any interest is payable (in either case, if other than Canadian dollars);</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such Debt Securities are senior or subordinated and, if subordinated, the applicable subordination provisions;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percentage of the principal amount at which such Debt Securities will be issued;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date or dates on which such Debt Securities will mature;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rate or rates per annum at which such Debt Securities will bear interest (if any), or the method of determination of such rates (if any);</w:t>
      </w:r>
    </w:p>
    <w:p>
      <w:pPr>
        <w:spacing w:after="0" w:line="153" w:lineRule="exact"/>
        <w:rPr>
          <w:rFonts w:ascii="Arial" w:cs="Arial" w:eastAsia="Arial" w:hAnsi="Arial"/>
          <w:sz w:val="16"/>
          <w:szCs w:val="16"/>
          <w:color w:val="auto"/>
        </w:rPr>
      </w:pPr>
    </w:p>
    <w:p>
      <w:pPr>
        <w:ind w:left="1100" w:hanging="433"/>
        <w:spacing w:after="0"/>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dates on which any such interest will be payable and the record dates for such payments;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redemption term or terms under which such Debt Securities may be defeased;</w:t>
      </w:r>
    </w:p>
    <w:p>
      <w:pPr>
        <w:spacing w:after="0" w:line="130" w:lineRule="exact"/>
        <w:rPr>
          <w:rFonts w:ascii="Arial" w:cs="Arial" w:eastAsia="Arial" w:hAnsi="Arial"/>
          <w:sz w:val="18"/>
          <w:szCs w:val="18"/>
          <w:color w:val="auto"/>
        </w:rPr>
      </w:pPr>
    </w:p>
    <w:p>
      <w:pPr>
        <w:ind w:left="1100" w:right="240" w:hanging="433"/>
        <w:spacing w:after="0" w:line="277" w:lineRule="auto"/>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such Debt Securities are to be issued in registered form, bearer form or in the form of temporary or permanent global securities and the basis of exchange, transfer and ownership thereof;</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place or places where principal, premium and interest will be payable;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08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6">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100" w:right="160" w:hanging="433"/>
        <w:spacing w:after="0" w:line="277" w:lineRule="auto"/>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designation and terms of any other Securities with which the Debt Securities will be offered, if any, and the principal amount of Debt Securities that will be offered with each Security;</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securities exchange(s) on which such series of Debt Securities will be listed, if any;</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terms relating to the modification, amendment or waiver of any terms of such Debt Securities or the applicable indenture;</w:t>
      </w:r>
    </w:p>
    <w:p>
      <w:pPr>
        <w:spacing w:after="0" w:line="130" w:lineRule="exact"/>
        <w:rPr>
          <w:rFonts w:ascii="Arial" w:cs="Arial" w:eastAsia="Arial" w:hAnsi="Arial"/>
          <w:sz w:val="18"/>
          <w:szCs w:val="18"/>
          <w:color w:val="auto"/>
        </w:rPr>
      </w:pPr>
    </w:p>
    <w:p>
      <w:pPr>
        <w:ind w:left="1100" w:right="540" w:hanging="433"/>
        <w:spacing w:after="0" w:line="277" w:lineRule="auto"/>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change in the right of the trustee or the holders to declare the principal, premium and interest with respect to such series of debt securities to be due and payable;</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130" w:lineRule="exact"/>
        <w:rPr>
          <w:rFonts w:ascii="Arial" w:cs="Arial" w:eastAsia="Arial" w:hAnsi="Arial"/>
          <w:sz w:val="18"/>
          <w:szCs w:val="18"/>
          <w:color w:val="auto"/>
        </w:rPr>
      </w:pPr>
    </w:p>
    <w:p>
      <w:pPr>
        <w:ind w:left="1100" w:right="420" w:hanging="433"/>
        <w:spacing w:after="0" w:line="277" w:lineRule="auto"/>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Debt Securities of such series that may be authenticated and delivered under the indenture;</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other than the Corporation or the trustee, the identity of each registrar and/or paying agent;</w:t>
      </w:r>
    </w:p>
    <w:p>
      <w:pPr>
        <w:spacing w:after="0" w:line="130" w:lineRule="exact"/>
        <w:rPr>
          <w:rFonts w:ascii="Arial" w:cs="Arial" w:eastAsia="Arial" w:hAnsi="Arial"/>
          <w:sz w:val="18"/>
          <w:szCs w:val="18"/>
          <w:color w:val="auto"/>
        </w:rPr>
      </w:pPr>
    </w:p>
    <w:p>
      <w:pPr>
        <w:ind w:left="1100" w:right="360" w:hanging="433"/>
        <w:spacing w:after="0" w:line="277" w:lineRule="auto"/>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Debt Securities are issued as a Unit with another Security, the date on and after which the Debt Securities and other Security will be separately transferable;</w:t>
      </w:r>
    </w:p>
    <w:p>
      <w:pPr>
        <w:spacing w:after="0" w:line="75" w:lineRule="exact"/>
        <w:rPr>
          <w:rFonts w:ascii="Arial" w:cs="Arial" w:eastAsia="Arial" w:hAnsi="Arial"/>
          <w:sz w:val="18"/>
          <w:szCs w:val="18"/>
          <w:color w:val="auto"/>
        </w:rPr>
      </w:pPr>
    </w:p>
    <w:p>
      <w:pPr>
        <w:ind w:left="1100" w:right="280" w:hanging="433"/>
        <w:spacing w:after="0" w:line="277" w:lineRule="auto"/>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Debt Securities are to be issued upon the exercise of Warrants, the time, manner and place for such Securities to be authenticated and delivered;</w:t>
      </w:r>
    </w:p>
    <w:p>
      <w:pPr>
        <w:spacing w:after="0" w:line="75" w:lineRule="exact"/>
        <w:rPr>
          <w:rFonts w:ascii="Arial" w:cs="Arial" w:eastAsia="Arial" w:hAnsi="Arial"/>
          <w:sz w:val="18"/>
          <w:szCs w:val="18"/>
          <w:color w:val="auto"/>
        </w:rPr>
      </w:pPr>
    </w:p>
    <w:p>
      <w:pPr>
        <w:ind w:left="1100" w:right="760" w:hanging="433"/>
        <w:spacing w:after="0" w:line="277" w:lineRule="auto"/>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Debt Securities are to be convertible or exchangeable into other securities of the Corporation, the terms and procedures for the conversion or exchange of the Debt Securities into other securities; and</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other specific terms of the Debt Securities of such series, including any events of default or covenants.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Subscription Receipts</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Subscription Receipts may be offered separately or together with other Securities, as the case may be. The Subscription Receipts may be issued under a subscription receipt agreement.</w:t>
      </w:r>
    </w:p>
    <w:p>
      <w:pPr>
        <w:sectPr>
          <w:pgSz w:w="11900" w:h="16838" w:orient="portrait"/>
          <w:cols w:equalWidth="0" w:num="1">
            <w:col w:w="11120"/>
          </w:cols>
          <w:pgMar w:left="320" w:top="125" w:right="459" w:bottom="0" w:gutter="0" w:footer="0" w:header="0"/>
        </w:sectPr>
      </w:pPr>
    </w:p>
    <w:bookmarkStart w:id="57" w:name="page58"/>
    <w:bookmarkEnd w:id="57"/>
    <w:p>
      <w:pPr>
        <w:spacing w:after="0" w:line="63"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The applicable Prospectus Supplement will include details of any subscription receipt agreement covering the Subscription Receipts being offered. A copy of any subscription receipt agreement relating to an offering of Subscription Receipts will be filed by the Corporation with the relevant securities regulatory authorities in Canada after the Corporation has entered into it. The specific terms of the Subscription Receipts, and the extent to which the general terms described in this section apply to those Subscription Receipts, will be set forth in the applicable Prospectus Supplement. This description may include, without limitation, the following (where applicable):</w:t>
      </w:r>
    </w:p>
    <w:p>
      <w:pPr>
        <w:spacing w:after="0" w:line="93" w:lineRule="exact"/>
        <w:rPr>
          <w:sz w:val="20"/>
          <w:szCs w:val="20"/>
          <w:color w:val="auto"/>
        </w:rPr>
      </w:pPr>
    </w:p>
    <w:p>
      <w:pPr>
        <w:ind w:left="1100" w:hanging="433"/>
        <w:spacing w:after="0"/>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number of Subscription Receipts;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price at which the Subscription Receipts will be offered;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terms, conditions and procedures for the conversion of the Subscription Receipts into other Securities;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designation, number and terms of the other Securities that may be exchanged upon conversion of each Subscription Receipt;</w:t>
      </w:r>
    </w:p>
    <w:p>
      <w:pPr>
        <w:spacing w:after="0" w:line="142" w:lineRule="exact"/>
        <w:rPr>
          <w:rFonts w:ascii="Arial" w:cs="Arial" w:eastAsia="Arial" w:hAnsi="Arial"/>
          <w:sz w:val="17"/>
          <w:szCs w:val="17"/>
          <w:color w:val="auto"/>
        </w:rPr>
      </w:pPr>
    </w:p>
    <w:p>
      <w:pPr>
        <w:ind w:left="1100" w:right="440" w:hanging="433"/>
        <w:spacing w:after="0" w:line="277" w:lineRule="auto"/>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designation, number and terms of other Securities with which the Subscription Receipts will be offered, if any, and the number of Subscription Receipts that will be offered with each Security;</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terms applicable to the gross or net proceeds from the sale of the Subscription Receipts plus any interest earned thereon;</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certain material Canadian tax consequences of owning the Subscription Receipts; and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other material terms and conditions of the Subscription Receipts.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14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7">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Corporation may from time to time during the 25-month period that this Prospectus, including any amendments and supplements hereto, remains valid, offer for sale and sell up to an aggregate of $125,000,000 in Securities hereunder.</w:t>
      </w:r>
    </w:p>
    <w:p>
      <w:pPr>
        <w:spacing w:after="0" w:line="170"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Securities may be sold by us (i) directly pursuant to applicable statutory exemptions, (ii) to or through underwriters or dealers, or (iii) through designated agents. The Prospectus Supplement relating to a particular Offering of Securities will identify any underwriter, dealer or agent engaged in connection with the offering and sale of such Securities, and will set forth the terms of the offering of such Securities, including, to the extent applicable, any fees, discounts or any other compensation payable to underwriters, dealers or agents in connection with the offering, the method of distribution of the Securities, the purchase price of the Securities (or the manner of determination thereof if offered on a non-fixed price basis), the net proceeds to us and any other material terms of the plan of distribution (including sales in transactions that are deemed to be “at-the-market distributions” as defined in NI 44-102). Any initial offering price and discounts, concessions or commissions allowed or re-allowed or paid to underwriters, dealers or agents may be changed from time to time. Only underwriters named in the Prospectus Supplement are deemed to be underwriters in connection with our Securities offered by that Prospectus Supplement.</w:t>
      </w:r>
    </w:p>
    <w:p>
      <w:pPr>
        <w:spacing w:after="0" w:line="181"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The Securities may be sold from time to time in one or more transactions at a fixed price or prices or at non-fixed prices. If offered on a non-fixed price basis, the Securities may be offered at market prices prevailing at the time of sale, at prices determined by reference to the prevailing price of a specified security in a specified market or at prices to be negotiated with purchasers including sales in transactions that are deemed to be “at-the-market” distributions, including sales made directly on the NEO or other existing trading markets for the Securities,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The price at which the Securities will be offered and sold may vary from purchaser to purchaser and during the period of distribution.</w:t>
      </w:r>
    </w:p>
    <w:p>
      <w:pPr>
        <w:spacing w:after="0" w:line="177"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Sales of Securities under an “at-the-market distribution”, if any, will be made pursuant to an accompanying Prospectus Supplement. Sales of Securities under any “at-the-market” program will be made in transactions that are “at-the-market distributions” as defined in NI 44-102. The volume and timing of any “at-the-market distributions” will be determined at the Corporation’s sole discretion.</w:t>
      </w:r>
    </w:p>
    <w:p>
      <w:pPr>
        <w:spacing w:after="0" w:line="18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pacing w:after="0" w:line="188"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In connection with the sale of the Securities, underwriters, dealers or agents may receive compensation from the Corporation including in the form of underwriters’, dealers’ or agents’ fees, commissions or concessions.</w:t>
      </w:r>
    </w:p>
    <w:p>
      <w:pPr>
        <w:spacing w:after="0" w:line="170"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Underwriters, dealers and agents that participate in the distribution of the Securities may be deemed to be underwriters for the purposes of applicable Canadian securities legislation and any such compensation that they receive from the Corporation and any profit that they make on the resale of the Securities, may be deemed to be underwriting commissions.</w:t>
      </w:r>
    </w:p>
    <w:p>
      <w:pPr>
        <w:spacing w:after="0" w:line="184"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Underwriters, dealers or agents who participate in the distribution of the Securities may be entitled, under agreements to be entered into with the Corporation to indemnification by the Corporation against certain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14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8">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liabilities, including liabilities under Canadian securities legislation, or to contribution with respect to payments, which such underwriters, dealers or agents may be required to make in respect thereof. Such underwriters, dealers and agents may be customers of, engage in transactions with, or perform</w:t>
      </w:r>
    </w:p>
    <w:p>
      <w:pPr>
        <w:sectPr>
          <w:pgSz w:w="11900" w:h="16902" w:orient="portrait"/>
          <w:cols w:equalWidth="0" w:num="1">
            <w:col w:w="11120"/>
          </w:cols>
          <w:pgMar w:left="320" w:top="125" w:right="459" w:bottom="0" w:gutter="0" w:footer="0" w:header="0"/>
        </w:sectPr>
      </w:pPr>
    </w:p>
    <w:bookmarkStart w:id="58" w:name="page59"/>
    <w:bookmarkEnd w:id="58"/>
    <w:p>
      <w:pPr>
        <w:ind w:left="120"/>
        <w:spacing w:after="0"/>
        <w:rPr>
          <w:sz w:val="20"/>
          <w:szCs w:val="20"/>
          <w:color w:val="auto"/>
        </w:rPr>
      </w:pPr>
      <w:r>
        <w:rPr>
          <w:rFonts w:ascii="Arial" w:cs="Arial" w:eastAsia="Arial" w:hAnsi="Arial"/>
          <w:sz w:val="18"/>
          <w:szCs w:val="18"/>
          <w:color w:val="auto"/>
        </w:rPr>
        <w:t>services for, the Corporation in the ordinary course of business.</w:t>
      </w:r>
    </w:p>
    <w:p>
      <w:pPr>
        <w:spacing w:after="0" w:line="22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In connection with any Offering of Securities, subject to applicable laws and other than an “at-the-market distribution”, the underwriters, dealers or agents, as the case may be, may over-allot or effect transactions which stabilize, maintain or otherwise affect the market price of the offered Securities at a level other than those which otherwise might prevail on the open market. Such transactions may be commenced, interrupted or discontinued at any time.</w:t>
      </w:r>
    </w:p>
    <w:p>
      <w:pPr>
        <w:spacing w:after="0" w:line="18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Offerings in the United States</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Securities have not been, and will not be, registered under the U.S. Securities Act or any state securities laws and, subject to certain exceptions, may not be offered or sold or otherwise transferred or disposed of in the United States absent registration or pursuant to an applicable exemption from registration under the U.S. Securities Act and applicable state securities laws. In addition, until 40 days after the commencement of an Offering of Securities under any applicable Prospectus Supplement, an offer or sale of Securities within the United States by any dealer (whether or not participating in the Offering of Securities) may violate the registration requirements of the U.S. Securities Act if such offer is made otherwise than in reliance on an exemption from the registration requirements of the U.S. Securities Act.</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5"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b w:val="1"/>
          <w:bCs w:val="1"/>
          <w:color w:val="auto"/>
        </w:rPr>
        <w:t>An investment in the Securities involves a high degree of risk and must be considered speculative due to the nature of the Corporation’s business and present stage of development. Before making an investment decision, prospective purchasers of Securities should carefully consider the information described in this Prospectus and the documents incorporated by reference herein, including the applicable Prospectus Supplement. There are certain risks inherent in an investment in the Securities, including the factors described below and under the heading “</w:t>
      </w:r>
      <w:r>
        <w:rPr>
          <w:rFonts w:ascii="Arial" w:cs="Arial" w:eastAsia="Arial" w:hAnsi="Arial"/>
          <w:sz w:val="16"/>
          <w:szCs w:val="16"/>
          <w:b w:val="1"/>
          <w:bCs w:val="1"/>
          <w:i w:val="1"/>
          <w:iCs w:val="1"/>
          <w:color w:val="auto"/>
        </w:rPr>
        <w:t>Risk Factors”</w:t>
      </w:r>
      <w:r>
        <w:rPr>
          <w:rFonts w:ascii="Arial" w:cs="Arial" w:eastAsia="Arial" w:hAnsi="Arial"/>
          <w:sz w:val="16"/>
          <w:szCs w:val="16"/>
          <w:b w:val="1"/>
          <w:bCs w:val="1"/>
          <w:color w:val="auto"/>
        </w:rPr>
        <w:t xml:space="preserve"> in the Annual Information Form and under the heading </w:t>
      </w:r>
      <w:r>
        <w:rPr>
          <w:rFonts w:ascii="Arial" w:cs="Arial" w:eastAsia="Arial" w:hAnsi="Arial"/>
          <w:sz w:val="16"/>
          <w:szCs w:val="16"/>
          <w:b w:val="1"/>
          <w:bCs w:val="1"/>
          <w:i w:val="1"/>
          <w:iCs w:val="1"/>
          <w:color w:val="auto"/>
        </w:rPr>
        <w:t>“Risks and Uncertainties”</w:t>
      </w:r>
      <w:r>
        <w:rPr>
          <w:rFonts w:ascii="Arial" w:cs="Arial" w:eastAsia="Arial" w:hAnsi="Arial"/>
          <w:sz w:val="16"/>
          <w:szCs w:val="16"/>
          <w:b w:val="1"/>
          <w:bCs w:val="1"/>
          <w:color w:val="auto"/>
        </w:rPr>
        <w:t xml:space="preserve"> in the Annual MD&amp;A, and any other risk factors described herein or in a document incorporated by reference herein, which investors should carefully consider before investing. </w:t>
      </w:r>
      <w:r>
        <w:rPr>
          <w:rFonts w:ascii="Arial" w:cs="Arial" w:eastAsia="Arial" w:hAnsi="Arial"/>
          <w:sz w:val="16"/>
          <w:szCs w:val="16"/>
          <w:color w:val="auto"/>
        </w:rPr>
        <w:t>Additional risk factors relating to a specific Offering of Securities will be described in the applicable Prospectus Supplement. Some of the factors described herein, in the documents incorporated by reference herein, and/or the applicable Prospectus Supplement are interrelated and, consequently, investors should treat such risk factors as a whole. If any of the risk factors described herein, in the Annual Information Form, in another document incorporated by reference herein or in the applicable Prospectus Supplement occur, it could have a material adverse effect on the business, financial condition and results of operations of the Corporation. Additional risks and uncertainties of which the Corporation currently is unaware or that are unknown or that it currently deems to be immaterial could have a material adverse effect on the Corporation’s business, financial condition and results of operation. The Corporation cannot assure purchasers that it will successfully address any or all of these risks. There is no assurance that any risk management steps taken will avoid future loss due to the occurrence of the risks described herein, in the Annual Information Form, in the other documents incorporated by reference herein or in the applicable Prospectus Supplement or other unforeseen risks.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08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9">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Business of the Corporation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Novel Coronavirus “COVID-19”</w:t>
      </w:r>
    </w:p>
    <w:p>
      <w:pPr>
        <w:spacing w:after="0" w:line="117"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The outbreak of the novel strain of coronavirus, specifically identified as “COVID-19”, has resulted in governments worldwide enacting emergency measures to combat the spread of the virus. These measures, including the implementation of travel bans, self-imposed quarantine periods and social distancing, have caused material disruption to businesses globally resulting in an economic slowdown. Global equity markets have experienced significant volatility and weakness. Governments and central banks have reacted with significant monetary and fiscal interventions designed to stabilize economic conditions. The duration and impact of the COVID-19 outbreak is unknown at this time, as is the efficacy of the government and central bank interventions. It is not possible to reliably estimate the length and severity of these developments and the impact on the financial results and condition of the Corporation and its operating subsidiaries in future periods. However, depending on the length and severity of the pandemic, COVID-19 could impact the Corporation’s operations, could cause delays relating to approval from Health Canada, the FDA and equivalent organizations in other countries, could postpone research activities, and could impair the Corporation’s ability to raise funds depending on COVID-19s effect on capital markets.</w:t>
      </w:r>
    </w:p>
    <w:p>
      <w:pPr>
        <w:spacing w:after="0" w:line="194"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rapid development of the COVID-19 pandemic and the measures being taken by governments and private parties to respond to it are extremely fluid. While the Corporation has continuously sought to assess the potential impact of the pandemic on its operations, any assessment is subject to extreme uncertainty as to probability, severity and duration. The Corporation has attempted to assess the impact of the pandemic by identifying risks in the following principle areas:</w:t>
      </w:r>
    </w:p>
    <w:p>
      <w:pPr>
        <w:spacing w:after="0" w:line="88" w:lineRule="exact"/>
        <w:rPr>
          <w:sz w:val="20"/>
          <w:szCs w:val="20"/>
          <w:color w:val="auto"/>
        </w:rPr>
      </w:pPr>
    </w:p>
    <w:p>
      <w:pPr>
        <w:ind w:left="1100" w:right="20" w:hanging="433"/>
        <w:spacing w:after="0" w:line="303" w:lineRule="auto"/>
        <w:tabs>
          <w:tab w:leader="none" w:pos="1100" w:val="left"/>
        </w:tabs>
        <w:numPr>
          <w:ilvl w:val="0"/>
          <w:numId w:val="45"/>
        </w:numPr>
        <w:rPr>
          <w:rFonts w:ascii="Arial" w:cs="Arial" w:eastAsia="Arial" w:hAnsi="Arial"/>
          <w:sz w:val="16"/>
          <w:szCs w:val="16"/>
          <w:color w:val="auto"/>
        </w:rPr>
      </w:pPr>
      <w:r>
        <w:rPr>
          <w:rFonts w:ascii="Arial" w:cs="Arial" w:eastAsia="Arial" w:hAnsi="Arial"/>
          <w:sz w:val="16"/>
          <w:szCs w:val="16"/>
          <w:b w:val="1"/>
          <w:bCs w:val="1"/>
          <w:color w:val="auto"/>
        </w:rPr>
        <w:t xml:space="preserve">Mandatory Closure. </w:t>
      </w:r>
      <w:r>
        <w:rPr>
          <w:rFonts w:ascii="Arial" w:cs="Arial" w:eastAsia="Arial" w:hAnsi="Arial"/>
          <w:sz w:val="16"/>
          <w:szCs w:val="16"/>
          <w:color w:val="auto"/>
        </w:rPr>
        <w:t>In response to the pandemic, many provinces, states and localities have implemented mandatory shut-downs of</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to prevent the spread of COVID-19. In the locations where the Corporation operates or conducts research activity, these activities have been deemed an “essential service”, and thus not subject to the mandatory closures applicable to nonessential businesses. The Corporation’s ability to generate revenue and meet its milestones could be materially impacted by any shut down of operations or services.</w:t>
      </w:r>
    </w:p>
    <w:p>
      <w:pPr>
        <w:spacing w:after="0" w:line="56" w:lineRule="exact"/>
        <w:rPr>
          <w:rFonts w:ascii="Arial" w:cs="Arial" w:eastAsia="Arial" w:hAnsi="Arial"/>
          <w:sz w:val="16"/>
          <w:szCs w:val="16"/>
          <w:color w:val="auto"/>
        </w:rPr>
      </w:pPr>
    </w:p>
    <w:p>
      <w:pPr>
        <w:ind w:left="1100" w:right="260" w:hanging="433"/>
        <w:spacing w:after="0" w:line="261" w:lineRule="auto"/>
        <w:tabs>
          <w:tab w:leader="none" w:pos="110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Research and Development Disruptions</w:t>
      </w:r>
      <w:r>
        <w:rPr>
          <w:rFonts w:ascii="Arial" w:cs="Arial" w:eastAsia="Arial" w:hAnsi="Arial"/>
          <w:sz w:val="18"/>
          <w:szCs w:val="18"/>
          <w:color w:val="auto"/>
        </w:rPr>
        <w:t>. The Corporation relies on a third parties for its research and development activities. If these</w:t>
      </w:r>
      <w:r>
        <w:rPr>
          <w:rFonts w:ascii="Arial" w:cs="Arial" w:eastAsia="Arial" w:hAnsi="Arial"/>
          <w:sz w:val="18"/>
          <w:szCs w:val="18"/>
          <w:b w:val="1"/>
          <w:bCs w:val="1"/>
          <w:color w:val="auto"/>
        </w:rPr>
        <w:t xml:space="preserve"> </w:t>
      </w:r>
      <w:r>
        <w:rPr>
          <w:rFonts w:ascii="Arial" w:cs="Arial" w:eastAsia="Arial" w:hAnsi="Arial"/>
          <w:sz w:val="18"/>
          <w:szCs w:val="18"/>
          <w:color w:val="auto"/>
        </w:rPr>
        <w:t>third parties are unable to continue operating due to mandatory closures or other effects of the pandemic, it may negatively impact the Corporation’s ability to meet its milestones and may significantly delay development. At this time, the Corporation has not experienced any significant disruptions.</w:t>
      </w:r>
    </w:p>
    <w:p>
      <w:pPr>
        <w:sectPr>
          <w:pgSz w:w="11900" w:h="16838" w:orient="portrait"/>
          <w:cols w:equalWidth="0" w:num="1">
            <w:col w:w="11120"/>
          </w:cols>
          <w:pgMar w:left="320" w:top="125" w:right="459" w:bottom="294" w:gutter="0" w:footer="0" w:header="0"/>
        </w:sectPr>
      </w:pPr>
    </w:p>
    <w:bookmarkStart w:id="59" w:name="page60"/>
    <w:bookmarkEnd w:id="59"/>
    <w:p>
      <w:pPr>
        <w:spacing w:after="0" w:line="9" w:lineRule="exact"/>
        <w:rPr>
          <w:sz w:val="20"/>
          <w:szCs w:val="20"/>
          <w:color w:val="auto"/>
        </w:rPr>
      </w:pPr>
    </w:p>
    <w:p>
      <w:pPr>
        <w:ind w:left="1100" w:right="20" w:hanging="433"/>
        <w:spacing w:after="0" w:line="273" w:lineRule="auto"/>
        <w:tabs>
          <w:tab w:leader="none" w:pos="1100" w:val="left"/>
        </w:tabs>
        <w:numPr>
          <w:ilvl w:val="0"/>
          <w:numId w:val="46"/>
        </w:numPr>
        <w:rPr>
          <w:rFonts w:ascii="Arial" w:cs="Arial" w:eastAsia="Arial" w:hAnsi="Arial"/>
          <w:sz w:val="17"/>
          <w:szCs w:val="17"/>
          <w:color w:val="auto"/>
        </w:rPr>
      </w:pPr>
      <w:r>
        <w:rPr>
          <w:rFonts w:ascii="Arial" w:cs="Arial" w:eastAsia="Arial" w:hAnsi="Arial"/>
          <w:sz w:val="17"/>
          <w:szCs w:val="17"/>
          <w:b w:val="1"/>
          <w:bCs w:val="1"/>
          <w:color w:val="auto"/>
        </w:rPr>
        <w:t>Staffing Disruption</w:t>
      </w:r>
      <w:r>
        <w:rPr>
          <w:rFonts w:ascii="Arial" w:cs="Arial" w:eastAsia="Arial" w:hAnsi="Arial"/>
          <w:sz w:val="17"/>
          <w:szCs w:val="17"/>
          <w:color w:val="auto"/>
        </w:rPr>
        <w:t>. The Corporation is, for the time being, implementing among its staff where feasible “social distancing” measures</w:t>
      </w:r>
      <w:r>
        <w:rPr>
          <w:rFonts w:ascii="Arial" w:cs="Arial" w:eastAsia="Arial" w:hAnsi="Arial"/>
          <w:sz w:val="17"/>
          <w:szCs w:val="17"/>
          <w:b w:val="1"/>
          <w:bCs w:val="1"/>
          <w:color w:val="auto"/>
        </w:rPr>
        <w:t xml:space="preserve"> </w:t>
      </w:r>
      <w:r>
        <w:rPr>
          <w:rFonts w:ascii="Arial" w:cs="Arial" w:eastAsia="Arial" w:hAnsi="Arial"/>
          <w:sz w:val="17"/>
          <w:szCs w:val="17"/>
          <w:color w:val="auto"/>
        </w:rPr>
        <w:t>recommended by local authorities. The Corporation has cancelled nonessential travel by employees, implemented remote meetings where possible, and permitted all staff who can work remotely to do so. For those whose duties require them to work on-site, measures have been implemented to reduce infection risk, such as reducing contact with patients, mandating additional cleaning and hand disinfection and providing masks and gloves to certain personnel. Nevertheless, despite such measures, the Corporation may find it difficult to ensure that its operations remain staffed due to employees falling ill with COVID-19, becoming subject to quarantine, or deciding not to come to come to work on their own volition to avoid infection.</w:t>
      </w:r>
    </w:p>
    <w:p>
      <w:pPr>
        <w:spacing w:after="0" w:line="176"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Corporation is actively addressing the risk to business continuity represented by each of the above factors through the implementation of a broad range of measures throughout its structure and is re-assessing its response to the COVID-19 pandemic on an ongoing basis. The above risks individually or collectively may have a material impact on the Corporation’s ability to generate revenue.</w:t>
      </w:r>
    </w:p>
    <w:p>
      <w:pPr>
        <w:spacing w:after="0" w:line="184"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The Corporation has sufficient cash on hand raised via equity financings to fund its operations for the next 12-months and meet its working capital requirements. It is anticipated that the long-term goals of the Corporation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08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0">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 xml:space="preserve">will require additional capital contributions via debt or equity financings. In the event that the impact of COVID-19 worsens and negatively affects capital markets generally, there is a risk that the Corporation may not be able to secure funding for these long-term objectives. See </w:t>
      </w:r>
      <w:r>
        <w:rPr>
          <w:rFonts w:ascii="Arial" w:cs="Arial" w:eastAsia="Arial" w:hAnsi="Arial"/>
          <w:sz w:val="18"/>
          <w:szCs w:val="18"/>
          <w:i w:val="1"/>
          <w:iCs w:val="1"/>
          <w:color w:val="auto"/>
        </w:rPr>
        <w:t>“The Corporation –</w:t>
      </w:r>
      <w:r>
        <w:rPr>
          <w:rFonts w:ascii="Arial" w:cs="Arial" w:eastAsia="Arial" w:hAnsi="Arial"/>
          <w:sz w:val="18"/>
          <w:szCs w:val="18"/>
          <w:color w:val="auto"/>
        </w:rPr>
        <w:t xml:space="preserve"> </w:t>
      </w:r>
      <w:r>
        <w:rPr>
          <w:rFonts w:ascii="Arial" w:cs="Arial" w:eastAsia="Arial" w:hAnsi="Arial"/>
          <w:sz w:val="18"/>
          <w:szCs w:val="18"/>
          <w:i w:val="1"/>
          <w:iCs w:val="1"/>
          <w:color w:val="auto"/>
        </w:rPr>
        <w:t>COVID-19 Pandemic”</w:t>
      </w:r>
      <w:r>
        <w:rPr>
          <w:rFonts w:ascii="Arial" w:cs="Arial" w:eastAsia="Arial" w:hAnsi="Arial"/>
          <w:sz w:val="18"/>
          <w:szCs w:val="18"/>
          <w:color w:val="auto"/>
        </w:rPr>
        <w: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Regulatory Risks and Uncertainties</w:t>
      </w:r>
    </w:p>
    <w:p>
      <w:pPr>
        <w:spacing w:after="0" w:line="117"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 xml:space="preserve">In Canada, certain psychedelic drugs, including psilocybin, are classified as Schedule III drugs under the CDSA and as such, medical and recreational use is illegal under Canadian federal laws. In the United States, certain psychedelic drugs, including psilocybin, are classified as Schedule I drugs under the CSA and the </w:t>
      </w:r>
      <w:r>
        <w:rPr>
          <w:rFonts w:ascii="Arial" w:cs="Arial" w:eastAsia="Arial" w:hAnsi="Arial"/>
          <w:sz w:val="17"/>
          <w:szCs w:val="17"/>
          <w:i w:val="1"/>
          <w:iCs w:val="1"/>
          <w:color w:val="auto"/>
        </w:rPr>
        <w:t>Controlled Substances Import and Export Act</w:t>
      </w:r>
      <w:r>
        <w:rPr>
          <w:rFonts w:ascii="Arial" w:cs="Arial" w:eastAsia="Arial" w:hAnsi="Arial"/>
          <w:sz w:val="17"/>
          <w:szCs w:val="17"/>
          <w:color w:val="auto"/>
        </w:rPr>
        <w:t xml:space="preserve"> and as such, medical and recreational use is illegal under the U.S. federal laws. There is no guarantee that psychedelic drugs or psychedelic inspired drugs will ever be approved as medicines in any jurisdiction in which the Corporation operates. All activities involving such substances by or on behalf of the Corporation are conducted in accordance with applicable federal, provincial, state and local laws. Further, all facilities engaged with such substances by or on behalf of the Corporation do so under current licences and permits issued by appropriate federal, provincial and local governmental agencies. While the Corporation is focused on programs using psychedelic inspired compounds, the Corporation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Corporation is involved in may change in ways currently unforeseen. Any amendment to or replacement of existing laws or regulations, including the classification or re-classification of the substances the Corporation is developing or working with, which are matters beyond the Corporation’s control, may cause the Corporation’s business, financial condition, results of operations and prospects to be adversely affected or may cause the Corporation to incur significant costs in complying with such changes or it may be unable to comply therewith. A violation of any applicable laws and regulations of the jurisdictions in which the Corporation operates could result in significant fines, penalties, administrative sanctions, convictions or settlements arising from civil proceedings initiated by either government entities in the jurisdictions in which the Corporation operates, or private citizens or criminal charges.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loss of the necessary licences and permits for Schedule III drugs could have an adverse effect on the Corporation’s operations.</w:t>
      </w:r>
    </w:p>
    <w:p>
      <w:pPr>
        <w:spacing w:after="0" w:line="225"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psychedelic drug industry is a fairly new industry and the Corporation cannot predict the impact of the ever-evolving compliance regime in respect of this industry. Similarly, the Corporation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Corporation.</w:t>
      </w:r>
    </w:p>
    <w:p>
      <w:pPr>
        <w:spacing w:after="0" w:line="161"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The success of the Corporation’s business is dependent on the reform of controlled substances laws pertaining to psilocybin. If controlled substances laws are not favourably reformed in Canada, the United States, and other global jurisdictions, including Jamaica, the commercial opportunity that the Corporation is pursuing may be highly limited.</w:t>
      </w:r>
    </w:p>
    <w:p>
      <w:pPr>
        <w:spacing w:after="0" w:line="184"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The Corporation makes no medical, treatment or health benefit claims about the Corporation’s proposed products. The FDA, Health Canada or other similar regulatory authorities have not evaluated claims regarding psilocybin, DMT, psilocybin analogues, or other psychedelic compounds or nutraceutical products. The efficacy of such products have not been confirmed by approved research. There is no assurance that the use of psilocybin, DMT, psilocybin analogues, or other psychedelic compounds or nutraceuticals can diagnose, treat, cure or prevent any disease or condition. Vigorous scientific research and clinical trials are needed. The Corporation has not conducted clinical trials for the use of its proposed products. Any references to quality, consistency, efficacy and safety of potential products do not imply that the Corporation verified such in clinical trials or that the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14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1">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Corporation will complete such trials. If the Corporation cannot obtain the approvals or research necessary to commercialize its business, it may have a material adverse effect on the Corporation’s performance and operations.</w:t>
      </w:r>
    </w:p>
    <w:p>
      <w:pPr>
        <w:spacing w:after="0" w:line="170"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The FDA has broad authority to enforce the provisions of the FFDCA applicable to foods, drugs, dietary supplements, and cosmetics, including powers to issue a public warning letter to a company, to publicize information about illegal or harmful products, to request a recall of products from the market, and to request the United States Department of Justice to initiate a seizure action, an injunction action, or a criminal prosecution in the U. S. courts. The Corporation could be subject to fines and penalties, including under administrative, civil and criminal laws for violating U.S. laws and regulations, and the Corporation’s products could be banned or subject to recall from the marketplace. The Corporation could also be subject to possible business and consumer claims under applicable statutory, product liability and common laws.</w:t>
      </w:r>
    </w:p>
    <w:p>
      <w:pPr>
        <w:sectPr>
          <w:pgSz w:w="11900" w:h="16847" w:orient="portrait"/>
          <w:cols w:equalWidth="0" w:num="1">
            <w:col w:w="11120"/>
          </w:cols>
          <w:pgMar w:left="320" w:top="121" w:right="459" w:bottom="0" w:gutter="0" w:footer="0" w:header="0"/>
        </w:sectPr>
      </w:pPr>
    </w:p>
    <w:bookmarkStart w:id="60" w:name="page61"/>
    <w:bookmarkEnd w:id="60"/>
    <w:p>
      <w:pPr>
        <w:ind w:left="120"/>
        <w:spacing w:after="0"/>
        <w:rPr>
          <w:sz w:val="20"/>
          <w:szCs w:val="20"/>
          <w:color w:val="auto"/>
        </w:rPr>
      </w:pPr>
      <w:r>
        <w:rPr>
          <w:rFonts w:ascii="Arial" w:cs="Arial" w:eastAsia="Arial" w:hAnsi="Arial"/>
          <w:sz w:val="18"/>
          <w:szCs w:val="18"/>
          <w:b w:val="1"/>
          <w:bCs w:val="1"/>
          <w:color w:val="auto"/>
        </w:rPr>
        <w:t>Risks Related to an Offering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Speculative Nature of Investment Risk</w:t>
      </w:r>
    </w:p>
    <w:p>
      <w:pPr>
        <w:spacing w:after="0" w:line="117"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An investment in the Securities carries a high degree of risk and should be considered as a speculative investment. The Corporation has no history of earnings, limited cash reserves, limited operating history, has not paid dividends, and is unlikely to pay dividends in the immediate or near future.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Negative Operating Cash Flow and Going Concern</w:t>
      </w:r>
    </w:p>
    <w:p>
      <w:pPr>
        <w:spacing w:after="0" w:line="11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The Corporation has negative cash flow from operating activities and has historically incurred net losses. There is no assurance that sufficient revenues will be generated in the near future.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or through loan financing. There is no assurance that additional capital or other types of financing will be available if needed or that these financings will be on terms at least as favourable to the Corporation as those previously obtained, or at all. The Corporation’s ability to successfully raise additional capital and maintain liquidity may by impaired by factors outside of its control, such as a shift in consumer attitudes towards certain therapeutic methods or a downturn in the economy.</w:t>
      </w:r>
    </w:p>
    <w:p>
      <w:pPr>
        <w:spacing w:after="0" w:line="17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 xml:space="preserve">Any inclusion in the Corporation’s financial statements of a going concern opinion may negatively impact the Corporation’s ability to raise future financing and achieve future revenue. The threat of the Corporation’s ability to continue as a going concern will be removed only when, in the opinion of the Corporation’s auditor, the Corporation’s revenues have reached a level that is able to sustain its business operations. If the Corporation is unable to obtain additional financing from outside sources and eventually generate enough revenues, the Corporation may be forced to sell a portion or all of the Corporation’s assets, or curtail or discontinue the Corporation’s operations. If any of these events happen, you could lose all or part of your investment. The Corporation’s financial statements do not include any adjustments to the Corporation’s recorded assets or liabilities that might be necessary if the Corporation becomes unable to continue as a going concern. See </w:t>
      </w:r>
      <w:r>
        <w:rPr>
          <w:rFonts w:ascii="Arial" w:cs="Arial" w:eastAsia="Arial" w:hAnsi="Arial"/>
          <w:sz w:val="18"/>
          <w:szCs w:val="18"/>
          <w:i w:val="1"/>
          <w:iCs w:val="1"/>
          <w:color w:val="auto"/>
        </w:rPr>
        <w:t>“Risk Factors – Risks Related to an Offering – Potential Need for Additional</w:t>
      </w:r>
      <w:r>
        <w:rPr>
          <w:rFonts w:ascii="Arial" w:cs="Arial" w:eastAsia="Arial" w:hAnsi="Arial"/>
          <w:sz w:val="18"/>
          <w:szCs w:val="18"/>
          <w:color w:val="auto"/>
        </w:rPr>
        <w:t xml:space="preserve"> </w:t>
      </w:r>
      <w:r>
        <w:rPr>
          <w:rFonts w:ascii="Arial" w:cs="Arial" w:eastAsia="Arial" w:hAnsi="Arial"/>
          <w:sz w:val="18"/>
          <w:szCs w:val="18"/>
          <w:i w:val="1"/>
          <w:iCs w:val="1"/>
          <w:color w:val="auto"/>
        </w:rPr>
        <w:t>Financing”.</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Discretion over the Use of Proceeds</w:t>
      </w:r>
    </w:p>
    <w:p>
      <w:pPr>
        <w:spacing w:after="0" w:line="117"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While detailed information regarding the use of proceeds from the sale of the Securities will be described in the applicable Prospectus Supplement, the Corporation will have broad discretion over the use of net proceeds from an offering by the Corporation of its Securities. There may be circumstances where, for sound business reasons, a reallocation of funds may be deemed prudent or necessary. In such circumstances, the net proceeds will be reallocated at the Corporation’s sole discretion.</w:t>
      </w:r>
    </w:p>
    <w:p>
      <w:pPr>
        <w:spacing w:after="0" w:line="187"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Management will have discretion concerning the use of proceeds ascribed in the applicable Prospectus Supplement as well as the timing of their expenditures. As a result, an investor will be relying on the judgment of management for the application of the proceeds. Management may use the net proceeds described in a Prospectus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08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2">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 xml:space="preserve">Supplement in ways that an investor may not consider desirable. The results and the effectiveness of the application of the proceeds are uncertain. If the proceeds are not applied effectively, the Corporation’s results of operations may suffer. See </w:t>
      </w:r>
      <w:r>
        <w:rPr>
          <w:rFonts w:ascii="Arial" w:cs="Arial" w:eastAsia="Arial" w:hAnsi="Arial"/>
          <w:sz w:val="18"/>
          <w:szCs w:val="18"/>
          <w:i w:val="1"/>
          <w:iCs w:val="1"/>
          <w:color w:val="auto"/>
        </w:rPr>
        <w:t>“Use of Proceeds”</w:t>
      </w:r>
      <w:r>
        <w:rPr>
          <w:rFonts w:ascii="Arial" w:cs="Arial" w:eastAsia="Arial" w:hAnsi="Arial"/>
          <w:sz w:val="18"/>
          <w:szCs w:val="18"/>
          <w:color w:val="auto"/>
        </w:rPr>
        <w: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Potential Need for Additional Financing</w:t>
      </w:r>
    </w:p>
    <w:p>
      <w:pPr>
        <w:spacing w:after="0" w:line="11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 xml:space="preserve">The continued development of the Corporation will require additional financing. The Corporation’s activities do have scope for flexibility in terms of the amount and timing of expenditures, and expenditures may be adjusted accordingly. However, further operations will require additional capital and will depend on the Corporation’s ability to obtain financing through debt, equity or other means. The Corporation’s ability to meet its obligations and maintain operations may be contingent upon successful completion of additional financing arrangements. There is no assurance that the Corporation will be successful in obtaining the required financing in the future or that such financing will be available on terms acceptable to the Corporation. In addition, any future financing may also be dilutive to existing shareholders of the Corporation. See </w:t>
      </w:r>
      <w:r>
        <w:rPr>
          <w:rFonts w:ascii="Arial" w:cs="Arial" w:eastAsia="Arial" w:hAnsi="Arial"/>
          <w:sz w:val="17"/>
          <w:szCs w:val="17"/>
          <w:i w:val="1"/>
          <w:iCs w:val="1"/>
          <w:color w:val="auto"/>
        </w:rPr>
        <w:t>“Risk Factors – Risks Related to an Offering –</w:t>
      </w:r>
      <w:r>
        <w:rPr>
          <w:rFonts w:ascii="Arial" w:cs="Arial" w:eastAsia="Arial" w:hAnsi="Arial"/>
          <w:sz w:val="17"/>
          <w:szCs w:val="17"/>
          <w:color w:val="auto"/>
        </w:rPr>
        <w:t xml:space="preserve"> </w:t>
      </w:r>
      <w:r>
        <w:rPr>
          <w:rFonts w:ascii="Arial" w:cs="Arial" w:eastAsia="Arial" w:hAnsi="Arial"/>
          <w:sz w:val="17"/>
          <w:szCs w:val="17"/>
          <w:i w:val="1"/>
          <w:iCs w:val="1"/>
          <w:color w:val="auto"/>
        </w:rPr>
        <w:t>Negative Operating Cash Flow and Going Concern” and “– Potential Dilution”.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Volatile Market Price of Corporation’s Common Shares</w:t>
      </w:r>
    </w:p>
    <w:p>
      <w:pPr>
        <w:spacing w:after="0" w:line="11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 securities market in Canada has recently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Corporation. The value of the Common Shares distributed hereunder will be affected by such volatility.</w:t>
      </w:r>
    </w:p>
    <w:p>
      <w:pPr>
        <w:spacing w:after="0" w:line="188"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auto"/>
        </w:rPr>
        <w:t xml:space="preserve">The volatility of the Common Shares may affect the ability of holders to sell the Common Shares at an advantageous price or at all. Market price fluctuations in the Common Shares may be adversely affected by a variety of factors relating to the Corporation’s business, including fluctuations in the Corporation’s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Corporation or its competitors, along with a variety of additional factors, including, without limitation, those set forth under the heading </w:t>
      </w:r>
      <w:r>
        <w:rPr>
          <w:rFonts w:ascii="Arial" w:cs="Arial" w:eastAsia="Arial" w:hAnsi="Arial"/>
          <w:sz w:val="16"/>
          <w:szCs w:val="16"/>
          <w:i w:val="1"/>
          <w:iCs w:val="1"/>
          <w:color w:val="auto"/>
        </w:rPr>
        <w:t>“Cautionary Note Regarding Forward-Looking</w:t>
      </w:r>
      <w:r>
        <w:rPr>
          <w:rFonts w:ascii="Arial" w:cs="Arial" w:eastAsia="Arial" w:hAnsi="Arial"/>
          <w:sz w:val="16"/>
          <w:szCs w:val="16"/>
          <w:color w:val="auto"/>
        </w:rPr>
        <w:t xml:space="preserve"> </w:t>
      </w:r>
      <w:r>
        <w:rPr>
          <w:rFonts w:ascii="Arial" w:cs="Arial" w:eastAsia="Arial" w:hAnsi="Arial"/>
          <w:sz w:val="16"/>
          <w:szCs w:val="16"/>
          <w:i w:val="1"/>
          <w:iCs w:val="1"/>
          <w:color w:val="auto"/>
        </w:rPr>
        <w:t>Information”</w:t>
      </w:r>
      <w:r>
        <w:rPr>
          <w:rFonts w:ascii="Arial" w:cs="Arial" w:eastAsia="Arial" w:hAnsi="Arial"/>
          <w:sz w:val="16"/>
          <w:szCs w:val="16"/>
          <w:color w:val="auto"/>
        </w:rPr>
        <w:t>. In addition, the market price for securities on stock markets, including the Neo is subject to significant price and trading fluctuations.</w:t>
      </w:r>
      <w:r>
        <w:rPr>
          <w:rFonts w:ascii="Arial" w:cs="Arial" w:eastAsia="Arial" w:hAnsi="Arial"/>
          <w:sz w:val="16"/>
          <w:szCs w:val="16"/>
          <w:i w:val="1"/>
          <w:iCs w:val="1"/>
          <w:color w:val="auto"/>
        </w:rPr>
        <w:t xml:space="preserve"> </w:t>
      </w:r>
      <w:r>
        <w:rPr>
          <w:rFonts w:ascii="Arial" w:cs="Arial" w:eastAsia="Arial" w:hAnsi="Arial"/>
          <w:sz w:val="16"/>
          <w:szCs w:val="16"/>
          <w:color w:val="auto"/>
        </w:rPr>
        <w:t>These fluctuations have resulted in volatility in the market prices of securities that often has been unrelated or disproportionate to changes in operating performance. These broad market fluctuations may materially adversely affect the market price of the Corporation.</w:t>
      </w:r>
    </w:p>
    <w:p>
      <w:pPr>
        <w:spacing w:after="0" w:line="166"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Additionally, the value of the Common Shares is subject to market value fluctuations based upon factors that influence the Corporation’s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w:t>
      </w:r>
    </w:p>
    <w:p>
      <w:pPr>
        <w:sectPr>
          <w:pgSz w:w="11900" w:h="16838" w:orient="portrait"/>
          <w:cols w:equalWidth="0" w:num="1">
            <w:col w:w="11140"/>
          </w:cols>
          <w:pgMar w:left="320" w:top="121" w:right="439" w:bottom="0" w:gutter="0" w:footer="0" w:header="0"/>
        </w:sectPr>
      </w:pPr>
    </w:p>
    <w:bookmarkStart w:id="61" w:name="page62"/>
    <w:bookmarkEnd w:id="61"/>
    <w:p>
      <w:pPr>
        <w:ind w:left="120" w:right="220"/>
        <w:spacing w:after="0" w:line="277" w:lineRule="auto"/>
        <w:rPr>
          <w:sz w:val="20"/>
          <w:szCs w:val="20"/>
          <w:color w:val="auto"/>
        </w:rPr>
      </w:pPr>
      <w:r>
        <w:rPr>
          <w:rFonts w:ascii="Arial" w:cs="Arial" w:eastAsia="Arial" w:hAnsi="Arial"/>
          <w:sz w:val="18"/>
          <w:szCs w:val="18"/>
          <w:color w:val="auto"/>
        </w:rPr>
        <w:t>unrelated to the Corporation’s performance. As at the date of this Prospectus, only the Common Shares are listed on a securities exchange and may be purchased in the secondary market.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Potential Dilution</w:t>
      </w:r>
    </w:p>
    <w:p>
      <w:pPr>
        <w:spacing w:after="0" w:line="117"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The Corporation’s articles of incorporation and by-laws allow it to issue an unlimited number of Common Shares for such consideration and on such terms and conditions as established by the board of directors of the Corporation, in many cases, without the approval of the Corporation’s shareholders. The Corporation cannot predict the size of future issuances of Common Shares or other Securities or the effect that future issuances and sales of Common Shares or other Securities will have on the market price of our Securities. Issuances of a</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08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3">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20" w:right="420"/>
        <w:spacing w:after="0" w:line="311" w:lineRule="auto"/>
        <w:rPr>
          <w:sz w:val="20"/>
          <w:szCs w:val="20"/>
          <w:color w:val="auto"/>
        </w:rPr>
      </w:pPr>
      <w:r>
        <w:rPr>
          <w:rFonts w:ascii="Arial" w:cs="Arial" w:eastAsia="Arial" w:hAnsi="Arial"/>
          <w:sz w:val="16"/>
          <w:szCs w:val="16"/>
          <w:color w:val="auto"/>
        </w:rPr>
        <w:t xml:space="preserve">substantial number of additional Securities, or the perception that such issuances could occur, may adversely affect prevailing market prices for the Common Shares. With any additional issuance of Common Shares, investors will suffer dilution to their voting power and the Corporation may experience dilution in its earnings per share. </w:t>
      </w:r>
      <w:r>
        <w:rPr>
          <w:rFonts w:ascii="Arial" w:cs="Arial" w:eastAsia="Arial" w:hAnsi="Arial"/>
          <w:sz w:val="16"/>
          <w:szCs w:val="16"/>
          <w:i w:val="1"/>
          <w:iCs w:val="1"/>
          <w:color w:val="auto"/>
        </w:rPr>
        <w:t>“Risk Factors – Risks Related to an Offering – Potential Need for Additional Financing</w:t>
      </w:r>
      <w:r>
        <w:rPr>
          <w:rFonts w:ascii="Arial" w:cs="Arial" w:eastAsia="Arial" w:hAnsi="Arial"/>
          <w:sz w:val="16"/>
          <w:szCs w:val="16"/>
          <w:color w:val="auto"/>
        </w:rPr>
        <w: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Market for Securities</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There is currently no market through which the Securities, other than the Common Shares, may be sold and, unless otherwise specified in the applicable Prospectus Supplement, such unlisted Securities may not be listed on any securities or stock exchange or any automated dealer quotation system. As a consequence, purchasers may not be able to resell such unlisted Securities purchased under this Prospectus. This may affect the pricing of our Securities, other than our Common Shares, in the secondary market, the transparency and availability of trading prices, the liquidity of these Securities and the extent of issuer regulation. There can be no assurance that an active trading market for our Securities, other than our Common Shares, will develop or, if developed, that any such market, including for our Common Shares, will be sustained.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Enforcement of Civil Liabilities</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Certain of our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87"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The Corporation has subsidiaries incorporated in the United States.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Courts in such jurisdiction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FEDERAL INCOME TAX CONSIDERATIONS</w:t>
      </w:r>
    </w:p>
    <w:p>
      <w:pPr>
        <w:spacing w:after="0" w:line="22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applicable Prospectus Supplement will include a general summary of certain Canadian federal income tax consequences which may be applicable to a purchaser of Securities offered thereunder. Investors should read the tax discussion in any Prospectus Supplement with respect to a particular offering and consult their own tax advisors with respect to their own particular circumstances.</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Certain legal matters in connection with the offering of the Securities will be passed upon by Aird &amp; Berlis LLP on behalf of the Corporation. As at the date of this Prospectus, the designated professionals of Aird &amp; Berlis LLP, as a group, beneficially own, directly or indirectly, less than one percent of the securities of the Corporation.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08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4">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AUDITORS, TRANSFER AGENT AND REGISTRAR</w:t>
      </w:r>
    </w:p>
    <w:p>
      <w:pPr>
        <w:spacing w:after="0" w:line="229"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Zeifmans LLP, Chartered Professional Accountants, are the auditors of the Corporation and have confirmed that they are independent of the Company within the meaning of the relevant rules and related interpretations prescribed by the relevant professional bodies in Canada and any applicable legislation or regulation. Neither Zeifmans LLP nor any designated professional thereof, had any registered or beneficial interest in any securities or other property of the Corporation at the time they prepared the relevant financial statements incorporated by reference in this Prospectus or at any time thereafter</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registrar and transfer agent of the Common Shares is Odyssey Trust Company at its principal office in Calgary, Alberta.</w:t>
      </w:r>
    </w:p>
    <w:p>
      <w:pPr>
        <w:sectPr>
          <w:pgSz w:w="11900" w:h="16838" w:orient="portrait"/>
          <w:cols w:equalWidth="0" w:num="1">
            <w:col w:w="11120"/>
          </w:cols>
          <w:pgMar w:left="320" w:top="125" w:right="459" w:bottom="0" w:gutter="0" w:footer="0" w:header="0"/>
        </w:sectPr>
      </w:pP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74865" cy="508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5">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ectPr>
          <w:pgSz w:w="11900" w:h="16838" w:orient="portrait"/>
          <w:cols w:equalWidth="0" w:num="1">
            <w:col w:w="11120"/>
          </w:cols>
          <w:pgMar w:left="320" w:top="125" w:right="459" w:bottom="0" w:gutter="0" w:footer="0" w:header="0"/>
          <w:type w:val="continuous"/>
        </w:sectPr>
      </w:pPr>
    </w:p>
    <w:bookmarkStart w:id="62" w:name="page63"/>
    <w:bookmarkEnd w:id="6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decimal"/>
      <w:start w:val="1"/>
    </w:lvl>
  </w:abstractNum>
  <w:abstractNum w:abstractNumId="3">
    <w:nsid w:val="79838CB2"/>
    <w:multiLevelType w:val="hybridMultilevel"/>
    <w:lvl w:ilvl="0">
      <w:lvlJc w:val="left"/>
      <w:lvlText w:val="%1."/>
      <w:numFmt w:val="decimal"/>
      <w:start w:val="4"/>
    </w:lvl>
  </w:abstractNum>
  <w:abstractNum w:abstractNumId="4">
    <w:nsid w:val="4353D0CD"/>
    <w:multiLevelType w:val="hybridMultilevel"/>
    <w:lvl w:ilvl="0">
      <w:lvlJc w:val="left"/>
      <w:lvlText w:val="1"/>
      <w:numFmt w:val="bullet"/>
      <w:start w:val="1"/>
    </w:lvl>
  </w:abstractNum>
  <w:abstractNum w:abstractNumId="5">
    <w:nsid w:val="B03E0C6"/>
    <w:multiLevelType w:val="hybridMultilevel"/>
    <w:lvl w:ilvl="0">
      <w:lvlJc w:val="left"/>
      <w:lvlText w:val="2"/>
      <w:numFmt w:val="bullet"/>
      <w:start w:val="1"/>
    </w:lvl>
  </w:abstractNum>
  <w:abstractNum w:abstractNumId="6">
    <w:nsid w:val="189A769B"/>
    <w:multiLevelType w:val="hybridMultilevel"/>
    <w:lvl w:ilvl="0">
      <w:lvlJc w:val="left"/>
      <w:lvlText w:val="3"/>
      <w:numFmt w:val="bullet"/>
      <w:start w:val="1"/>
    </w:lvl>
  </w:abstractNum>
  <w:abstractNum w:abstractNumId="7">
    <w:nsid w:val="54E49EB4"/>
    <w:multiLevelType w:val="hybridMultilevel"/>
    <w:lvl w:ilvl="0">
      <w:lvlJc w:val="left"/>
      <w:lvlText w:val="4"/>
      <w:numFmt w:val="bullet"/>
      <w:start w:val="1"/>
    </w:lvl>
  </w:abstractNum>
  <w:abstractNum w:abstractNumId="8">
    <w:nsid w:val="71F32454"/>
    <w:multiLevelType w:val="hybridMultilevel"/>
    <w:lvl w:ilvl="0">
      <w:lvlJc w:val="left"/>
      <w:lvlText w:val="7"/>
      <w:numFmt w:val="bullet"/>
      <w:start w:val="1"/>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1)"/>
      <w:numFmt w:val="decimal"/>
      <w:start w:val="6"/>
    </w:lvl>
  </w:abstractNum>
  <w:abstractNum w:abstractNumId="15">
    <w:nsid w:val="7C3DBD3D"/>
    <w:multiLevelType w:val="hybridMultilevel"/>
    <w:lvl w:ilvl="0">
      <w:lvlJc w:val="left"/>
      <w:lvlText w:val="(%1)"/>
      <w:numFmt w:val="lowerLetter"/>
      <w:start w:val="1"/>
    </w:lvl>
  </w:abstractNum>
  <w:abstractNum w:abstractNumId="16">
    <w:nsid w:val="737B8DDC"/>
    <w:multiLevelType w:val="hybridMultilevel"/>
    <w:lvl w:ilvl="0">
      <w:lvlJc w:val="left"/>
      <w:lvlText w:val="(%1)"/>
      <w:numFmt w:val="lowerRoman"/>
      <w:start w:val="5"/>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1."/>
      <w:numFmt w:val="decimal"/>
      <w:start w:val="1"/>
    </w:lvl>
  </w:abstractNum>
  <w:abstractNum w:abstractNumId="20">
    <w:nsid w:val="3006C83E"/>
    <w:multiLevelType w:val="hybridMultilevel"/>
    <w:lvl w:ilvl="0">
      <w:lvlJc w:val="left"/>
      <w:lvlText w:val="1"/>
      <w:numFmt w:val="bullet"/>
      <w:start w:val="1"/>
    </w:lvl>
  </w:abstractNum>
  <w:abstractNum w:abstractNumId="21">
    <w:nsid w:val="614FD4A1"/>
    <w:multiLevelType w:val="hybridMultilevel"/>
    <w:lvl w:ilvl="0">
      <w:lvlJc w:val="left"/>
      <w:lvlText w:val="2"/>
      <w:numFmt w:val="bullet"/>
      <w:start w:val="1"/>
    </w:lvl>
  </w:abstractNum>
  <w:abstractNum w:abstractNumId="22">
    <w:nsid w:val="419AC241"/>
    <w:multiLevelType w:val="hybridMultilevel"/>
    <w:lvl w:ilvl="0">
      <w:lvlJc w:val="left"/>
      <w:lvlText w:val="3"/>
      <w:numFmt w:val="bullet"/>
      <w:start w:val="1"/>
    </w:lvl>
  </w:abstractNum>
  <w:abstractNum w:abstractNumId="23">
    <w:nsid w:val="5577F8E1"/>
    <w:multiLevelType w:val="hybridMultilevel"/>
    <w:lvl w:ilvl="0">
      <w:lvlJc w:val="left"/>
      <w:lvlText w:val="4"/>
      <w:numFmt w:val="bullet"/>
      <w:start w:val="1"/>
    </w:lvl>
  </w:abstractNum>
  <w:abstractNum w:abstractNumId="24">
    <w:nsid w:val="440BADFC"/>
    <w:multiLevelType w:val="hybridMultilevel"/>
    <w:lvl w:ilvl="0">
      <w:lvlJc w:val="left"/>
      <w:lvlText w:val="5"/>
      <w:numFmt w:val="bullet"/>
      <w:start w:val="1"/>
    </w:lvl>
  </w:abstractNum>
  <w:abstractNum w:abstractNumId="25">
    <w:nsid w:val="5072367"/>
    <w:multiLevelType w:val="hybridMultilevel"/>
    <w:lvl w:ilvl="0">
      <w:lvlJc w:val="left"/>
      <w:lvlText w:val="(%1)"/>
      <w:numFmt w:val="decimal"/>
      <w:start w:val="1"/>
    </w:lvl>
  </w:abstractNum>
  <w:abstractNum w:abstractNumId="26">
    <w:nsid w:val="3804823E"/>
    <w:multiLevelType w:val="hybridMultilevel"/>
    <w:lvl w:ilvl="0">
      <w:lvlJc w:val="left"/>
      <w:lvlText w:val="6"/>
      <w:numFmt w:val="bullet"/>
      <w:start w:val="1"/>
    </w:lvl>
  </w:abstractNum>
  <w:abstractNum w:abstractNumId="27">
    <w:nsid w:val="77465F01"/>
    <w:multiLevelType w:val="hybridMultilevel"/>
    <w:lvl w:ilvl="0">
      <w:lvlJc w:val="left"/>
      <w:lvlText w:val="7"/>
      <w:numFmt w:val="bullet"/>
      <w:start w:val="1"/>
    </w:lvl>
  </w:abstractNum>
  <w:abstractNum w:abstractNumId="28">
    <w:nsid w:val="7724C67E"/>
    <w:multiLevelType w:val="hybridMultilevel"/>
    <w:lvl w:ilvl="0">
      <w:lvlJc w:val="left"/>
      <w:lvlText w:val="8"/>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9"/>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1)"/>
      <w:numFmt w:val="decimal"/>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7" Type="http://schemas.openxmlformats.org/officeDocument/2006/relationships/image" Target="media/image144.png"/><Relationship Id="rId158" Type="http://schemas.openxmlformats.org/officeDocument/2006/relationships/image" Target="media/image145.png"/><Relationship Id="rId159" Type="http://schemas.openxmlformats.org/officeDocument/2006/relationships/image" Target="media/image146.png"/><Relationship Id="rId160" Type="http://schemas.openxmlformats.org/officeDocument/2006/relationships/image" Target="media/image147.jpeg"/><Relationship Id="rId161" Type="http://schemas.openxmlformats.org/officeDocument/2006/relationships/image" Target="media/image148.png"/><Relationship Id="rId162" Type="http://schemas.openxmlformats.org/officeDocument/2006/relationships/image" Target="media/image149.png"/><Relationship Id="rId163" Type="http://schemas.openxmlformats.org/officeDocument/2006/relationships/image" Target="media/image150.png"/><Relationship Id="rId164" Type="http://schemas.openxmlformats.org/officeDocument/2006/relationships/image" Target="media/image151.png"/><Relationship Id="rId165" Type="http://schemas.openxmlformats.org/officeDocument/2006/relationships/image" Target="media/image152.png"/><Relationship Id="rId166" Type="http://schemas.openxmlformats.org/officeDocument/2006/relationships/image" Target="media/image153.png"/><Relationship Id="rId167" Type="http://schemas.openxmlformats.org/officeDocument/2006/relationships/image" Target="media/image154.png"/><Relationship Id="rId168" Type="http://schemas.openxmlformats.org/officeDocument/2006/relationships/image" Target="media/image155.png"/><Relationship Id="rId169" Type="http://schemas.openxmlformats.org/officeDocument/2006/relationships/image" Target="media/image156.png"/><Relationship Id="rId170" Type="http://schemas.openxmlformats.org/officeDocument/2006/relationships/image" Target="media/image157.png"/><Relationship Id="rId171" Type="http://schemas.openxmlformats.org/officeDocument/2006/relationships/image" Target="media/image158.png"/><Relationship Id="rId172" Type="http://schemas.openxmlformats.org/officeDocument/2006/relationships/image" Target="media/image159.png"/><Relationship Id="rId173" Type="http://schemas.openxmlformats.org/officeDocument/2006/relationships/image" Target="media/image160.png"/><Relationship Id="rId174" Type="http://schemas.openxmlformats.org/officeDocument/2006/relationships/image" Target="media/image161.png"/><Relationship Id="rId175" Type="http://schemas.openxmlformats.org/officeDocument/2006/relationships/image" Target="media/image162.png"/><Relationship Id="rId176" Type="http://schemas.openxmlformats.org/officeDocument/2006/relationships/image" Target="media/image163.png"/><Relationship Id="rId177" Type="http://schemas.openxmlformats.org/officeDocument/2006/relationships/image" Target="media/image164.png"/><Relationship Id="rId178" Type="http://schemas.openxmlformats.org/officeDocument/2006/relationships/image" Target="media/image165.png"/><Relationship Id="rId179" Type="http://schemas.openxmlformats.org/officeDocument/2006/relationships/image" Target="media/image166.png"/><Relationship Id="rId180" Type="http://schemas.openxmlformats.org/officeDocument/2006/relationships/image" Target="media/image167.png"/><Relationship Id="rId181" Type="http://schemas.openxmlformats.org/officeDocument/2006/relationships/image" Target="media/image168.png"/><Relationship Id="rId182" Type="http://schemas.openxmlformats.org/officeDocument/2006/relationships/image" Target="media/image169.png"/><Relationship Id="rId183" Type="http://schemas.openxmlformats.org/officeDocument/2006/relationships/image" Target="media/image170.png"/><Relationship Id="rId184" Type="http://schemas.openxmlformats.org/officeDocument/2006/relationships/image" Target="media/image171.png"/><Relationship Id="rId185" Type="http://schemas.openxmlformats.org/officeDocument/2006/relationships/image" Target="media/image172.png"/><Relationship Id="rId186" Type="http://schemas.openxmlformats.org/officeDocument/2006/relationships/image" Target="media/image173.png"/><Relationship Id="rId187" Type="http://schemas.openxmlformats.org/officeDocument/2006/relationships/image" Target="media/image174.png"/><Relationship Id="rId188" Type="http://schemas.openxmlformats.org/officeDocument/2006/relationships/image" Target="media/image175.png"/><Relationship Id="rId189" Type="http://schemas.openxmlformats.org/officeDocument/2006/relationships/image" Target="media/image176.png"/><Relationship Id="rId190" Type="http://schemas.openxmlformats.org/officeDocument/2006/relationships/image" Target="media/image177.png"/><Relationship Id="rId191" Type="http://schemas.openxmlformats.org/officeDocument/2006/relationships/image" Target="media/image178.png"/><Relationship Id="rId192" Type="http://schemas.openxmlformats.org/officeDocument/2006/relationships/image" Target="media/image179.png"/><Relationship Id="rId193" Type="http://schemas.openxmlformats.org/officeDocument/2006/relationships/image" Target="media/image180.png"/><Relationship Id="rId194" Type="http://schemas.openxmlformats.org/officeDocument/2006/relationships/image" Target="media/image181.png"/><Relationship Id="rId195" Type="http://schemas.openxmlformats.org/officeDocument/2006/relationships/image" Target="media/image182.png"/><Relationship Id="rId151" Type="http://schemas.openxmlformats.org/officeDocument/2006/relationships/hyperlink" Target="http://www.sec.gov/Archives/edgar/data/0001833141/000119312521224423/d204508dex9999.htm" TargetMode="External"/><Relationship Id="rId152" Type="http://schemas.openxmlformats.org/officeDocument/2006/relationships/hyperlink" Target="http://www.sec.gov/Archives/edgar/data/0001833141/000119312521224423/d204508dex9997.htm" TargetMode="External"/><Relationship Id="rId153" Type="http://schemas.openxmlformats.org/officeDocument/2006/relationships/hyperlink" Target="http://www.sec.gov/Archives/edgar/data/0001833141/000119312521224423/d204508dex9998.htm" TargetMode="External"/><Relationship Id="rId154" Type="http://schemas.openxmlformats.org/officeDocument/2006/relationships/hyperlink" Target="http://www.sec.gov/Archives/edgar/data/0001833141/000119312521224423/d204508dex9979.htm" TargetMode="External"/><Relationship Id="rId155" Type="http://schemas.openxmlformats.org/officeDocument/2006/relationships/hyperlink" Target="http://www.sec.gov/Archives/edgar/data/0001833141/000119312521224423/d204508dex998.htm" TargetMode="External"/><Relationship Id="rId156" Type="http://schemas.openxmlformats.org/officeDocument/2006/relationships/hyperlink" Target="http://www.sec.gov/Archives/edgar/data/0001833141/000119312521289913/d191613dex4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2023-05-31T05:20:26Z</dcterms:created>
  <dcterms:modified xsi:type="dcterms:W3CDTF">2023-05-31T05:20:26Z</dcterms:modified>
</cp:coreProperties>
</file>