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media/image3.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color w:val="000000"/>
          <w:sz w:val="20"/>
        </w:rPr>
        <w:t>UNITED STATES</w:t>
        <w:br/>
        <w:t>SECURITIES AND EXCHANGE COMMISSION</w:t>
      </w:r>
      <w:r>
        <w:rPr>
          <w:rFonts w:ascii="Times New Roman;sans-serif" w:hAnsi="Times New Roman;sans-serif"/>
          <w:b w:val="false"/>
          <w:color w:val="000000"/>
          <w:sz w:val="20"/>
        </w:rPr>
        <w:br/>
      </w:r>
      <w:r>
        <w:rPr>
          <w:rFonts w:ascii="Times New Roman;sans-serif" w:hAnsi="Times New Roman;sans-serif"/>
          <w:b/>
          <w:color w:val="000000"/>
          <w:sz w:val="20"/>
        </w:rPr>
        <w:t>Washington, D.C. 20549</w:t>
      </w:r>
      <w:r>
        <w:rPr>
          <w:rFonts w:ascii="Times New Roman;sans-serif" w:hAnsi="Times New Roman;sans-serif"/>
          <w:b w:val="false"/>
          <w:color w:val="000000"/>
          <w:sz w:val="20"/>
        </w:rPr>
        <w:br/>
        <w:br/>
      </w:r>
      <w:r>
        <w:rPr>
          <w:rFonts w:ascii="Times New Roman;sans-serif" w:hAnsi="Times New Roman;sans-serif"/>
          <w:b/>
          <w:color w:val="000000"/>
          <w:sz w:val="20"/>
        </w:rPr>
        <w:t>Form 6-K</w:t>
      </w:r>
      <w:r>
        <w:rPr>
          <w:rFonts w:ascii="Times New Roman;sans-serif" w:hAnsi="Times New Roman;sans-serif"/>
          <w:b w:val="false"/>
          <w:color w:val="000000"/>
          <w:sz w:val="20"/>
        </w:rPr>
        <w:br/>
        <w:br/>
      </w:r>
      <w:r>
        <w:rPr>
          <w:rFonts w:ascii="Times New Roman;sans-serif" w:hAnsi="Times New Roman;sans-serif"/>
          <w:b/>
          <w:color w:val="000000"/>
          <w:sz w:val="20"/>
        </w:rPr>
        <w:t>REPORT OF FOREIGN PRIVATE ISSUER PURSUANT TO RULE 13a-16 OR 15d-16</w:t>
        <w:br/>
        <w:t>UNDER THE SECURITIES EXCHANGE ACT OF 1934</w:t>
      </w:r>
    </w:p>
    <w:p>
      <w:pPr>
        <w:pStyle w:val="TextBody"/>
        <w:bidi w:val="0"/>
        <w:spacing w:lineRule="auto" w:line="276"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For the month of October, 2023.</w:t>
      </w:r>
    </w:p>
    <w:p>
      <w:pPr>
        <w:pStyle w:val="TextBody"/>
        <w:bidi w:val="0"/>
        <w:spacing w:lineRule="auto" w:line="276" w:before="0" w:after="0"/>
        <w:jc w:val="left"/>
        <w:rPr/>
      </w:pPr>
      <w:r>
        <w:rPr>
          <w:rFonts w:ascii="Times New Roman;sans-serif" w:hAnsi="Times New Roman;sans-serif"/>
          <w:b w:val="false"/>
          <w:color w:val="000000"/>
          <w:sz w:val="20"/>
        </w:rPr>
        <w:t xml:space="preserve">Commission File Number: </w:t>
      </w:r>
      <w:r>
        <w:rPr>
          <w:rFonts w:ascii="Times New Roman;sans-serif" w:hAnsi="Times New Roman;sans-serif"/>
          <w:b/>
          <w:color w:val="000000"/>
          <w:sz w:val="20"/>
        </w:rPr>
        <w:t>001-40673</w:t>
      </w:r>
    </w:p>
    <w:p>
      <w:pPr>
        <w:pStyle w:val="TextBody"/>
        <w:bidi w:val="0"/>
        <w:spacing w:lineRule="auto" w:line="276" w:before="0" w:after="0"/>
        <w:jc w:val="center"/>
        <w:rPr/>
      </w:pPr>
      <w:r>
        <w:rPr>
          <w:rFonts w:ascii="Times New Roman;sans-serif" w:hAnsi="Times New Roman;sans-serif"/>
          <w:b/>
          <w:color w:val="000000"/>
          <w:sz w:val="20"/>
        </w:rPr>
        <w:br/>
      </w:r>
      <w:r>
        <w:rPr>
          <w:rFonts w:ascii="Times New Roman;sans-serif" w:hAnsi="Times New Roman;sans-serif"/>
          <w:b w:val="false"/>
          <w:color w:val="000000"/>
          <w:sz w:val="20"/>
        </w:rPr>
        <w:br/>
      </w:r>
      <w:r>
        <w:rPr>
          <w:rFonts w:ascii="Times New Roman;sans-serif" w:hAnsi="Times New Roman;sans-serif"/>
          <w:b/>
          <w:color w:val="000000"/>
          <w:sz w:val="24"/>
          <w:u w:val="single"/>
        </w:rPr>
        <w:t>Cybin Inc.</w:t>
      </w:r>
      <w:r>
        <w:rPr>
          <w:rFonts w:ascii="Times New Roman;sans-serif" w:hAnsi="Times New Roman;sans-serif"/>
          <w:b w:val="false"/>
          <w:color w:val="000000"/>
          <w:sz w:val="24"/>
        </w:rPr>
        <w:br/>
      </w:r>
      <w:r>
        <w:rPr>
          <w:rFonts w:ascii="Times New Roman;sans-serif" w:hAnsi="Times New Roman;sans-serif"/>
          <w:b w:val="false"/>
          <w:color w:val="000000"/>
          <w:sz w:val="20"/>
        </w:rPr>
        <w:t>(Exact Name of Registrant as Specified in Charter)</w:t>
        <w:br/>
        <w:br/>
      </w:r>
      <w:r>
        <w:rPr>
          <w:rFonts w:ascii="Times New Roman;sans-serif" w:hAnsi="Times New Roman;sans-serif"/>
          <w:b/>
          <w:color w:val="000000"/>
          <w:sz w:val="20"/>
        </w:rPr>
        <w:t xml:space="preserve">100 King Street West, Suite 5600, Toronto, Ontario, M5X 1C9 </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(Address of principal executive offices) </w:t>
      </w:r>
    </w:p>
    <w:p>
      <w:pPr>
        <w:pStyle w:val="TextBody"/>
        <w:bidi w:val="0"/>
        <w:spacing w:before="0" w:after="0"/>
        <w:jc w:val="center"/>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files or will file annual reports under cover Form 20-F or Form 40-F.</w:t>
      </w:r>
    </w:p>
    <w:p>
      <w:pPr>
        <w:pStyle w:val="TextBody"/>
        <w:bidi w:val="0"/>
        <w:spacing w:lineRule="auto" w:line="276" w:before="0" w:after="0"/>
        <w:jc w:val="left"/>
        <w:rPr/>
      </w:pPr>
      <w:r>
        <w:rPr>
          <w:rFonts w:ascii="Times New Roman;sans-serif" w:hAnsi="Times New Roman;sans-serif"/>
          <w:b w:val="false"/>
          <w:color w:val="000000"/>
          <w:sz w:val="20"/>
        </w:rPr>
        <w:t xml:space="preserve">Form 20-F </w:t>
      </w:r>
      <w:r>
        <w:rPr>
          <w:color w:val="000000"/>
        </w:rPr>
        <w:t xml:space="preserve">□ </w:t>
      </w:r>
      <w:r>
        <w:rPr>
          <w:rFonts w:ascii="Times New Roman;sans-serif" w:hAnsi="Times New Roman;sans-serif"/>
          <w:b w:val="false"/>
          <w:color w:val="000000"/>
          <w:sz w:val="20"/>
        </w:rPr>
        <w:t>Form 40-F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76"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5185"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210"/>
        <w:gridCol w:w="210"/>
        <w:gridCol w:w="210"/>
        <w:gridCol w:w="888"/>
        <w:gridCol w:w="563"/>
        <w:gridCol w:w="573"/>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color w:val="000000"/>
                <w:sz w:val="20"/>
              </w:rPr>
            </w:pPr>
            <w:r>
              <w:rPr>
                <w:rFonts w:ascii="Times New Roman;sans-serif" w:hAnsi="Times New Roman;sans-serif"/>
                <w:b/>
                <w:color w:val="000000"/>
                <w:sz w:val="20"/>
              </w:rPr>
              <w:t>CYBIN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 2023</w:t>
            </w:r>
          </w:p>
        </w:tc>
        <w:tc>
          <w:tcPr>
            <w:tcW w:w="63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24"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i/>
                <w:color w:val="000000"/>
                <w:sz w:val="20"/>
              </w:rPr>
              <w:t>/s/ Doug Drysdale    </w:t>
            </w:r>
            <w:r>
              <w:rPr>
                <w:color w:val="000000"/>
              </w:rPr>
              <w:t xml:space="preserv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Doug Drysdale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2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100" w:after="10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00"/>
        <w:jc w:val="center"/>
        <w:rPr>
          <w:rFonts w:ascii="Times New Roman;sans-serif" w:hAnsi="Times New Roman;sans-serif"/>
          <w:b/>
          <w:color w:val="000000"/>
          <w:sz w:val="20"/>
          <w:u w:val="single"/>
        </w:rPr>
      </w:pPr>
      <w:r>
        <w:rPr>
          <w:rFonts w:ascii="Times New Roman;sans-serif" w:hAnsi="Times New Roman;sans-serif"/>
          <w:b/>
          <w:color w:val="000000"/>
          <w:sz w:val="20"/>
          <w:u w:val="single"/>
        </w:rPr>
        <w:t>EXHIBIT INDEX</w:t>
      </w:r>
    </w:p>
    <w:p>
      <w:pPr>
        <w:pStyle w:val="TextBody"/>
        <w:bidi w:val="0"/>
        <w:spacing w:before="0" w:after="0"/>
        <w:jc w:val="left"/>
        <w:rPr/>
      </w:pPr>
      <w:r>
        <w:rPr/>
      </w:r>
    </w:p>
    <w:tbl>
      <w:tblPr>
        <w:tblW w:w="3690" w:type="dxa"/>
        <w:jc w:val="left"/>
        <w:tblInd w:w="0" w:type="dxa"/>
        <w:tblLayout w:type="fixed"/>
        <w:tblCellMar>
          <w:top w:w="28" w:type="dxa"/>
          <w:left w:w="28" w:type="dxa"/>
          <w:bottom w:w="28" w:type="dxa"/>
          <w:right w:w="28" w:type="dxa"/>
        </w:tblCellMar>
      </w:tblPr>
      <w:tblGrid>
        <w:gridCol w:w="174"/>
        <w:gridCol w:w="153"/>
        <w:gridCol w:w="154"/>
        <w:gridCol w:w="939"/>
        <w:gridCol w:w="939"/>
        <w:gridCol w:w="1331"/>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0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10-31x2023cyb00312mgdatap.htm">
              <w:r>
                <w:rPr>
                  <w:rStyle w:val="InternetLink"/>
                  <w:rFonts w:ascii="Times New Roman;sans-serif" w:hAnsi="Times New Roman;sans-serif"/>
                  <w:b w:val="false"/>
                  <w:color w:val="0000FF"/>
                  <w:sz w:val="20"/>
                  <w:u w:val="single"/>
                </w:rPr>
                <w:t>News Release dated October 31, 2023</w:t>
              </w:r>
            </w:hyperlink>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center"/>
        <w:rPr/>
      </w:pPr>
      <w:r>
        <w:rPr/>
        <w:drawing>
          <wp:inline distT="0" distB="0" distL="0" distR="0">
            <wp:extent cx="1962150" cy="11430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962150" cy="1143000"/>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319" w:before="0" w:after="0"/>
        <w:jc w:val="center"/>
        <w:rPr>
          <w:rFonts w:ascii="Arial;sans-serif" w:hAnsi="Arial;sans-serif"/>
          <w:b/>
          <w:color w:val="000000"/>
          <w:sz w:val="28"/>
        </w:rPr>
      </w:pPr>
      <w:r>
        <w:rPr>
          <w:rFonts w:ascii="Arial;sans-serif" w:hAnsi="Arial;sans-serif"/>
          <w:b/>
          <w:color w:val="000000"/>
          <w:sz w:val="28"/>
        </w:rPr>
        <w:t>Cybin Announces Unprecedented Positive Phase 2 Interim Data for CYB003 in Major Depressive Disorder Meeting Primary Efficacy Endpoint with Rapid and Significant Improvements in Depression Symptoms After Single Dose</w:t>
      </w:r>
    </w:p>
    <w:p>
      <w:pPr>
        <w:pStyle w:val="TextBody"/>
        <w:bidi w:val="0"/>
        <w:spacing w:before="0" w:after="0"/>
        <w:jc w:val="center"/>
        <w:rPr/>
      </w:pPr>
      <w:r>
        <w:rPr/>
      </w:r>
    </w:p>
    <w:p>
      <w:pPr>
        <w:pStyle w:val="TextBody"/>
        <w:bidi w:val="0"/>
        <w:spacing w:lineRule="auto" w:line="319" w:before="0" w:after="0"/>
        <w:jc w:val="center"/>
        <w:rPr>
          <w:rFonts w:ascii="Arial;sans-serif" w:hAnsi="Arial;sans-serif"/>
          <w:b w:val="false"/>
          <w:i/>
          <w:color w:val="000000"/>
          <w:sz w:val="22"/>
        </w:rPr>
      </w:pPr>
      <w:r>
        <w:rPr>
          <w:rFonts w:ascii="Arial;sans-serif" w:hAnsi="Arial;sans-serif"/>
          <w:b w:val="false"/>
          <w:i/>
          <w:color w:val="000000"/>
          <w:sz w:val="22"/>
        </w:rPr>
        <w:t>- Interim readout shows rapid, robust, and clinically significant reduction of depression symptoms three weeks after a single 12mg dose, with an unprecedented mean -14 point Montgomery-Asberg Depression Rating Scale (“MADRS”) score reduction from baseline between CYB003 (12mg) vs. placebo (p= 0.0005) -</w:t>
      </w:r>
    </w:p>
    <w:p>
      <w:pPr>
        <w:pStyle w:val="TextBody"/>
        <w:bidi w:val="0"/>
        <w:spacing w:before="0" w:after="0"/>
        <w:jc w:val="center"/>
        <w:rPr/>
      </w:pPr>
      <w:r>
        <w:rPr/>
      </w:r>
    </w:p>
    <w:p>
      <w:pPr>
        <w:pStyle w:val="TextBody"/>
        <w:bidi w:val="0"/>
        <w:spacing w:lineRule="auto" w:line="319" w:before="0" w:after="0"/>
        <w:jc w:val="center"/>
        <w:rPr/>
      </w:pPr>
      <w:r>
        <w:rPr>
          <w:rFonts w:ascii="Arial;sans-serif" w:hAnsi="Arial;sans-serif"/>
          <w:b w:val="false"/>
          <w:i/>
          <w:color w:val="000000"/>
          <w:sz w:val="22"/>
        </w:rPr>
        <w:t>- For reference, pooled data from 232 industry studies of current standard of care antidepressants,</w:t>
      </w:r>
      <w:r>
        <w:rPr>
          <w:color w:val="080808"/>
        </w:rPr>
        <w:t xml:space="preserve"> </w:t>
      </w:r>
      <w:r>
        <w:rPr>
          <w:rFonts w:ascii="Arial;sans-serif" w:hAnsi="Arial;sans-serif"/>
          <w:b w:val="false"/>
          <w:color w:val="080808"/>
          <w:sz w:val="24"/>
        </w:rPr>
        <w:t>s</w:t>
      </w:r>
      <w:r>
        <w:rPr>
          <w:rFonts w:ascii="Arial;sans-serif" w:hAnsi="Arial;sans-serif"/>
          <w:b w:val="false"/>
          <w:i/>
          <w:color w:val="080808"/>
          <w:sz w:val="22"/>
        </w:rPr>
        <w:t>elective serotonin reuptake inhibitors (SSRIs)</w:t>
      </w:r>
      <w:r>
        <w:rPr>
          <w:rFonts w:ascii="Arial;sans-serif" w:hAnsi="Arial;sans-serif"/>
          <w:b w:val="false"/>
          <w:i/>
          <w:color w:val="000000"/>
          <w:sz w:val="22"/>
        </w:rPr>
        <w:t>, submitted to U.S. Food and Drug Administration (“FDA”) (Stone et al, 2022) show an average improvement of 1.82 points vs. placebo -</w:t>
      </w:r>
    </w:p>
    <w:p>
      <w:pPr>
        <w:pStyle w:val="TextBody"/>
        <w:bidi w:val="0"/>
        <w:spacing w:before="0" w:after="0"/>
        <w:jc w:val="center"/>
        <w:rPr/>
      </w:pPr>
      <w:r>
        <w:rPr/>
      </w:r>
    </w:p>
    <w:p>
      <w:pPr>
        <w:pStyle w:val="TextBody"/>
        <w:bidi w:val="0"/>
        <w:spacing w:lineRule="auto" w:line="319" w:before="0" w:after="0"/>
        <w:jc w:val="center"/>
        <w:rPr>
          <w:rFonts w:ascii="Arial;sans-serif" w:hAnsi="Arial;sans-serif"/>
          <w:b w:val="false"/>
          <w:i/>
          <w:color w:val="000000"/>
          <w:sz w:val="22"/>
        </w:rPr>
      </w:pPr>
      <w:r>
        <w:rPr>
          <w:rFonts w:ascii="Arial;sans-serif" w:hAnsi="Arial;sans-serif"/>
          <w:b w:val="false"/>
          <w:i/>
          <w:color w:val="000000"/>
          <w:sz w:val="22"/>
        </w:rPr>
        <w:t>- Robust response and remission three weeks after single dose, with 53.3% of patients responding and 20% of patients in remission (no longer meeting the clinical definition of depression) vs. 0% for placebo -</w:t>
      </w:r>
    </w:p>
    <w:p>
      <w:pPr>
        <w:pStyle w:val="TextBody"/>
        <w:bidi w:val="0"/>
        <w:spacing w:before="0" w:after="0"/>
        <w:jc w:val="center"/>
        <w:rPr/>
      </w:pPr>
      <w:r>
        <w:rPr/>
      </w:r>
    </w:p>
    <w:p>
      <w:pPr>
        <w:pStyle w:val="TextBody"/>
        <w:bidi w:val="0"/>
        <w:spacing w:lineRule="auto" w:line="319" w:before="0" w:after="0"/>
        <w:jc w:val="center"/>
        <w:rPr>
          <w:rFonts w:ascii="Arial;sans-serif" w:hAnsi="Arial;sans-serif"/>
          <w:b w:val="false"/>
          <w:i/>
          <w:color w:val="000000"/>
          <w:sz w:val="22"/>
        </w:rPr>
      </w:pPr>
      <w:r>
        <w:rPr>
          <w:rFonts w:ascii="Arial;sans-serif" w:hAnsi="Arial;sans-serif"/>
          <w:b w:val="false"/>
          <w:i/>
          <w:color w:val="000000"/>
          <w:sz w:val="22"/>
        </w:rPr>
        <w:t>- Favorable safety and tolerability profile with no treatment-related serious adverse events at 12 mg dose -</w:t>
      </w:r>
    </w:p>
    <w:p>
      <w:pPr>
        <w:pStyle w:val="TextBody"/>
        <w:bidi w:val="0"/>
        <w:spacing w:before="0" w:after="0"/>
        <w:jc w:val="center"/>
        <w:rPr/>
      </w:pPr>
      <w:r>
        <w:rPr/>
      </w:r>
    </w:p>
    <w:p>
      <w:pPr>
        <w:pStyle w:val="TextBody"/>
        <w:bidi w:val="0"/>
        <w:spacing w:lineRule="auto" w:line="319" w:before="0" w:after="0"/>
        <w:jc w:val="center"/>
        <w:rPr/>
      </w:pPr>
      <w:r>
        <w:rPr>
          <w:rFonts w:ascii="Arial;sans-serif" w:hAnsi="Arial;sans-serif"/>
          <w:b w:val="false"/>
          <w:i/>
          <w:color w:val="000000"/>
          <w:sz w:val="22"/>
        </w:rPr>
        <w:t>-</w:t>
      </w:r>
      <w:r>
        <w:rPr>
          <w:color w:val="000000"/>
        </w:rPr>
        <w:t xml:space="preserve"> </w:t>
      </w:r>
      <w:r>
        <w:rPr>
          <w:rFonts w:ascii="Arial;sans-serif" w:hAnsi="Arial;sans-serif"/>
          <w:b w:val="false"/>
          <w:i/>
          <w:color w:val="000000"/>
          <w:sz w:val="22"/>
        </w:rPr>
        <w:t>Full topline data on track for Q4 2023 -</w:t>
      </w:r>
    </w:p>
    <w:p>
      <w:pPr>
        <w:pStyle w:val="TextBody"/>
        <w:bidi w:val="0"/>
        <w:spacing w:before="0" w:after="0"/>
        <w:jc w:val="center"/>
        <w:rPr/>
      </w:pPr>
      <w:r>
        <w:rPr/>
      </w:r>
    </w:p>
    <w:p>
      <w:pPr>
        <w:pStyle w:val="TextBody"/>
        <w:bidi w:val="0"/>
        <w:spacing w:lineRule="auto" w:line="319" w:before="0" w:after="0"/>
        <w:jc w:val="center"/>
        <w:rPr>
          <w:rFonts w:ascii="Arial;sans-serif" w:hAnsi="Arial;sans-serif"/>
          <w:b w:val="false"/>
          <w:i/>
          <w:color w:val="000000"/>
          <w:sz w:val="22"/>
        </w:rPr>
      </w:pPr>
      <w:r>
        <w:rPr>
          <w:rFonts w:ascii="Arial;sans-serif" w:hAnsi="Arial;sans-serif"/>
          <w:b w:val="false"/>
          <w:i/>
          <w:color w:val="000000"/>
          <w:sz w:val="22"/>
        </w:rPr>
        <w:t>- Company to host conference call to discuss CYB003 interim results on Wednesday, November 1, 2023 at 11:00 a.m. ET –</w:t>
      </w:r>
    </w:p>
    <w:p>
      <w:pPr>
        <w:pStyle w:val="TextBody"/>
        <w:bidi w:val="0"/>
        <w:spacing w:before="0" w:after="0"/>
        <w:jc w:val="center"/>
        <w:rPr/>
      </w:pPr>
      <w:r>
        <w:rPr/>
      </w:r>
    </w:p>
    <w:p>
      <w:pPr>
        <w:pStyle w:val="TextBody"/>
        <w:bidi w:val="0"/>
        <w:spacing w:lineRule="auto" w:line="319" w:before="0" w:after="0"/>
        <w:jc w:val="center"/>
        <w:rPr>
          <w:rFonts w:ascii="Arial;sans-serif" w:hAnsi="Arial;sans-serif"/>
          <w:b/>
          <w:color w:val="000000"/>
          <w:sz w:val="22"/>
        </w:rPr>
      </w:pPr>
      <w:r>
        <w:rPr>
          <w:rFonts w:ascii="Arial;sans-serif" w:hAnsi="Arial;sans-serif"/>
          <w:b/>
          <w:color w:val="000000"/>
          <w:sz w:val="22"/>
        </w:rPr>
        <w:t>This news release constitutes a “designated news release” for the purposes of Cybin’s prospectus supplements each dated August 23, 2023, to its short form base shelf prospectus dated August 17, 2023.</w:t>
      </w: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5943600" cy="307657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5943600" cy="3076575"/>
                    </a:xfrm>
                    <a:prstGeom prst="rect">
                      <a:avLst/>
                    </a:prstGeom>
                  </pic:spPr>
                </pic:pic>
              </a:graphicData>
            </a:graphic>
          </wp:inline>
        </w:drawing>
      </w:r>
    </w:p>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CYB003 (12mg dose) demonstrated a rapid and statistically significant reduction in symptoms of depression at three weeks after a single dose, meeting the primary efficacy endpoint</w:t>
      </w:r>
    </w:p>
    <w:p>
      <w:pPr>
        <w:pStyle w:val="TextBody"/>
        <w:bidi w:val="0"/>
        <w:spacing w:before="0" w:after="0"/>
        <w:jc w:val="center"/>
        <w:rPr/>
      </w:pPr>
      <w:r>
        <w:rPr/>
      </w:r>
    </w:p>
    <w:p>
      <w:pPr>
        <w:pStyle w:val="TextBody"/>
        <w:bidi w:val="0"/>
        <w:spacing w:before="0" w:after="0"/>
        <w:jc w:val="center"/>
        <w:rPr/>
      </w:pPr>
      <w:r>
        <w:rPr/>
        <w:drawing>
          <wp:inline distT="0" distB="0" distL="0" distR="0">
            <wp:extent cx="5943600" cy="310515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5943600" cy="3105150"/>
                    </a:xfrm>
                    <a:prstGeom prst="rect">
                      <a:avLst/>
                    </a:prstGeom>
                  </pic:spPr>
                </pic:pic>
              </a:graphicData>
            </a:graphic>
          </wp:inline>
        </w:drawing>
      </w:r>
    </w:p>
    <w:p>
      <w:pPr>
        <w:pStyle w:val="TextBody"/>
        <w:bidi w:val="0"/>
        <w:spacing w:lineRule="auto" w:line="319" w:before="0" w:after="0"/>
        <w:jc w:val="center"/>
        <w:rPr/>
      </w:pPr>
      <w:r>
        <w:rPr>
          <w:rFonts w:ascii="Arial;sans-serif" w:hAnsi="Arial;sans-serif"/>
          <w:b w:val="false"/>
          <w:color w:val="000000"/>
          <w:sz w:val="22"/>
        </w:rPr>
        <w:t>Current Treatment Landscape for Depression</w:t>
      </w:r>
      <w:r>
        <w:rPr>
          <w:color w:val="000000"/>
        </w:rPr>
        <w:t xml:space="preserve"> </w:t>
      </w:r>
      <w:r>
        <w:rPr>
          <w:rFonts w:ascii="Arial;sans-serif" w:hAnsi="Arial;sans-serif"/>
          <w:b w:val="false"/>
          <w:color w:val="000000"/>
          <w:sz w:val="22"/>
        </w:rPr>
        <w:t>(1)</w:t>
      </w:r>
    </w:p>
    <w:p>
      <w:pPr>
        <w:pStyle w:val="TextBody"/>
        <w:bidi w:val="0"/>
        <w:spacing w:lineRule="auto" w:line="319"/>
        <w:jc w:val="both"/>
        <w:rPr/>
      </w:pPr>
      <w:r>
        <w:rPr>
          <w:rFonts w:ascii="Arial;sans-serif" w:hAnsi="Arial;sans-serif"/>
          <w:b w:val="false"/>
          <w:color w:val="000000"/>
          <w:sz w:val="24"/>
        </w:rPr>
        <w:br/>
      </w:r>
      <w:r>
        <w:rPr>
          <w:rFonts w:ascii="Arial;sans-serif" w:hAnsi="Arial;sans-serif"/>
          <w:b/>
          <w:color w:val="000000"/>
          <w:sz w:val="22"/>
        </w:rPr>
        <w:t xml:space="preserve">TORONTO, CANADA </w:t>
      </w:r>
      <w:r>
        <w:rPr>
          <w:color w:val="000000"/>
        </w:rPr>
        <w:t xml:space="preserve">– </w:t>
      </w:r>
      <w:r>
        <w:rPr>
          <w:rFonts w:ascii="Arial;sans-serif" w:hAnsi="Arial;sans-serif"/>
          <w:b w:val="false"/>
          <w:color w:val="000000"/>
          <w:sz w:val="22"/>
        </w:rPr>
        <w:t xml:space="preserve">October 31, 2023 – </w:t>
      </w:r>
      <w:r>
        <w:rPr>
          <w:rFonts w:ascii="Arial;sans-serif" w:hAnsi="Arial;sans-serif"/>
          <w:b w:val="false"/>
          <w:color w:val="0563C1"/>
          <w:sz w:val="22"/>
          <w:u w:val="single"/>
        </w:rPr>
        <w:t>Cybin Inc.</w:t>
      </w:r>
      <w:r>
        <w:rPr>
          <w:color w:val="000000"/>
        </w:rPr>
        <w:t xml:space="preserve"> </w:t>
      </w:r>
      <w:r>
        <w:rPr>
          <w:rFonts w:ascii="Arial;sans-serif" w:hAnsi="Arial;sans-serif"/>
          <w:b w:val="false"/>
          <w:color w:val="000000"/>
          <w:sz w:val="22"/>
        </w:rPr>
        <w:t>(NYSE American:CYBN) (NEO:CYBN) (“</w:t>
      </w:r>
      <w:r>
        <w:rPr>
          <w:rFonts w:ascii="Arial;sans-serif" w:hAnsi="Arial;sans-serif"/>
          <w:b/>
          <w:color w:val="000000"/>
          <w:sz w:val="22"/>
        </w:rPr>
        <w:t>Cybin</w:t>
      </w:r>
      <w:r>
        <w:rPr>
          <w:color w:val="000000"/>
        </w:rPr>
        <w:t xml:space="preserve">” </w:t>
      </w:r>
      <w:r>
        <w:rPr>
          <w:rFonts w:ascii="Arial;sans-serif" w:hAnsi="Arial;sans-serif"/>
          <w:b w:val="false"/>
          <w:color w:val="000000"/>
          <w:sz w:val="22"/>
        </w:rPr>
        <w:t>or the “</w:t>
      </w:r>
      <w:r>
        <w:rPr>
          <w:rFonts w:ascii="Arial;sans-serif" w:hAnsi="Arial;sans-serif"/>
          <w:b/>
          <w:color w:val="000000"/>
          <w:sz w:val="22"/>
        </w:rPr>
        <w:t>Company</w:t>
      </w:r>
      <w:r>
        <w:rPr>
          <w:color w:val="000000"/>
        </w:rPr>
        <w:t>”</w:t>
      </w:r>
      <w:r>
        <w:rPr>
          <w:rFonts w:ascii="Arial;sans-serif" w:hAnsi="Arial;sans-serif"/>
          <w:b w:val="false"/>
          <w:color w:val="000000"/>
          <w:sz w:val="22"/>
        </w:rPr>
        <w:t xml:space="preserve">), a clinical-stage biopharmaceutical company committed to revolutionizing mental healthcare by developing new and innovative next-generation psychedelic treatment options, today announced Phase 2 interim results for CYB003, its proprietary deuterated psilocybin analog, demonstrating a rapid, robust and statistically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 xml:space="preserve">significant reduction in symptoms of depression three weeks following a single 12mg dose compared to placebo. At the 3-week primary efficacy endpoint, the reduction in major depressive disorder (“MDD”) symptoms, defined as change from baseline in MADRS total score, was superior in participants assigned to CYB003 compared to the participants who received placebo by 14.08 points (p=0.0005, Cohen’s d=2.15). A p-value indicates statistical significance. Generally, values &lt;0.05 are considered statistically significant and values &lt;0.001 are considered highly statistically significant. </w:t>
      </w:r>
    </w:p>
    <w:p>
      <w:pPr>
        <w:pStyle w:val="TextBody"/>
        <w:bidi w:val="0"/>
        <w:spacing w:before="0" w:after="0"/>
        <w:jc w:val="both"/>
        <w:rPr/>
      </w:pPr>
      <w:r>
        <w:rPr/>
      </w:r>
    </w:p>
    <w:p>
      <w:pPr>
        <w:pStyle w:val="TextBody"/>
        <w:bidi w:val="0"/>
        <w:spacing w:lineRule="auto" w:line="319" w:before="0" w:after="0"/>
        <w:jc w:val="both"/>
        <w:rPr>
          <w:color w:val="000000"/>
        </w:rPr>
      </w:pPr>
      <w:r>
        <w:rPr>
          <w:color w:val="000000"/>
        </w:rPr>
        <w:t>“</w:t>
      </w:r>
      <w:r>
        <w:rPr>
          <w:rFonts w:ascii="Arial;sans-serif" w:hAnsi="Arial;sans-serif"/>
          <w:b w:val="false"/>
          <w:color w:val="000000"/>
          <w:sz w:val="22"/>
        </w:rPr>
        <w:t>The overwhelmingly positive interim results for the 12mg dose of CYB003 are extremely encouraging for patients and providers. The efficacy demonstrated at that dosage showed an unprecedented reduction in depressive symptoms compared to currently available treatments,” said Doug Drysdale, Chief Executive Officer of Cybin. “With these encouraging results in hand, we look forward to sharing the full complement of topline data later this quarter, and 12-week durability data in the first quarter of 2024. Our planning continues as we prepare for a larger international, multisite Phase 3 trial in early 2024 to further evaluate the safety and efficacy of CYB003 in people suffering from MDD.”</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The Phase 2 clinical trial is evaluating efficacy using the MADRS scale, with a primary efficacy endpoint of reduction in depression symptoms (change from baseline in MADRS) at week 3 after a single administration. To date, dosing has been completed in all dose cohorts up to 16mg, with a favorable safety and tolerability profile and no treatment-related serious adverse events observed. Interim results from the 12mg dose cohort have demonstrated a statistically significant and clinically meaningful reduction in symptoms of depression with a single dose at three weeks after treatment.</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 xml:space="preserve">The MADRS is a 10-item, clinician-administered scale designed to measure overall severity of depressive symptoms in subjects with MDD. It is widely used in clinical trials and accepted by regulatory authorities worldwide as a measure of symptoms of depression. The MADRS includes items ranging from sadness of mood, reduction in sleep and appetite, to difficulties in concentration, anhedonia, and negative and suicidal thoughts that are scored from 0 to 6 giving a total score ranging from 0 to 60. Typical score ranges for severity are: 0-6 normal; 7-19 mild; 20-34 moderate; and &gt;34 severe depression. In the CYB003 study, mean baseline total scores on the MADRS were 32.6 and 33.3 in the active and placebo groups, respectively. </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Summary of CYB003 12mg interim efficacy data at three weeks:</w:t>
      </w:r>
    </w:p>
    <w:p>
      <w:pPr>
        <w:pStyle w:val="TextBody"/>
        <w:bidi w:val="0"/>
        <w:spacing w:lineRule="auto" w:line="319" w:before="0" w:after="0"/>
        <w:ind w:left="0" w:right="0" w:hanging="360"/>
        <w:jc w:val="both"/>
        <w:rPr/>
      </w:pPr>
      <w:r>
        <w:rPr>
          <w:color w:val="000000"/>
        </w:rPr>
        <w:t>•</w:t>
      </w:r>
      <w:r>
        <w:rPr>
          <w:rFonts w:ascii="Arial;sans-serif" w:hAnsi="Arial;sans-serif"/>
          <w:b w:val="false"/>
          <w:color w:val="000000"/>
          <w:sz w:val="22"/>
        </w:rPr>
        <w:t xml:space="preserve">Rapid and statistically significant improvements in depression symptoms observed after single doses of CYB003: </w:t>
      </w:r>
    </w:p>
    <w:p>
      <w:pPr>
        <w:pStyle w:val="TextBody"/>
        <w:bidi w:val="0"/>
        <w:spacing w:lineRule="auto" w:line="319" w:before="0" w:after="0"/>
        <w:ind w:left="0" w:right="0" w:hanging="360"/>
        <w:jc w:val="both"/>
        <w:rPr>
          <w:rFonts w:ascii="Arial;sans-serif" w:hAnsi="Arial;sans-serif"/>
          <w:b w:val="false"/>
          <w:color w:val="000000"/>
          <w:sz w:val="22"/>
        </w:rPr>
      </w:pPr>
      <w:r>
        <w:rPr>
          <w:rFonts w:ascii="Arial;sans-serif" w:hAnsi="Arial;sans-serif"/>
          <w:b w:val="false"/>
          <w:color w:val="000000"/>
          <w:sz w:val="22"/>
        </w:rPr>
        <w:t>oImprovements in depression symptoms evident on the day after dosing, reaching a peak 10 days after dosing, and maintained thereafter.</w:t>
      </w:r>
    </w:p>
    <w:p>
      <w:pPr>
        <w:pStyle w:val="TextBody"/>
        <w:bidi w:val="0"/>
        <w:spacing w:lineRule="auto" w:line="319" w:before="0" w:after="0"/>
        <w:ind w:left="0" w:right="0" w:hanging="360"/>
        <w:jc w:val="both"/>
        <w:rPr/>
      </w:pPr>
      <w:r>
        <w:rPr>
          <w:rFonts w:ascii="Arial;sans-serif" w:hAnsi="Arial;sans-serif"/>
          <w:b w:val="false"/>
          <w:color w:val="000000"/>
          <w:sz w:val="24"/>
        </w:rPr>
        <w:t>o</w:t>
      </w:r>
      <w:r>
        <w:rPr>
          <w:rFonts w:ascii="Arial;sans-serif" w:hAnsi="Arial;sans-serif"/>
          <w:b w:val="false"/>
          <w:color w:val="000000"/>
          <w:sz w:val="22"/>
        </w:rPr>
        <w:t xml:space="preserve">Robust and statistically significant reduction in depression symptoms compared to placebo at 3 weeks, with a -14.08 difference in change from baseline in MADRS for CYB003 vs. placebo (p=0.0005)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319" w:before="0" w:after="0"/>
        <w:ind w:left="0" w:right="0" w:hanging="360"/>
        <w:jc w:val="both"/>
        <w:rPr/>
      </w:pPr>
      <w:r>
        <w:rPr>
          <w:color w:val="000000"/>
        </w:rPr>
        <w:t>•</w:t>
      </w:r>
      <w:r>
        <w:rPr>
          <w:rFonts w:ascii="Arial;sans-serif" w:hAnsi="Arial;sans-serif"/>
          <w:b w:val="false"/>
          <w:color w:val="000000"/>
          <w:sz w:val="22"/>
        </w:rPr>
        <w:t>Robust response (≥50% reduction in MADRS) and remission (MADRS scores ≤10) rates at three weeks after single dose:</w:t>
      </w:r>
    </w:p>
    <w:p>
      <w:pPr>
        <w:pStyle w:val="TextBody"/>
        <w:bidi w:val="0"/>
        <w:spacing w:lineRule="auto" w:line="319" w:before="0" w:after="0"/>
        <w:ind w:left="0" w:right="0" w:hanging="360"/>
        <w:jc w:val="both"/>
        <w:rPr>
          <w:rFonts w:ascii="Arial;sans-serif" w:hAnsi="Arial;sans-serif"/>
          <w:b w:val="false"/>
          <w:color w:val="000000"/>
          <w:sz w:val="22"/>
        </w:rPr>
      </w:pPr>
      <w:r>
        <w:rPr>
          <w:rFonts w:ascii="Arial;sans-serif" w:hAnsi="Arial;sans-serif"/>
          <w:b w:val="false"/>
          <w:color w:val="000000"/>
          <w:sz w:val="22"/>
        </w:rPr>
        <w:t>o53.3% response rate for CYB003 (12mg) vs.0% for placebo</w:t>
      </w:r>
    </w:p>
    <w:p>
      <w:pPr>
        <w:pStyle w:val="TextBody"/>
        <w:bidi w:val="0"/>
        <w:spacing w:lineRule="auto" w:line="319" w:before="0" w:after="0"/>
        <w:ind w:left="0" w:right="0" w:hanging="360"/>
        <w:jc w:val="both"/>
        <w:rPr>
          <w:rFonts w:ascii="Arial;sans-serif" w:hAnsi="Arial;sans-serif"/>
          <w:b w:val="false"/>
          <w:color w:val="000000"/>
          <w:sz w:val="22"/>
        </w:rPr>
      </w:pPr>
      <w:r>
        <w:rPr>
          <w:rFonts w:ascii="Arial;sans-serif" w:hAnsi="Arial;sans-serif"/>
          <w:b w:val="false"/>
          <w:color w:val="000000"/>
          <w:sz w:val="22"/>
        </w:rPr>
        <w:t>o20.0% remission rate for CYB003 (12mg) vs.0% for placebo</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Safety and tolerability:</w:t>
      </w:r>
    </w:p>
    <w:p>
      <w:pPr>
        <w:pStyle w:val="TextBody"/>
        <w:bidi w:val="0"/>
        <w:spacing w:lineRule="auto" w:line="319" w:before="0" w:after="0"/>
        <w:ind w:left="0" w:right="0" w:hanging="360"/>
        <w:jc w:val="both"/>
        <w:rPr/>
      </w:pPr>
      <w:r>
        <w:rPr>
          <w:color w:val="000000"/>
        </w:rPr>
        <w:t>•</w:t>
      </w:r>
      <w:r>
        <w:rPr>
          <w:rFonts w:ascii="Arial;sans-serif" w:hAnsi="Arial;sans-serif"/>
          <w:b w:val="false"/>
          <w:color w:val="000000"/>
          <w:sz w:val="22"/>
        </w:rPr>
        <w:t xml:space="preserve">CYB003 was well tolerated with no drug-related Serious Adverse Events </w:t>
      </w:r>
    </w:p>
    <w:p>
      <w:pPr>
        <w:pStyle w:val="TextBody"/>
        <w:bidi w:val="0"/>
        <w:spacing w:lineRule="auto" w:line="319" w:before="0" w:after="0"/>
        <w:ind w:left="0" w:right="0" w:hanging="360"/>
        <w:jc w:val="both"/>
        <w:rPr/>
      </w:pPr>
      <w:r>
        <w:rPr>
          <w:color w:val="000000"/>
        </w:rPr>
        <w:t>•</w:t>
      </w:r>
      <w:r>
        <w:rPr>
          <w:rFonts w:ascii="Arial;sans-serif" w:hAnsi="Arial;sans-serif"/>
          <w:b w:val="false"/>
          <w:color w:val="000000"/>
          <w:sz w:val="22"/>
        </w:rPr>
        <w:t xml:space="preserve">All Adverse Events were mild or moderate in intensity and resolved spontaneously without intervention </w:t>
      </w:r>
    </w:p>
    <w:p>
      <w:pPr>
        <w:pStyle w:val="TextBody"/>
        <w:bidi w:val="0"/>
        <w:spacing w:before="0" w:after="0"/>
        <w:jc w:val="both"/>
        <w:rPr/>
      </w:pPr>
      <w:r>
        <w:rPr/>
      </w:r>
    </w:p>
    <w:p>
      <w:pPr>
        <w:pStyle w:val="TextBody"/>
        <w:bidi w:val="0"/>
        <w:spacing w:lineRule="auto" w:line="319" w:before="0" w:after="0"/>
        <w:jc w:val="both"/>
        <w:rPr>
          <w:color w:val="000000"/>
        </w:rPr>
      </w:pPr>
      <w:r>
        <w:rPr>
          <w:color w:val="000000"/>
        </w:rPr>
        <w:t>“</w:t>
      </w:r>
      <w:r>
        <w:rPr>
          <w:rFonts w:ascii="Arial;sans-serif" w:hAnsi="Arial;sans-serif"/>
          <w:b w:val="false"/>
          <w:color w:val="000000"/>
          <w:sz w:val="22"/>
        </w:rPr>
        <w:t>These positive interim safety and efficacy results support progressing to pivotal studies. We plan to request an end of Phase 2 meeting with the FDA in early 2024 to align on Phase 3 trial design, and we are commencing dosing with a capsule formulation of CYB003 in the bioequivalence cohort and further manufacturing of GMP materials that will be dose flexible, patient friendly and commercially scalable. This is an exciting time – not only for Cybin, but for the entire psychedelics sector – as we now have interim results showing a significant improvement in depressive symptoms with a single dose, moving us ever closer to delivering on our mission to improve the treatment landscape across the spectrum of mental health disorders,” concluded Drysdale.</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Cybin’s Chief Medical Officer, Amir Inamdar said, “Mental health disorders affect almost 1 billion people worldwide. Comorbid MDD occurs widely in medical and psychiatric disorders, including anxiety disorders and post-traumatic stress disorder. These interim results, together with emerging data from a number of academic studies, suggest that CYB003 may have therapeutic efficacy in range of mental health conditions.”</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Upcoming milestones: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Full topline safety and efficacy data from the CYB003 MDD study is expected by the end Q4 2023, with 12-week durability data anticipated in Q1 2024. Cybin plans to submit this topline data to the FDA and request an end of Phase 2 meeting to be held in Q1 2024. Recruiting for a CYB003 Phase 3 study is anticipated to begin by the end of Q1 2024.</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The Company also expects to share topline Phase 1 data for CYB004 and SPL028, its proprietary novel deuterated N,N-dimethyltryptamine (“DMT”) compounds, before the end of 2023, supporting the initiation of a Phase 2 study in participants with generalized anxiety disorder in Q1 2024.</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Conference Call and Webcast Details:</w:t>
      </w:r>
    </w:p>
    <w:p>
      <w:pPr>
        <w:pStyle w:val="TextBody"/>
        <w:bidi w:val="0"/>
        <w:spacing w:before="0" w:after="0"/>
        <w:jc w:val="both"/>
        <w:rPr/>
      </w:pPr>
      <w:r>
        <w:rPr/>
      </w:r>
    </w:p>
    <w:p>
      <w:pPr>
        <w:pStyle w:val="TextBody"/>
        <w:bidi w:val="0"/>
        <w:spacing w:lineRule="auto" w:line="319" w:before="0" w:after="0"/>
        <w:jc w:val="both"/>
        <w:rPr/>
      </w:pPr>
      <w:r>
        <w:rPr>
          <w:rFonts w:ascii="Arial;sans-serif" w:hAnsi="Arial;sans-serif"/>
          <w:b w:val="false"/>
          <w:color w:val="000000"/>
          <w:sz w:val="22"/>
        </w:rPr>
        <w:t>Date:</w:t>
      </w:r>
      <w:r>
        <w:rPr>
          <w:color w:val="000000"/>
        </w:rPr>
        <w:t>                </w:t>
      </w:r>
      <w:r>
        <w:rPr>
          <w:rFonts w:ascii="Arial;sans-serif" w:hAnsi="Arial;sans-serif"/>
          <w:b w:val="false"/>
          <w:color w:val="000000"/>
          <w:sz w:val="22"/>
        </w:rPr>
        <w:t>Wednesday, November 1, 2023</w:t>
      </w:r>
    </w:p>
    <w:p>
      <w:pPr>
        <w:pStyle w:val="TextBody"/>
        <w:bidi w:val="0"/>
        <w:spacing w:before="0" w:after="0"/>
        <w:jc w:val="both"/>
        <w:rPr/>
      </w:pPr>
      <w:r>
        <w:rPr/>
      </w:r>
    </w:p>
    <w:p>
      <w:pPr>
        <w:pStyle w:val="TextBody"/>
        <w:bidi w:val="0"/>
        <w:spacing w:lineRule="auto" w:line="319" w:before="0" w:after="0"/>
        <w:jc w:val="both"/>
        <w:rPr/>
      </w:pPr>
      <w:r>
        <w:rPr>
          <w:rFonts w:ascii="Arial;sans-serif" w:hAnsi="Arial;sans-serif"/>
          <w:b w:val="false"/>
          <w:color w:val="000000"/>
          <w:sz w:val="22"/>
        </w:rPr>
        <w:t>Time:</w:t>
      </w:r>
      <w:r>
        <w:rPr>
          <w:color w:val="000000"/>
        </w:rPr>
        <w:t>                </w:t>
      </w:r>
      <w:r>
        <w:rPr>
          <w:rFonts w:ascii="Arial;sans-serif" w:hAnsi="Arial;sans-serif"/>
          <w:b w:val="false"/>
          <w:color w:val="000000"/>
          <w:sz w:val="22"/>
        </w:rPr>
        <w:t>11:00 a.m. ET.</w:t>
      </w: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19" w:before="0" w:after="0"/>
        <w:jc w:val="both"/>
        <w:rPr/>
      </w:pPr>
      <w:r>
        <w:rPr>
          <w:rFonts w:ascii="Arial;sans-serif" w:hAnsi="Arial;sans-serif"/>
          <w:b w:val="false"/>
          <w:color w:val="000000"/>
          <w:sz w:val="22"/>
        </w:rPr>
        <w:t>Dial-in:</w:t>
      </w:r>
      <w:r>
        <w:rPr>
          <w:color w:val="000000"/>
        </w:rPr>
        <w:t>                </w:t>
      </w:r>
      <w:r>
        <w:rPr>
          <w:rFonts w:ascii="Arial;sans-serif" w:hAnsi="Arial;sans-serif"/>
          <w:b w:val="false"/>
          <w:color w:val="000000"/>
          <w:sz w:val="22"/>
        </w:rPr>
        <w:t>800-245-3047 (U.S. Toll-Free) or 203-518-9765 (International)</w:t>
      </w:r>
    </w:p>
    <w:p>
      <w:pPr>
        <w:pStyle w:val="TextBody"/>
        <w:bidi w:val="0"/>
        <w:spacing w:before="0" w:after="0"/>
        <w:jc w:val="both"/>
        <w:rPr/>
      </w:pPr>
      <w:r>
        <w:rPr/>
      </w:r>
    </w:p>
    <w:p>
      <w:pPr>
        <w:pStyle w:val="TextBody"/>
        <w:bidi w:val="0"/>
        <w:spacing w:lineRule="auto" w:line="319" w:before="0" w:after="0"/>
        <w:jc w:val="both"/>
        <w:rPr/>
      </w:pPr>
      <w:r>
        <w:rPr>
          <w:rFonts w:ascii="Arial;sans-serif" w:hAnsi="Arial;sans-serif"/>
          <w:b w:val="false"/>
          <w:color w:val="000000"/>
          <w:sz w:val="22"/>
        </w:rPr>
        <w:t>Conference ID:</w:t>
      </w:r>
      <w:r>
        <w:rPr>
          <w:color w:val="000000"/>
        </w:rPr>
        <w:t>        </w:t>
      </w:r>
      <w:r>
        <w:rPr>
          <w:rFonts w:ascii="Arial;sans-serif" w:hAnsi="Arial;sans-serif"/>
          <w:b w:val="false"/>
          <w:color w:val="000000"/>
          <w:sz w:val="22"/>
        </w:rPr>
        <w:t>CYBN1101</w:t>
      </w:r>
    </w:p>
    <w:p>
      <w:pPr>
        <w:pStyle w:val="TextBody"/>
        <w:bidi w:val="0"/>
        <w:spacing w:before="0" w:after="0"/>
        <w:jc w:val="both"/>
        <w:rPr/>
      </w:pPr>
      <w:r>
        <w:rPr/>
      </w:r>
    </w:p>
    <w:p>
      <w:pPr>
        <w:pStyle w:val="TextBody"/>
        <w:bidi w:val="0"/>
        <w:spacing w:lineRule="auto" w:line="319" w:before="0" w:after="0"/>
        <w:jc w:val="both"/>
        <w:rPr/>
      </w:pPr>
      <w:r>
        <w:rPr>
          <w:rFonts w:ascii="Arial;sans-serif" w:hAnsi="Arial;sans-serif"/>
          <w:b w:val="false"/>
          <w:color w:val="000000"/>
          <w:sz w:val="22"/>
        </w:rPr>
        <w:t>Webcast:</w:t>
      </w:r>
      <w:r>
        <w:rPr>
          <w:color w:val="000000"/>
        </w:rPr>
        <w:t>            </w:t>
      </w:r>
      <w:r>
        <w:rPr>
          <w:rFonts w:ascii="Arial;sans-serif" w:hAnsi="Arial;sans-serif"/>
          <w:b w:val="false"/>
          <w:color w:val="000000"/>
          <w:sz w:val="22"/>
        </w:rPr>
        <w:t xml:space="preserve">Register for the webcast </w:t>
      </w:r>
      <w:r>
        <w:rPr>
          <w:rFonts w:ascii="Arial;sans-serif" w:hAnsi="Arial;sans-serif"/>
          <w:b w:val="false"/>
          <w:color w:val="0000FF"/>
          <w:sz w:val="22"/>
          <w:u w:val="single"/>
        </w:rPr>
        <w:t>here</w:t>
      </w:r>
    </w:p>
    <w:p>
      <w:pPr>
        <w:pStyle w:val="TextBody"/>
        <w:bidi w:val="0"/>
        <w:spacing w:before="0" w:after="0"/>
        <w:jc w:val="both"/>
        <w:rPr/>
      </w:pPr>
      <w:r>
        <w:rPr/>
      </w:r>
    </w:p>
    <w:p>
      <w:pPr>
        <w:pStyle w:val="TextBody"/>
        <w:bidi w:val="0"/>
        <w:spacing w:lineRule="auto" w:line="319" w:before="0" w:after="0"/>
        <w:jc w:val="both"/>
        <w:rPr/>
      </w:pPr>
      <w:r>
        <w:rPr>
          <w:rFonts w:ascii="Arial;sans-serif" w:hAnsi="Arial;sans-serif"/>
          <w:b w:val="false"/>
          <w:color w:val="000000"/>
          <w:sz w:val="22"/>
        </w:rPr>
        <w:t xml:space="preserve">The archived webcast will also be available on Cybin’s investor relations website on the </w:t>
      </w:r>
      <w:r>
        <w:rPr>
          <w:rFonts w:ascii="Arial;sans-serif" w:hAnsi="Arial;sans-serif"/>
          <w:b w:val="false"/>
          <w:color w:val="0000FF"/>
          <w:sz w:val="22"/>
          <w:u w:val="single"/>
        </w:rPr>
        <w:t>Events &amp; Presentations</w:t>
      </w:r>
      <w:r>
        <w:rPr>
          <w:color w:val="000000"/>
        </w:rPr>
        <w:t xml:space="preserve"> </w:t>
      </w:r>
      <w:r>
        <w:rPr>
          <w:rFonts w:ascii="Arial;sans-serif" w:hAnsi="Arial;sans-serif"/>
          <w:b w:val="false"/>
          <w:color w:val="000000"/>
          <w:sz w:val="22"/>
        </w:rPr>
        <w:t>page.</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About the Phase 1/2 CYB003 Trial</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The Phase 1/2 trial is a randomized, double-blind, placebo-controlled study evaluating CYB003 in participants with moderate to severe MDD and in healthy volunteers. Participants with MDD received two administrations (placebo/active and active/active) three weeks apart and response/remission are assessed three weeks after each dose. MDD participants in the trial that are currently being treated with antidepressants are allowed to remain on their antidepressant medication.</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The study is evaluating the safety, tolerability, pharmacokinetics and pharmacodynamics, and psychedelic effect of ascending oral doses of CYB003. In participants with MDD, the trial evaluates rapid onset of antidepressant effect on the day of dosing, using MADRS to evaluate the incremental benefit of a second dose of CYB003 when administered at Week 3. An optional period of assessment will help determine the durability of treatment effect out to 12 weeks. The study is listed on ClinicalTrials.gov under Identifier: NCT05385783.</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About Cybin</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 xml:space="preserve">Cybin is a clinical-stage biopharmaceutical company on a mission to create safe and effective psychedelic-based therapeutics to address the large unmet need for new and innovative treatment options for people who suffer from mental health conditions. </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Headquartered in Canada and founded in 2019, Cybin is operational in Canada, the United States, the United Kingdom, the Netherlands and Ireland. For company updates and to learn more about Cybin, visit www.cybin.com or follow the team on X, LinkedIn, YouTube and Instagram.</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 xml:space="preserve">Cautionary Notes and Forward-Looking Statements </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 xml:space="preserve">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Cybin’s plans to report Phase 2 safety and efficacy data from its CYB003 deuterated psilocybin analog program in late 2023; release of CYB003 12-week durability data in Q1 2024; progression to Phase 3 development of CYB003 in early 2024; recruitment for a CYB003 phase 3 study and commencement of the phase 3 study in late Q1 2024; the Company’s plan to request an end of Phase 2 meeting with the FDA in early 2024; topline Phase 1 data for CYB004 and SPL028, the Company’s proprietary novel deuterated DMT compounds, before the end of 2023; commencement of a phase 2 study of the Company’s proprietary novel deuterated DMT compounds in patients with generalized anxiety disorder in Q1 2024; and the Company’s proprietary drug discovery platforms, innovative drug delivery systems, novel formulation approaches and treatment regimens for mental health disorders. </w:t>
      </w:r>
    </w:p>
    <w:p>
      <w:pPr>
        <w:pStyle w:val="TextBody"/>
        <w:bidi w:val="0"/>
        <w:spacing w:before="0" w:after="0"/>
        <w:jc w:val="both"/>
        <w:rPr/>
      </w:pPr>
      <w:r>
        <w:rPr/>
      </w:r>
    </w:p>
    <w:p>
      <w:pPr>
        <w:pStyle w:val="TextBody"/>
        <w:bidi w:val="0"/>
        <w:spacing w:lineRule="auto" w:line="319"/>
        <w:jc w:val="both"/>
        <w:rPr/>
      </w:pPr>
      <w:r>
        <w:rPr>
          <w:rFonts w:ascii="Arial;sans-serif" w:hAnsi="Arial;sans-serif"/>
          <w:b w:val="false"/>
          <w:color w:val="000000"/>
          <w:sz w:val="22"/>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spread of COVID-19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each of the Company's management's discussion and analysis for the three months ended June 30, 2023, and the Company’s annual information form for the year ended March 31, 2023, which are available under the Company's profile on SEDAR+ at </w:t>
      </w:r>
      <w:r>
        <w:rPr>
          <w:rFonts w:ascii="Arial;sans-serif" w:hAnsi="Arial;sans-serif"/>
          <w:b w:val="false"/>
          <w:color w:val="0000FF"/>
          <w:sz w:val="22"/>
          <w:u w:val="single"/>
        </w:rPr>
        <w:t>www.sedarplus.ca</w:t>
      </w:r>
      <w:r>
        <w:rPr>
          <w:color w:val="000000"/>
        </w:rPr>
        <w:t xml:space="preserve"> </w:t>
      </w:r>
      <w:r>
        <w:rPr>
          <w:rFonts w:ascii="Arial;sans-serif" w:hAnsi="Arial;sans-serif"/>
          <w:b w:val="false"/>
          <w:color w:val="000000"/>
          <w:sz w:val="22"/>
        </w:rPr>
        <w:t xml:space="preserve">and with the U.S. Securities and Exchange Commission on EDGAR at </w:t>
      </w:r>
      <w:r>
        <w:rPr>
          <w:rFonts w:ascii="Arial;sans-serif" w:hAnsi="Arial;sans-serif"/>
          <w:b w:val="false"/>
          <w:color w:val="0000FF"/>
          <w:sz w:val="22"/>
          <w:u w:val="single"/>
        </w:rPr>
        <w:t>www.sec.gov</w:t>
      </w:r>
      <w:r>
        <w:rPr>
          <w:rFonts w:ascii="Arial;sans-serif" w:hAnsi="Arial;sans-serif"/>
          <w:b w:val="false"/>
          <w:color w:val="000000"/>
          <w:sz w:val="22"/>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i/>
          <w:color w:val="000000"/>
          <w:sz w:val="22"/>
        </w:rPr>
      </w:pPr>
      <w:r>
        <w:rPr>
          <w:rFonts w:ascii="Arial;sans-serif" w:hAnsi="Arial;sans-serif"/>
          <w:b w:val="false"/>
          <w:i/>
          <w:color w:val="000000"/>
          <w:sz w:val="22"/>
        </w:rPr>
        <w:t>Neither the Neo Exchange Inc. nor the NYSE American LLC stock exchange have approved or disapproved the contents of this news release and are not responsible for the adequacy and accuracy of the contents herein.</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Footnotes</w:t>
      </w:r>
    </w:p>
    <w:p>
      <w:pPr>
        <w:pStyle w:val="TextBody"/>
        <w:bidi w:val="0"/>
        <w:spacing w:before="0" w:after="0"/>
        <w:jc w:val="both"/>
        <w:rPr/>
      </w:pPr>
      <w:r>
        <w:rPr/>
      </w:r>
    </w:p>
    <w:p>
      <w:pPr>
        <w:pStyle w:val="TextBody"/>
        <w:bidi w:val="0"/>
        <w:spacing w:lineRule="auto" w:line="319" w:before="0" w:after="0"/>
        <w:ind w:left="0" w:right="0" w:hanging="360"/>
        <w:jc w:val="both"/>
        <w:rPr>
          <w:rFonts w:ascii="Arial;sans-serif" w:hAnsi="Arial;sans-serif"/>
          <w:b w:val="false"/>
          <w:color w:val="000000"/>
          <w:sz w:val="22"/>
        </w:rPr>
      </w:pPr>
      <w:r>
        <w:rPr>
          <w:rFonts w:ascii="Arial;sans-serif" w:hAnsi="Arial;sans-serif"/>
          <w:b w:val="false"/>
          <w:color w:val="000000"/>
          <w:sz w:val="22"/>
        </w:rPr>
        <w:t>1.FETZIMA® is a registered trademark of Allergan Sales, LLC, an AbbVie company. VIIBRYD® is a registered trademark of Allergan Sales, LLC, an AbbVie company. TRINTELLIX®, formerly BRINTELLIX, is a trademark of H. Lundbeck A/S registered with the U.S. Patent and Trademark Office and used under license by Takeda Pharmaceuticals America, Inc. VRAYLAR® is a trademark of Allergan Pharmaceuticals International Limited, an AbbVie company. AUVELITY® is a registered trademark of Axsome Therapeutics, Inc. SPRAVATO® is a registered trademark of Johnson &amp; Johnson Corporation. Third party trademarks used herein are trademarks of their respective owners.</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Investor &amp; Media Contact: </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Gabriel Fahel</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Chief Legal Officer</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Cybin Inc.</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1-866-292-4601</w:t>
      </w:r>
    </w:p>
    <w:p>
      <w:pPr>
        <w:pStyle w:val="TextBody"/>
        <w:bidi w:val="0"/>
        <w:spacing w:lineRule="auto" w:line="319" w:before="0" w:after="0"/>
        <w:jc w:val="both"/>
        <w:rPr/>
      </w:pPr>
      <w:r>
        <w:rPr>
          <w:rFonts w:ascii="Arial;sans-serif" w:hAnsi="Arial;sans-serif"/>
          <w:b w:val="false"/>
          <w:color w:val="0000FF"/>
          <w:sz w:val="22"/>
          <w:u w:val="single"/>
        </w:rPr>
        <w:t>irteam@cybin.com</w:t>
      </w:r>
      <w:r>
        <w:rPr>
          <w:color w:val="000000"/>
        </w:rPr>
        <w:t xml:space="preserve"> – </w:t>
      </w:r>
      <w:r>
        <w:rPr>
          <w:rFonts w:ascii="Arial;sans-serif" w:hAnsi="Arial;sans-serif"/>
          <w:b w:val="false"/>
          <w:color w:val="000000"/>
          <w:sz w:val="22"/>
        </w:rPr>
        <w:t xml:space="preserve">or – </w:t>
      </w:r>
      <w:r>
        <w:rPr>
          <w:rFonts w:ascii="Arial;sans-serif" w:hAnsi="Arial;sans-serif"/>
          <w:b w:val="false"/>
          <w:color w:val="0000FF"/>
          <w:sz w:val="22"/>
          <w:u w:val="single"/>
        </w:rPr>
        <w:t>media@cybin.com</w:t>
      </w:r>
      <w:r>
        <w:rPr>
          <w:color w:val="000000"/>
        </w:rPr>
        <w:t xml:space="preserve"> </w:t>
      </w:r>
    </w:p>
    <w:p>
      <w:pPr>
        <w:pStyle w:val="TextBody"/>
        <w:bidi w:val="0"/>
        <w:spacing w:before="0" w:after="0"/>
        <w:jc w:val="both"/>
        <w:rPr/>
      </w:pPr>
      <w:r>
        <w:rPr/>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2472</Words>
  <Characters>14286</Characters>
  <CharactersWithSpaces>16775</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