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February 18,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February 18,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911860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Cybin Announces Additional Adelia Milestone Achievement</w:t>
      </w:r>
    </w:p>
    <w:p>
      <w:pPr>
        <w:spacing w:after="0" w:line="165" w:lineRule="exact"/>
        <w:rPr>
          <w:sz w:val="20"/>
          <w:szCs w:val="20"/>
          <w:color w:val="auto"/>
        </w:rPr>
      </w:pPr>
    </w:p>
    <w:p>
      <w:pPr>
        <w:jc w:val="both"/>
        <w:spacing w:after="0" w:line="209"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18,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biopharmaceutical company focused on progressing “Psychedelics to Therapeutics™”, is pleased to announce that Adelia Therapeutics Inc. (“</w:t>
      </w:r>
      <w:r>
        <w:rPr>
          <w:rFonts w:ascii="Arial" w:cs="Arial" w:eastAsia="Arial" w:hAnsi="Arial"/>
          <w:sz w:val="20"/>
          <w:szCs w:val="20"/>
          <w:b w:val="1"/>
          <w:bCs w:val="1"/>
          <w:color w:val="auto"/>
        </w:rPr>
        <w:t>Adelia</w:t>
      </w:r>
      <w:r>
        <w:rPr>
          <w:rFonts w:ascii="Arial" w:cs="Arial" w:eastAsia="Arial" w:hAnsi="Arial"/>
          <w:sz w:val="20"/>
          <w:szCs w:val="20"/>
          <w:color w:val="auto"/>
        </w:rPr>
        <w:t>”), a wholly-controlled subsidiary of Cybin, has achieved the milestone identified as Year 2 Q2 (iii) as contemplated by the terms of a contribution agreement dated December 4, 2020 (the “</w:t>
      </w:r>
      <w:r>
        <w:rPr>
          <w:rFonts w:ascii="Arial" w:cs="Arial" w:eastAsia="Arial" w:hAnsi="Arial"/>
          <w:sz w:val="20"/>
          <w:szCs w:val="20"/>
          <w:b w:val="1"/>
          <w:bCs w:val="1"/>
          <w:color w:val="auto"/>
        </w:rPr>
        <w:t>Transaction Agreement</w:t>
      </w:r>
      <w:r>
        <w:rPr>
          <w:rFonts w:ascii="Arial" w:cs="Arial" w:eastAsia="Arial" w:hAnsi="Arial"/>
          <w:sz w:val="20"/>
          <w:szCs w:val="20"/>
          <w:color w:val="auto"/>
        </w:rPr>
        <w:t>”) among Cybin, Cybin Corp., Cybin US Holdings Inc. (the “</w:t>
      </w:r>
      <w:r>
        <w:rPr>
          <w:rFonts w:ascii="Arial" w:cs="Arial" w:eastAsia="Arial" w:hAnsi="Arial"/>
          <w:sz w:val="20"/>
          <w:szCs w:val="20"/>
          <w:b w:val="1"/>
          <w:bCs w:val="1"/>
          <w:color w:val="auto"/>
        </w:rPr>
        <w:t>Acquiror</w:t>
      </w:r>
      <w:r>
        <w:rPr>
          <w:rFonts w:ascii="Arial" w:cs="Arial" w:eastAsia="Arial" w:hAnsi="Arial"/>
          <w:sz w:val="20"/>
          <w:szCs w:val="20"/>
          <w:color w:val="auto"/>
        </w:rPr>
        <w:t>”), a wholly-controlled subsidiary of Cybin, and all of the previous shareholders of Adelia (the “</w:t>
      </w:r>
      <w:r>
        <w:rPr>
          <w:rFonts w:ascii="Arial" w:cs="Arial" w:eastAsia="Arial" w:hAnsi="Arial"/>
          <w:sz w:val="20"/>
          <w:szCs w:val="20"/>
          <w:b w:val="1"/>
          <w:bCs w:val="1"/>
          <w:color w:val="auto"/>
        </w:rPr>
        <w:t>Adelia Shareholders</w:t>
      </w:r>
      <w:r>
        <w:rPr>
          <w:rFonts w:ascii="Arial" w:cs="Arial" w:eastAsia="Arial" w:hAnsi="Arial"/>
          <w:sz w:val="20"/>
          <w:szCs w:val="20"/>
          <w:color w:val="auto"/>
        </w:rPr>
        <w:t>”).</w:t>
      </w:r>
    </w:p>
    <w:p>
      <w:pPr>
        <w:spacing w:after="0" w:line="108" w:lineRule="exact"/>
        <w:rPr>
          <w:sz w:val="20"/>
          <w:szCs w:val="20"/>
          <w:color w:val="auto"/>
        </w:rPr>
      </w:pPr>
    </w:p>
    <w:p>
      <w:pPr>
        <w:jc w:val="both"/>
        <w:spacing w:after="0" w:line="205" w:lineRule="auto"/>
        <w:rPr>
          <w:sz w:val="20"/>
          <w:szCs w:val="20"/>
          <w:color w:val="auto"/>
        </w:rPr>
      </w:pPr>
      <w:r>
        <w:rPr>
          <w:rFonts w:ascii="Arial" w:cs="Arial" w:eastAsia="Arial" w:hAnsi="Arial"/>
          <w:sz w:val="20"/>
          <w:szCs w:val="20"/>
          <w:color w:val="auto"/>
        </w:rPr>
        <w:t>Pursuant to the terms of the Transaction Agreement, 17,239.5 Class B common shares in the capital of the Acquiror (the “</w:t>
      </w:r>
      <w:r>
        <w:rPr>
          <w:rFonts w:ascii="Arial" w:cs="Arial" w:eastAsia="Arial" w:hAnsi="Arial"/>
          <w:sz w:val="20"/>
          <w:szCs w:val="20"/>
          <w:b w:val="1"/>
          <w:bCs w:val="1"/>
          <w:color w:val="auto"/>
        </w:rPr>
        <w:t>Class</w:t>
      </w:r>
      <w:r>
        <w:rPr>
          <w:rFonts w:ascii="Arial" w:cs="Arial" w:eastAsia="Arial" w:hAnsi="Arial"/>
          <w:sz w:val="20"/>
          <w:szCs w:val="20"/>
          <w:color w:val="auto"/>
        </w:rPr>
        <w:t xml:space="preserve"> </w:t>
      </w:r>
      <w:r>
        <w:rPr>
          <w:rFonts w:ascii="Arial" w:cs="Arial" w:eastAsia="Arial" w:hAnsi="Arial"/>
          <w:sz w:val="20"/>
          <w:szCs w:val="20"/>
          <w:b w:val="1"/>
          <w:bCs w:val="1"/>
          <w:color w:val="auto"/>
        </w:rPr>
        <w:t>B Shares</w:t>
      </w:r>
      <w:r>
        <w:rPr>
          <w:rFonts w:ascii="Arial" w:cs="Arial" w:eastAsia="Arial" w:hAnsi="Arial"/>
          <w:sz w:val="20"/>
          <w:szCs w:val="20"/>
          <w:color w:val="auto"/>
        </w:rPr>
        <w:t>”) shall be issued to the Adelia Shareholders, in satisfaction of the $233,424.06 (approximately US$183,870.86) due to</w:t>
      </w:r>
      <w:r>
        <w:rPr>
          <w:rFonts w:ascii="Arial" w:cs="Arial" w:eastAsia="Arial" w:hAnsi="Arial"/>
          <w:sz w:val="20"/>
          <w:szCs w:val="20"/>
          <w:b w:val="1"/>
          <w:bCs w:val="1"/>
          <w:color w:val="auto"/>
        </w:rPr>
        <w:t xml:space="preserve"> </w:t>
      </w:r>
      <w:r>
        <w:rPr>
          <w:rFonts w:ascii="Arial" w:cs="Arial" w:eastAsia="Arial" w:hAnsi="Arial"/>
          <w:sz w:val="20"/>
          <w:szCs w:val="20"/>
          <w:color w:val="auto"/>
        </w:rPr>
        <w:t>them on meeting a portion of the relevant milestones, at an effective issue price of $ 13.54 per Class B Share, determined in accordance with the Transaction Agreement and applicable securities law. The Class B Shares issued by the Acquiror to the Adelia Shareholders are exchangeable for common shares in the capital of Cybin (the “</w:t>
      </w:r>
      <w:r>
        <w:rPr>
          <w:rFonts w:ascii="Arial" w:cs="Arial" w:eastAsia="Arial" w:hAnsi="Arial"/>
          <w:sz w:val="20"/>
          <w:szCs w:val="20"/>
          <w:b w:val="1"/>
          <w:bCs w:val="1"/>
          <w:color w:val="auto"/>
        </w:rPr>
        <w:t>Cybin Shares</w:t>
      </w:r>
      <w:r>
        <w:rPr>
          <w:rFonts w:ascii="Arial" w:cs="Arial" w:eastAsia="Arial" w:hAnsi="Arial"/>
          <w:sz w:val="20"/>
          <w:szCs w:val="20"/>
          <w:color w:val="auto"/>
        </w:rPr>
        <w:t>”) on a 10 Cybin Shares for 1 Class B Share basis, at the option of the holder thereof, subject to customary adjustments. No Class B Shares are exchangeable prior to December 14, 2021, and not more than: (i) 33 1/3% of the Class B Shares will be exchangeable prior to December 14, 2022; (ii) 66 2/3% of the Class B Shares will be exchangeable prior to December 14, 2023; and (iii) thereafter, 100% of the Class B Shares will be exchangeable.</w:t>
      </w:r>
    </w:p>
    <w:p>
      <w:pPr>
        <w:spacing w:after="0" w:line="133"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Additional information related to the transaction is available in the Transaction Agreement, which is filed under Cybin’s profile on SEDAR (</w:t>
      </w:r>
      <w:r>
        <w:rPr>
          <w:rFonts w:ascii="Arial" w:cs="Arial" w:eastAsia="Arial" w:hAnsi="Arial"/>
          <w:sz w:val="20"/>
          <w:szCs w:val="20"/>
          <w:u w:val="single" w:color="auto"/>
          <w:color w:val="0563C1"/>
        </w:rPr>
        <w:t>www.sedar.com)</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563C1"/>
        </w:rPr>
        <w:t>www.sec.gov</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59" w:lineRule="exact"/>
        <w:rPr>
          <w:sz w:val="20"/>
          <w:szCs w:val="20"/>
          <w:color w:val="auto"/>
        </w:rPr>
      </w:pPr>
    </w:p>
    <w:p>
      <w:pPr>
        <w:jc w:val="both"/>
        <w:spacing w:after="0" w:line="218" w:lineRule="auto"/>
        <w:rPr>
          <w:sz w:val="20"/>
          <w:szCs w:val="20"/>
          <w:color w:val="auto"/>
        </w:rPr>
      </w:pPr>
      <w:r>
        <w:rPr>
          <w:rFonts w:ascii="Arial" w:cs="Arial" w:eastAsia="Arial" w:hAnsi="Arial"/>
          <w:sz w:val="19"/>
          <w:szCs w:val="19"/>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About Adelia</w:t>
      </w:r>
    </w:p>
    <w:p>
      <w:pPr>
        <w:spacing w:after="0" w:line="159"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Adelia is a wholly-controlled subsidiary of the Company, that aims to develop medicinal psychedelics with improved dosing efficacy and therapeutic indices to address unmet medical needs. Adelia’s primary focus is on the development of treatment regimens consisting of proprietary psychedelic molecules and related clinical protocols. This proprietary development strategy is based on chemical modifications to the known and well understood tryptamine derivatives that significantly modify their pharmacokinetic properties without changing their therapeutic potential. These proprietary approaches seek to minimize inter-patient variability by better controlling drug metabolism without loss of efficacy that together have been shown to produce more predictable and favorable patient outcomes.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159" w:lineRule="exact"/>
        <w:rPr>
          <w:sz w:val="20"/>
          <w:szCs w:val="20"/>
          <w:color w:val="auto"/>
        </w:rPr>
      </w:pPr>
    </w:p>
    <w:p>
      <w:pPr>
        <w:jc w:val="both"/>
        <w:spacing w:after="0" w:line="203" w:lineRule="auto"/>
        <w:rPr>
          <w:sz w:val="20"/>
          <w:szCs w:val="20"/>
          <w:color w:val="auto"/>
        </w:rPr>
      </w:pPr>
      <w:r>
        <w:rPr>
          <w:rFonts w:ascii="Arial" w:cs="Arial" w:eastAsia="Arial" w:hAnsi="Arial"/>
          <w:sz w:val="20"/>
          <w:szCs w:val="20"/>
          <w:color w:val="auto"/>
        </w:rPr>
        <w:t>Certain statements in this press release constitute forward-looking information. All statements other than statements of historical fact contained in this press release, including, without limitation, statements regarding Cybin’s future, strategy, plans, objectives, goals and targets, and any statements preceded by, followed by or that include the words “believe”, “expect”, “aim”, “intend”, “plan”, “continue”, “will”, “may”, “would”, “anticipate”, “estimate”, “forecast”, “predict”, “project”, “seek”, “should” or similar expressions or the negative thereof, are forward-looking statements. Forward looking statements in this news release include statements regarding the Company’s development of innovative drug delivery systems, novel formulation approaches and potential treatment regimens for mental health disorders and Adelia’s proprietary development strategy and development of medicinal psychedelics with improved dosing efficacy and therapeutic indices to address unmet medical needs.</w:t>
      </w:r>
    </w:p>
    <w:p>
      <w:pPr>
        <w:spacing w:after="0" w:line="131" w:lineRule="exact"/>
        <w:rPr>
          <w:sz w:val="20"/>
          <w:szCs w:val="20"/>
          <w:color w:val="auto"/>
        </w:rPr>
      </w:pPr>
    </w:p>
    <w:p>
      <w:pPr>
        <w:jc w:val="both"/>
        <w:spacing w:after="0" w:line="210"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three and nine months ended December 31, 2021 and the Company's listing statement dated November 9, 2020, which are available under the Company's profile on </w:t>
      </w:r>
      <w:r>
        <w:rPr>
          <w:rFonts w:ascii="Arial" w:cs="Arial" w:eastAsia="Arial" w:hAnsi="Arial"/>
          <w:sz w:val="19"/>
          <w:szCs w:val="19"/>
          <w:u w:val="single" w:color="auto"/>
          <w:color w:val="0563C1"/>
        </w:rPr>
        <w:t>www.sedar.com</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563C1"/>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52" w:lineRule="exact"/>
        <w:rPr>
          <w:sz w:val="20"/>
          <w:szCs w:val="20"/>
          <w:color w:val="auto"/>
        </w:rPr>
      </w:pPr>
    </w:p>
    <w:p>
      <w:pPr>
        <w:jc w:val="both"/>
        <w:spacing w:after="0" w:line="202"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ectPr>
          <w:pgSz w:w="11900" w:h="16838" w:orient="portrait"/>
          <w:cols w:equalWidth="0" w:num="1">
            <w:col w:w="11240"/>
          </w:cols>
          <w:pgMar w:left="320" w:top="1394" w:right="339" w:bottom="1440" w:gutter="0" w:footer="0" w:header="0"/>
        </w:sectPr>
      </w:pPr>
    </w:p>
    <w:bookmarkStart w:id="5" w:name="page6"/>
    <w:bookmarkEnd w:id="5"/>
    <w:p>
      <w:pPr>
        <w:spacing w:after="0" w:line="232"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nor disapproved the contents of this news release and are not responsible for the adequacy and accuracy of the contents herein.</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indicated, all dollar amounts in this news release are expressed in Canadian dollars.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97" w:lineRule="auto"/>
        <w:rPr>
          <w:sz w:val="20"/>
          <w:szCs w:val="20"/>
          <w:color w:val="auto"/>
        </w:rPr>
      </w:pPr>
      <w:r>
        <w:rPr>
          <w:rFonts w:ascii="Arial" w:cs="Arial" w:eastAsia="Arial" w:hAnsi="Arial"/>
          <w:sz w:val="20"/>
          <w:szCs w:val="20"/>
          <w:color w:val="auto"/>
        </w:rPr>
        <w:t>Vice President, Investor Relations</w:t>
      </w:r>
    </w:p>
    <w:p>
      <w:pPr>
        <w:spacing w:after="0" w:line="197" w:lineRule="auto"/>
        <w:rPr>
          <w:sz w:val="20"/>
          <w:szCs w:val="20"/>
          <w:color w:val="auto"/>
        </w:rPr>
      </w:pPr>
      <w:r>
        <w:rPr>
          <w:rFonts w:ascii="Arial" w:cs="Arial" w:eastAsia="Arial" w:hAnsi="Arial"/>
          <w:sz w:val="20"/>
          <w:szCs w:val="20"/>
          <w:color w:val="auto"/>
        </w:rPr>
        <w:t>Cybin Inc.</w:t>
      </w:r>
    </w:p>
    <w:p>
      <w:pPr>
        <w:spacing w:after="0"/>
        <w:rPr>
          <w:sz w:val="20"/>
          <w:szCs w:val="20"/>
          <w:color w:val="auto"/>
        </w:rPr>
      </w:pPr>
      <w:r>
        <w:rPr>
          <w:rFonts w:ascii="Arial" w:cs="Arial" w:eastAsia="Arial" w:hAnsi="Arial"/>
          <w:sz w:val="20"/>
          <w:szCs w:val="20"/>
          <w:u w:val="single" w:color="auto"/>
          <w:color w:val="0563C1"/>
        </w:rPr>
        <w:t>leah@cybin.com</w:t>
      </w:r>
    </w:p>
    <w:sectPr>
      <w:pgSz w:w="11900" w:h="16838" w:orient="portrait"/>
      <w:cols w:equalWidth="0" w:num="1">
        <w:col w:w="11240"/>
      </w:cols>
      <w:pgMar w:left="320" w:top="13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2022-02-18T12:55:01Z</dcterms:created>
  <dcterms:modified xsi:type="dcterms:W3CDTF">2022-02-18T12:55:01Z</dcterms:modified>
</cp:coreProperties>
</file>