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November 14,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November 14,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911860</wp:posOffset>
            </wp:positionV>
            <wp:extent cx="2117090" cy="1225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40" w:right="820"/>
        <w:spacing w:after="0" w:line="267" w:lineRule="auto"/>
        <w:rPr>
          <w:sz w:val="20"/>
          <w:szCs w:val="20"/>
          <w:color w:val="auto"/>
        </w:rPr>
      </w:pPr>
      <w:r>
        <w:rPr>
          <w:rFonts w:ascii="Arial" w:cs="Arial" w:eastAsia="Arial" w:hAnsi="Arial"/>
          <w:sz w:val="20"/>
          <w:szCs w:val="20"/>
          <w:b w:val="1"/>
          <w:bCs w:val="1"/>
          <w:color w:val="auto"/>
        </w:rPr>
        <w:t>CYBIN ANNOUNCES CLOSING OF OFFERING OF UNITS LED BY ONE OF THE COMPANY’S LARGEST INSTITUTIONAL SHAREHOLDERS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14, 2023 – Cybin Inc. (NYSE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 treatment options, is pleased to announce that it has closed its previously announced underwritten offering (the “</w:t>
      </w:r>
      <w:r>
        <w:rPr>
          <w:rFonts w:ascii="Arial" w:cs="Arial" w:eastAsia="Arial" w:hAnsi="Arial"/>
          <w:sz w:val="20"/>
          <w:szCs w:val="20"/>
          <w:b w:val="1"/>
          <w:bCs w:val="1"/>
          <w:color w:val="auto"/>
        </w:rPr>
        <w:t>Offering</w:t>
      </w:r>
      <w:r>
        <w:rPr>
          <w:rFonts w:ascii="Arial" w:cs="Arial" w:eastAsia="Arial" w:hAnsi="Arial"/>
          <w:sz w:val="20"/>
          <w:szCs w:val="20"/>
          <w:color w:val="auto"/>
        </w:rPr>
        <w:t>”). In connection with the Offering, the Company issued an aggregate of 66,666,667 units of the Company (the “</w:t>
      </w:r>
      <w:r>
        <w:rPr>
          <w:rFonts w:ascii="Arial" w:cs="Arial" w:eastAsia="Arial" w:hAnsi="Arial"/>
          <w:sz w:val="20"/>
          <w:szCs w:val="20"/>
          <w:b w:val="1"/>
          <w:bCs w:val="1"/>
          <w:color w:val="auto"/>
        </w:rPr>
        <w:t>Units</w:t>
      </w:r>
      <w:r>
        <w:rPr>
          <w:rFonts w:ascii="Arial" w:cs="Arial" w:eastAsia="Arial" w:hAnsi="Arial"/>
          <w:sz w:val="20"/>
          <w:szCs w:val="20"/>
          <w:color w:val="auto"/>
        </w:rPr>
        <w:t>”) at a price of US$0.45 per Unit for aggregate gross proceeds of US$30 million.</w:t>
      </w:r>
    </w:p>
    <w:p>
      <w:pPr>
        <w:spacing w:after="0" w:line="205"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Each Unit is comprised of one common share in the capital of the Company (a “</w:t>
      </w:r>
      <w:r>
        <w:rPr>
          <w:rFonts w:ascii="Arial" w:cs="Arial" w:eastAsia="Arial" w:hAnsi="Arial"/>
          <w:sz w:val="19"/>
          <w:szCs w:val="19"/>
          <w:b w:val="1"/>
          <w:bCs w:val="1"/>
          <w:color w:val="auto"/>
        </w:rPr>
        <w:t>Common Share</w:t>
      </w:r>
      <w:r>
        <w:rPr>
          <w:rFonts w:ascii="Arial" w:cs="Arial" w:eastAsia="Arial" w:hAnsi="Arial"/>
          <w:sz w:val="19"/>
          <w:szCs w:val="19"/>
          <w:color w:val="auto"/>
        </w:rPr>
        <w:t>”) and one Common Share purchase warrant (a “</w:t>
      </w:r>
      <w:r>
        <w:rPr>
          <w:rFonts w:ascii="Arial" w:cs="Arial" w:eastAsia="Arial" w:hAnsi="Arial"/>
          <w:sz w:val="19"/>
          <w:szCs w:val="19"/>
          <w:b w:val="1"/>
          <w:bCs w:val="1"/>
          <w:color w:val="auto"/>
        </w:rPr>
        <w:t>Warrant</w:t>
      </w:r>
      <w:r>
        <w:rPr>
          <w:rFonts w:ascii="Arial" w:cs="Arial" w:eastAsia="Arial" w:hAnsi="Arial"/>
          <w:sz w:val="19"/>
          <w:szCs w:val="19"/>
          <w:color w:val="auto"/>
        </w:rPr>
        <w:t>”). Each Warrant is exercisable to acquire one Common Share at a price of US$0.51 per Common Share any time on or after the date that is six months after issuance until May 14, 2029, subject to acceleration in certain circumstances.</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“Q4 of 2023 and 2024 will be pivotal for Cybin as we expect topline clinical data readouts from both our Phase 1/2a trial of CYB003, our deuterated psilocybin analog, and from our Phase 1 trial of CYB004 and SPL028, our deuterated DMT programs. With the current financing, led by one of the Company’s largest institutional shareholders, and a combination of the Company's current cash position, current at-the-market offering and assuming exercise in full of the Warrants issued as part of the Units, the Company has access to over US$100 million. This capital is expected to provide Cybin with the cash runway needed to complete these value-driving clinical milestones and enable us to continue focusing on clinical execution with the ultimate goal of bringing improved therapeutic options to patients in need,” said Doug Drysdale, Chief Executive Officer of Cybin.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A.G.P./Alliance Global Partners acted as the sole book-running manager for the Offering.</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intends to use the net proceeds from the Offering for the progression of the Company’s CYB003 and deuterated DMT programs, and for general corporate and working capital purposes</w:t>
      </w:r>
      <w:r>
        <w:rPr>
          <w:rFonts w:ascii="Arial" w:cs="Arial" w:eastAsia="Arial" w:hAnsi="Arial"/>
          <w:sz w:val="20"/>
          <w:szCs w:val="20"/>
          <w:b w:val="1"/>
          <w:bCs w:val="1"/>
          <w:color w:val="auto"/>
        </w:rPr>
        <w:t>.</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Units were offered pursuant to a prospectus supplement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to the Company’s short form base shelf prospectus dated August 17, 2023 (the “</w:t>
      </w:r>
      <w:r>
        <w:rPr>
          <w:rFonts w:ascii="Arial" w:cs="Arial" w:eastAsia="Arial" w:hAnsi="Arial"/>
          <w:sz w:val="18"/>
          <w:szCs w:val="18"/>
          <w:b w:val="1"/>
          <w:bCs w:val="1"/>
          <w:color w:val="auto"/>
        </w:rPr>
        <w:t>Base Shelf Prospectus</w:t>
      </w:r>
      <w:r>
        <w:rPr>
          <w:rFonts w:ascii="Arial" w:cs="Arial" w:eastAsia="Arial" w:hAnsi="Arial"/>
          <w:sz w:val="18"/>
          <w:szCs w:val="18"/>
          <w:color w:val="auto"/>
        </w:rPr>
        <w:t>”) that was filed with the Ontario Securities Commission. The Prospectus Supplement was also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as part of a registration statement on Form F-10, as amended, which became effective by the SEC on August 17, 2023 in accordance with the Multijurisdictional Disclosure System established between Canada and the United States. The Prospectus Supplement, Base Shelf Prospectus and the documents incorporated by reference therein are available on the Company’s SEDAR profile at </w:t>
      </w:r>
      <w:r>
        <w:rPr>
          <w:rFonts w:ascii="Arial" w:cs="Arial" w:eastAsia="Arial" w:hAnsi="Arial"/>
          <w:sz w:val="18"/>
          <w:szCs w:val="18"/>
          <w:u w:val="single" w:color="auto"/>
          <w:color w:val="0000FF"/>
        </w:rPr>
        <w:t>www.sedarplus.ca</w:t>
      </w:r>
      <w:r>
        <w:rPr>
          <w:rFonts w:ascii="Arial" w:cs="Arial" w:eastAsia="Arial" w:hAnsi="Arial"/>
          <w:sz w:val="18"/>
          <w:szCs w:val="18"/>
          <w:color w:val="auto"/>
        </w:rPr>
        <w:t xml:space="preserve"> and the Company’s EDGAR profile at </w:t>
      </w:r>
      <w:r>
        <w:rPr>
          <w:rFonts w:ascii="Arial" w:cs="Arial" w:eastAsia="Arial" w:hAnsi="Arial"/>
          <w:sz w:val="18"/>
          <w:szCs w:val="18"/>
          <w:u w:val="single" w:color="auto"/>
          <w:color w:val="0000FF"/>
        </w:rPr>
        <w:t>www.sec.gov/edgar</w:t>
      </w:r>
      <w:r>
        <w:rPr>
          <w:rFonts w:ascii="Arial" w:cs="Arial" w:eastAsia="Arial" w:hAnsi="Arial"/>
          <w:sz w:val="18"/>
          <w:szCs w:val="18"/>
          <w:color w:val="000000"/>
        </w:rPr>
        <w:t>. Copies of the Prospectus Supplement and Base Shelf Prospectus may be obtained by contacting</w:t>
      </w:r>
    </w:p>
    <w:p>
      <w:pPr>
        <w:sectPr>
          <w:pgSz w:w="11900" w:h="16838" w:orient="portrait"/>
          <w:cols w:equalWidth="0" w:num="1">
            <w:col w:w="11240"/>
          </w:cols>
          <w:pgMar w:left="320" w:top="1440" w:right="339" w:bottom="1440" w:gutter="0" w:footer="0" w:header="0"/>
        </w:sectPr>
      </w:pPr>
    </w:p>
    <w:bookmarkStart w:id="4" w:name="page5"/>
    <w:bookmarkEnd w:id="4"/>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A.G.P./Alliance Global Partners, 590 Madison Avenue, 28th Floor, New York, NY 10022, or by telephone at (212) 624-2060, or by email at </w:t>
      </w:r>
      <w:r>
        <w:rPr>
          <w:rFonts w:ascii="Arial" w:cs="Arial" w:eastAsia="Arial" w:hAnsi="Arial"/>
          <w:sz w:val="20"/>
          <w:szCs w:val="20"/>
          <w:u w:val="single" w:color="auto"/>
          <w:color w:val="0000FF"/>
        </w:rPr>
        <w:t>prospectus@allianceg.com</w:t>
      </w:r>
      <w:r>
        <w:rPr>
          <w:rFonts w:ascii="Arial" w:cs="Arial" w:eastAsia="Arial" w:hAnsi="Arial"/>
          <w:sz w:val="20"/>
          <w:szCs w:val="20"/>
          <w:color w:val="000000"/>
        </w:rPr>
        <w:t>.</w:t>
      </w:r>
    </w:p>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use of Offering proceeds; the Company’s plan to report topline clinical data readouts from the Phase 1/2a trial of CYB003 and from the Phase 1 trial of CYB004 and SPL028 in Q4; the Company’s ability to access capital under its current at-the-market offering; the Company’s ability to access capital as a result of the exercise of the Warrants; and the Company’s ability to address the need for new and innovative treatment options for people who suffer from mental health conditions.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82" w:lineRule="auto"/>
        <w:rPr>
          <w:sz w:val="20"/>
          <w:szCs w:val="20"/>
          <w:color w:val="auto"/>
        </w:rPr>
      </w:pPr>
      <w:r>
        <w:rPr>
          <w:rFonts w:ascii="Arial" w:cs="Arial" w:eastAsia="Arial" w:hAnsi="Arial"/>
          <w:sz w:val="18"/>
          <w:szCs w:val="18"/>
          <w:color w:val="auto"/>
        </w:rPr>
        <w:t>employee relations; the presence of laws and regulations that may impose restrictions in the markets where the Company operates; and the risk factors set out in the Company's management's discussion and analysis for the three months ended June 30, 2023, the Company’s annual information form for the year ended March 31, 2023, and the Company's listing statement dated November 9, 2020, which are available under the Company's profile on www.sedarplus.ca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r>
        <w:rPr>
          <w:rFonts w:ascii="Arial" w:cs="Arial" w:eastAsia="Arial" w:hAnsi="Arial"/>
          <w:sz w:val="20"/>
          <w:szCs w:val="20"/>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2023-11-14T15:03:32Z</dcterms:created>
  <dcterms:modified xsi:type="dcterms:W3CDTF">2023-11-14T15:03:32Z</dcterms:modified>
</cp:coreProperties>
</file>