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October,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Cybin Inc.</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Charter)</w:t>
      </w:r>
    </w:p>
    <w:p>
      <w:pPr>
        <w:spacing w:after="0" w:line="18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October 25,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October 25,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911860</wp:posOffset>
            </wp:positionV>
            <wp:extent cx="1911350" cy="1114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91135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337" w:lineRule="auto"/>
        <w:rPr>
          <w:sz w:val="20"/>
          <w:szCs w:val="20"/>
          <w:color w:val="auto"/>
        </w:rPr>
      </w:pPr>
      <w:r>
        <w:rPr>
          <w:rFonts w:ascii="Arial" w:cs="Arial" w:eastAsia="Arial" w:hAnsi="Arial"/>
          <w:sz w:val="25"/>
          <w:szCs w:val="25"/>
          <w:b w:val="1"/>
          <w:bCs w:val="1"/>
          <w:color w:val="auto"/>
        </w:rPr>
        <w:t>Cybin Announces Grant of Two New United States Patents Protecting its Deuterated DMT Program</w:t>
      </w:r>
    </w:p>
    <w:p>
      <w:pPr>
        <w:spacing w:after="0" w:line="104" w:lineRule="exact"/>
        <w:rPr>
          <w:sz w:val="20"/>
          <w:szCs w:val="20"/>
          <w:color w:val="auto"/>
        </w:rPr>
      </w:pPr>
    </w:p>
    <w:p>
      <w:pPr>
        <w:ind w:left="240" w:hanging="126"/>
        <w:spacing w:after="0"/>
        <w:tabs>
          <w:tab w:leader="none" w:pos="24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New United States patent grants offer protection for deuterated analogs of DMT including composition of matter, medical use</w:t>
      </w:r>
    </w:p>
    <w:p>
      <w:pPr>
        <w:spacing w:after="0" w:line="51" w:lineRule="exact"/>
        <w:rPr>
          <w:rFonts w:ascii="Arial" w:cs="Arial" w:eastAsia="Arial" w:hAnsi="Arial"/>
          <w:sz w:val="19"/>
          <w:szCs w:val="19"/>
          <w:i w:val="1"/>
          <w:iCs w:val="1"/>
          <w:color w:val="auto"/>
        </w:rPr>
      </w:pPr>
    </w:p>
    <w:p>
      <w:pPr>
        <w:ind w:left="496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and synthesis -</w:t>
      </w:r>
    </w:p>
    <w:p>
      <w:pPr>
        <w:spacing w:after="0" w:line="269" w:lineRule="exact"/>
        <w:rPr>
          <w:rFonts w:ascii="Arial" w:cs="Arial" w:eastAsia="Arial" w:hAnsi="Arial"/>
          <w:sz w:val="19"/>
          <w:szCs w:val="19"/>
          <w:i w:val="1"/>
          <w:iCs w:val="1"/>
          <w:color w:val="auto"/>
        </w:rPr>
      </w:pPr>
    </w:p>
    <w:p>
      <w:pPr>
        <w:ind w:left="680" w:hanging="115"/>
        <w:spacing w:after="0"/>
        <w:tabs>
          <w:tab w:leader="none" w:pos="68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Intellectual Property portfolio provides robust protection for most extensive deuterated DMT portfolio in the sector -</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Cybin’s Intellectual Property portfolio now consists of 32 granted patents and over 170 pending applications -</w:t>
      </w:r>
    </w:p>
    <w:p>
      <w:pPr>
        <w:spacing w:after="0" w:line="266" w:lineRule="exact"/>
        <w:rPr>
          <w:sz w:val="20"/>
          <w:szCs w:val="20"/>
          <w:color w:val="auto"/>
        </w:rPr>
      </w:pPr>
    </w:p>
    <w:p>
      <w:pPr>
        <w:jc w:val="both"/>
        <w:spacing w:after="0" w:line="29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October 25,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psychedelic-based treatment options, today announced that the United States Patent and Trademark Office has issued two patent grants that offer protection for its deuterated N, N-dimethyltryptamine (“</w:t>
      </w:r>
      <w:r>
        <w:rPr>
          <w:rFonts w:ascii="Arial" w:cs="Arial" w:eastAsia="Arial" w:hAnsi="Arial"/>
          <w:sz w:val="20"/>
          <w:szCs w:val="20"/>
          <w:b w:val="1"/>
          <w:bCs w:val="1"/>
          <w:color w:val="auto"/>
        </w:rPr>
        <w:t>DMT</w:t>
      </w:r>
      <w:r>
        <w:rPr>
          <w:rFonts w:ascii="Arial" w:cs="Arial" w:eastAsia="Arial" w:hAnsi="Arial"/>
          <w:sz w:val="20"/>
          <w:szCs w:val="20"/>
          <w:color w:val="auto"/>
        </w:rPr>
        <w:t>”) program.</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The granted patents protecting the Company’s deuterated DMT program are:</w:t>
      </w:r>
    </w:p>
    <w:p>
      <w:pPr>
        <w:spacing w:after="0" w:line="283" w:lineRule="exact"/>
        <w:rPr>
          <w:sz w:val="20"/>
          <w:szCs w:val="20"/>
          <w:color w:val="auto"/>
        </w:rPr>
      </w:pPr>
    </w:p>
    <w:p>
      <w:pPr>
        <w:ind w:left="660" w:hanging="328"/>
        <w:spacing w:after="0" w:line="289"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United States patent no. 11,771,681, which provides composition of matter protection for certain deuterated analogs of DMT; and</w:t>
      </w:r>
    </w:p>
    <w:p>
      <w:pPr>
        <w:spacing w:after="0" w:line="215" w:lineRule="exact"/>
        <w:rPr>
          <w:rFonts w:ascii="Arial" w:cs="Arial" w:eastAsia="Arial" w:hAnsi="Arial"/>
          <w:sz w:val="20"/>
          <w:szCs w:val="20"/>
          <w:color w:val="auto"/>
        </w:rPr>
      </w:pPr>
    </w:p>
    <w:p>
      <w:pPr>
        <w:ind w:left="660" w:hanging="328"/>
        <w:spacing w:after="0" w:line="289"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United States patent no. 11,773,062, which provides protection for the medical use and the novel, efficient and scalable synthesis of certain analogs of DMT.</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Cybin’s proprietary novel deuterated DMT compounds, CYB004 and SPL028, are each currently in Phase I clinical trials. CYB004 and SPL028 target an extended DMT psychedelic experience while retaining a short-duration drug profile that could provide optimized dose formulations for different administration routes and distinct therapeutic benefits for patients. Preliminary findings from the studies demonstrate that IV CYB004 and SPL028 elicit a psychedelic experience of less than 1 hour and are well-tolerated. Topline data readouts from both studies are expected in Q4 2023.</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80" w:lineRule="auto"/>
        <w:rPr>
          <w:sz w:val="20"/>
          <w:szCs w:val="20"/>
          <w:color w:val="auto"/>
        </w:rPr>
      </w:pPr>
      <w:r>
        <w:rPr>
          <w:rFonts w:ascii="Arial" w:cs="Arial" w:eastAsia="Arial" w:hAnsi="Arial"/>
          <w:sz w:val="20"/>
          <w:szCs w:val="20"/>
          <w:color w:val="auto"/>
        </w:rPr>
        <w:t>“Following Cybin’s recent acquisition of Small Pharma Inc., our development programs are protected by 32 granted patents and over 170 pending applications, establishing our leadership position in developing novel tryptamine-based therapeutics in a key market. This multi-layered and robust IP protection includes composition of matter, medical use, synthesis and drug product protection, providing us with the latitude to advance our deuterated programs with confidence,” said Doug Drysdale, Cybin’s Chief Executive Officer.</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0"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89"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24" w:lineRule="exact"/>
        <w:rPr>
          <w:sz w:val="20"/>
          <w:szCs w:val="20"/>
          <w:color w:val="auto"/>
        </w:rPr>
      </w:pPr>
    </w:p>
    <w:p>
      <w:pPr>
        <w:jc w:val="both"/>
        <w:ind w:right="20"/>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93"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expected data readouts from the Company’s Phase 1 deuterated programs, CYB004 and SPL028 in late 2023 and the Company’s proprietary drug discovery platforms, innovative drug delivery systems, novel formulation approaches and treatment regimens for mental health disorders.</w:t>
      </w:r>
    </w:p>
    <w:p>
      <w:pPr>
        <w:spacing w:after="0" w:line="217"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w:t>
      </w:r>
    </w:p>
    <w:p>
      <w:pPr>
        <w:sectPr>
          <w:pgSz w:w="11900" w:h="16838" w:orient="portrait"/>
          <w:cols w:equalWidth="0" w:num="1">
            <w:col w:w="11240"/>
          </w:cols>
          <w:pgMar w:left="320" w:top="1431" w:right="339" w:bottom="1440" w:gutter="0" w:footer="0" w:header="0"/>
        </w:sectPr>
      </w:pPr>
    </w:p>
    <w:bookmarkStart w:id="5" w:name="page6"/>
    <w:bookmarkEnd w:id="5"/>
    <w:p>
      <w:pPr>
        <w:jc w:val="both"/>
        <w:spacing w:after="0" w:line="276" w:lineRule="auto"/>
        <w:rPr>
          <w:sz w:val="20"/>
          <w:szCs w:val="20"/>
          <w:color w:val="auto"/>
        </w:rPr>
      </w:pPr>
      <w:r>
        <w:rPr>
          <w:rFonts w:ascii="Arial" w:cs="Arial" w:eastAsia="Arial" w:hAnsi="Arial"/>
          <w:sz w:val="20"/>
          <w:szCs w:val="20"/>
          <w:color w:val="auto"/>
        </w:rPr>
        <w:t xml:space="preserve">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months ended June 30, 2023, and the Company’s annual information form for the year ended March 31, 2023, which are available under the Company's profile on SEDAR+ at </w:t>
      </w:r>
      <w:r>
        <w:rPr>
          <w:rFonts w:ascii="Arial" w:cs="Arial" w:eastAsia="Arial" w:hAnsi="Arial"/>
          <w:sz w:val="20"/>
          <w:szCs w:val="20"/>
          <w:u w:val="single" w:color="auto"/>
          <w:color w:val="0000FF"/>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000FF"/>
        </w:rPr>
        <w:t>www.sec.gov</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31"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11" w:lineRule="exact"/>
        <w:rPr>
          <w:sz w:val="20"/>
          <w:szCs w:val="20"/>
          <w:color w:val="auto"/>
        </w:rPr>
      </w:pPr>
    </w:p>
    <w:p>
      <w:pPr>
        <w:jc w:val="both"/>
        <w:spacing w:after="0" w:line="310"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ectPr>
          <w:pgSz w:w="11900" w:h="16838" w:orient="portrait"/>
          <w:cols w:equalWidth="0" w:num="1">
            <w:col w:w="11240"/>
          </w:cols>
          <w:pgMar w:left="320" w:top="1431" w:right="339" w:bottom="1440" w:gutter="0" w:footer="0" w:header="0"/>
        </w:sectPr>
      </w:pPr>
    </w:p>
    <w:bookmarkStart w:id="6" w:name="page7"/>
    <w:bookmarkEnd w:id="6"/>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2023-10-25T11:02:39Z</dcterms:created>
  <dcterms:modified xsi:type="dcterms:W3CDTF">2023-10-25T11:02:39Z</dcterms:modified>
</cp:coreProperties>
</file>